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7E3CE5E">
      <w:pPr>
        <w:pStyle w:val="2"/>
        <w:rPr>
          <w:rFonts w:hint="eastAsia" w:ascii="宋体" w:hAnsi="宋体" w:eastAsia="宋体" w:cs="宋体"/>
          <w:lang w:val="zh-CN"/>
        </w:rPr>
      </w:pPr>
      <w:r>
        <w:rPr>
          <w:rFonts w:hint="eastAsia" w:ascii="宋体" w:hAnsi="宋体" w:eastAsia="宋体" w:cs="宋体"/>
          <w:lang w:val="zh-CN"/>
        </w:rPr>
        <w:t>第五章  项目需求</w:t>
      </w:r>
    </w:p>
    <w:p w14:paraId="5F3E15C6">
      <w:pPr>
        <w:autoSpaceDE w:val="0"/>
        <w:autoSpaceDN w:val="0"/>
        <w:adjustRightInd w:val="0"/>
        <w:jc w:val="center"/>
        <w:rPr>
          <w:rFonts w:hint="eastAsia" w:ascii="宋体" w:hAnsi="宋体" w:cs="宋体"/>
          <w:kern w:val="0"/>
          <w:sz w:val="24"/>
        </w:rPr>
      </w:pPr>
    </w:p>
    <w:p w14:paraId="55E28F8E">
      <w:pPr>
        <w:spacing w:line="520" w:lineRule="exact"/>
        <w:ind w:firstLine="413" w:firstLineChars="196"/>
        <w:rPr>
          <w:rFonts w:hint="eastAsia" w:ascii="宋体" w:hAnsi="宋体" w:cs="宋体"/>
          <w:b/>
          <w:szCs w:val="21"/>
        </w:rPr>
      </w:pPr>
      <w:bookmarkStart w:id="0" w:name="_Toc13745"/>
      <w:r>
        <w:rPr>
          <w:rFonts w:hint="eastAsia" w:ascii="宋体" w:hAnsi="宋体" w:cs="宋体"/>
          <w:b/>
          <w:szCs w:val="21"/>
        </w:rPr>
        <w:t>一、招标需求前附表</w:t>
      </w:r>
    </w:p>
    <w:tbl>
      <w:tblPr>
        <w:tblStyle w:val="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08"/>
        <w:gridCol w:w="2030"/>
        <w:gridCol w:w="5484"/>
      </w:tblGrid>
      <w:tr w14:paraId="676EE8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591" w:type="pct"/>
            <w:noWrap w:val="0"/>
            <w:vAlign w:val="center"/>
          </w:tcPr>
          <w:p w14:paraId="18230C8C">
            <w:pPr>
              <w:pStyle w:val="6"/>
              <w:pBdr>
                <w:bottom w:val="none" w:color="auto" w:sz="0" w:space="0"/>
              </w:pBdr>
              <w:tabs>
                <w:tab w:val="clear" w:pos="4153"/>
                <w:tab w:val="clear" w:pos="8306"/>
              </w:tabs>
              <w:wordWrap w:val="0"/>
              <w:adjustRightInd/>
              <w:spacing w:line="360" w:lineRule="auto"/>
              <w:textAlignment w:val="auto"/>
              <w:rPr>
                <w:rFonts w:ascii="宋体" w:hAnsi="宋体" w:cs="宋体"/>
                <w:b/>
                <w:kern w:val="2"/>
                <w:sz w:val="21"/>
                <w:szCs w:val="21"/>
              </w:rPr>
            </w:pPr>
            <w:r>
              <w:rPr>
                <w:rFonts w:hint="eastAsia" w:ascii="宋体" w:hAnsi="宋体" w:cs="宋体"/>
                <w:b/>
                <w:kern w:val="2"/>
                <w:sz w:val="21"/>
                <w:szCs w:val="21"/>
              </w:rPr>
              <w:t>序号</w:t>
            </w:r>
          </w:p>
        </w:tc>
        <w:tc>
          <w:tcPr>
            <w:tcW w:w="1191" w:type="pct"/>
            <w:noWrap w:val="0"/>
            <w:vAlign w:val="center"/>
          </w:tcPr>
          <w:p w14:paraId="5E0B64A0">
            <w:pPr>
              <w:pStyle w:val="7"/>
              <w:widowControl w:val="0"/>
              <w:wordWrap w:val="0"/>
              <w:spacing w:before="0" w:beforeAutospacing="0" w:after="0" w:afterAutospacing="0" w:line="360" w:lineRule="auto"/>
              <w:rPr>
                <w:rFonts w:ascii="宋体" w:hAnsi="宋体" w:cs="宋体"/>
                <w:bCs w:val="0"/>
                <w:sz w:val="21"/>
                <w:szCs w:val="21"/>
              </w:rPr>
            </w:pPr>
            <w:r>
              <w:rPr>
                <w:rFonts w:hint="eastAsia" w:ascii="宋体" w:hAnsi="宋体" w:cs="宋体"/>
                <w:bCs w:val="0"/>
                <w:sz w:val="21"/>
                <w:szCs w:val="21"/>
              </w:rPr>
              <w:t>条款名称</w:t>
            </w:r>
          </w:p>
        </w:tc>
        <w:tc>
          <w:tcPr>
            <w:tcW w:w="3217" w:type="pct"/>
            <w:noWrap w:val="0"/>
            <w:vAlign w:val="center"/>
          </w:tcPr>
          <w:p w14:paraId="70853DF7">
            <w:pPr>
              <w:pStyle w:val="7"/>
              <w:widowControl w:val="0"/>
              <w:wordWrap w:val="0"/>
              <w:spacing w:before="0" w:beforeAutospacing="0" w:after="0" w:afterAutospacing="0" w:line="360" w:lineRule="auto"/>
              <w:rPr>
                <w:rFonts w:ascii="宋体" w:hAnsi="宋体" w:cs="宋体"/>
                <w:bCs w:val="0"/>
                <w:sz w:val="21"/>
                <w:szCs w:val="21"/>
              </w:rPr>
            </w:pPr>
            <w:r>
              <w:rPr>
                <w:rFonts w:hint="eastAsia" w:ascii="宋体" w:hAnsi="宋体" w:cs="宋体"/>
                <w:bCs w:val="0"/>
                <w:sz w:val="21"/>
                <w:szCs w:val="21"/>
              </w:rPr>
              <w:t>内容、说明与要求</w:t>
            </w:r>
          </w:p>
        </w:tc>
      </w:tr>
      <w:tr w14:paraId="32EC06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81" w:hRule="atLeast"/>
          <w:jc w:val="center"/>
        </w:trPr>
        <w:tc>
          <w:tcPr>
            <w:tcW w:w="591" w:type="pct"/>
            <w:noWrap w:val="0"/>
            <w:vAlign w:val="center"/>
          </w:tcPr>
          <w:p w14:paraId="2F045B3B">
            <w:pPr>
              <w:pStyle w:val="6"/>
              <w:pBdr>
                <w:bottom w:val="none" w:color="auto" w:sz="0" w:space="0"/>
              </w:pBdr>
              <w:tabs>
                <w:tab w:val="clear" w:pos="4153"/>
                <w:tab w:val="clear" w:pos="8306"/>
              </w:tabs>
              <w:wordWrap w:val="0"/>
              <w:adjustRightInd/>
              <w:spacing w:line="360" w:lineRule="auto"/>
              <w:textAlignment w:val="auto"/>
              <w:rPr>
                <w:rFonts w:ascii="宋体" w:hAnsi="宋体" w:cs="宋体"/>
                <w:bCs/>
                <w:kern w:val="2"/>
                <w:sz w:val="21"/>
                <w:szCs w:val="21"/>
              </w:rPr>
            </w:pPr>
            <w:r>
              <w:rPr>
                <w:rFonts w:hint="eastAsia" w:ascii="宋体" w:hAnsi="宋体" w:cs="宋体"/>
                <w:bCs/>
                <w:kern w:val="2"/>
                <w:sz w:val="21"/>
                <w:szCs w:val="21"/>
              </w:rPr>
              <w:t>1</w:t>
            </w:r>
          </w:p>
        </w:tc>
        <w:tc>
          <w:tcPr>
            <w:tcW w:w="1191" w:type="pct"/>
            <w:noWrap w:val="0"/>
            <w:vAlign w:val="center"/>
          </w:tcPr>
          <w:p w14:paraId="54A82088">
            <w:pPr>
              <w:pStyle w:val="7"/>
              <w:widowControl w:val="0"/>
              <w:wordWrap w:val="0"/>
              <w:spacing w:before="0" w:beforeAutospacing="0" w:after="0" w:afterAutospacing="0" w:line="360" w:lineRule="auto"/>
              <w:rPr>
                <w:rFonts w:ascii="宋体" w:hAnsi="宋体" w:cs="宋体"/>
                <w:b w:val="0"/>
                <w:sz w:val="21"/>
                <w:szCs w:val="21"/>
                <w:highlight w:val="none"/>
              </w:rPr>
            </w:pPr>
            <w:r>
              <w:rPr>
                <w:rFonts w:hint="eastAsia" w:ascii="宋体" w:hAnsi="宋体" w:cs="宋体"/>
                <w:b w:val="0"/>
                <w:sz w:val="21"/>
                <w:szCs w:val="21"/>
                <w:highlight w:val="none"/>
              </w:rPr>
              <w:t>结算方式</w:t>
            </w:r>
          </w:p>
        </w:tc>
        <w:tc>
          <w:tcPr>
            <w:tcW w:w="3217" w:type="pct"/>
            <w:noWrap w:val="0"/>
            <w:vAlign w:val="center"/>
          </w:tcPr>
          <w:p w14:paraId="7F2A4F96">
            <w:pPr>
              <w:tabs>
                <w:tab w:val="left" w:pos="1290"/>
              </w:tabs>
              <w:spacing w:line="360" w:lineRule="auto"/>
              <w:rPr>
                <w:rFonts w:hint="eastAsia" w:ascii="宋体" w:hAnsi="宋体" w:cs="宋体"/>
                <w:bCs/>
                <w:kern w:val="0"/>
                <w:szCs w:val="21"/>
                <w:highlight w:val="none"/>
              </w:rPr>
            </w:pPr>
            <w:r>
              <w:rPr>
                <w:rFonts w:hint="eastAsia" w:ascii="宋体" w:hAnsi="宋体" w:cs="宋体"/>
                <w:bCs/>
                <w:kern w:val="0"/>
                <w:szCs w:val="21"/>
                <w:highlight w:val="none"/>
                <w:lang w:val="zh-CN"/>
              </w:rPr>
              <w:t>营业额结算方式按采购人财务每月提供的实际发生数据为依据，按月结算，采购人监管审核，经领导批准后报送财务处，由财务处根据所报送营业额数据，扣除当月水电及其他需要扣除费用后代为转付</w:t>
            </w:r>
            <w:r>
              <w:rPr>
                <w:rFonts w:hint="eastAsia" w:ascii="宋体" w:hAnsi="宋体" w:cs="宋体"/>
                <w:bCs/>
                <w:kern w:val="0"/>
                <w:szCs w:val="21"/>
                <w:highlight w:val="none"/>
              </w:rPr>
              <w:t>:</w:t>
            </w:r>
          </w:p>
          <w:p w14:paraId="5F168E13">
            <w:pPr>
              <w:tabs>
                <w:tab w:val="left" w:pos="1290"/>
              </w:tabs>
              <w:spacing w:line="360" w:lineRule="auto"/>
              <w:rPr>
                <w:rFonts w:hint="eastAsia" w:ascii="宋体" w:hAnsi="宋体" w:cs="宋体"/>
                <w:bCs/>
                <w:kern w:val="0"/>
                <w:szCs w:val="21"/>
                <w:highlight w:val="none"/>
                <w:lang w:val="zh-CN"/>
              </w:rPr>
            </w:pPr>
            <w:r>
              <w:rPr>
                <w:rFonts w:hint="eastAsia" w:ascii="宋体" w:hAnsi="宋体" w:cs="宋体"/>
                <w:b/>
                <w:kern w:val="0"/>
                <w:szCs w:val="21"/>
                <w:highlight w:val="none"/>
              </w:rPr>
              <w:t>1.</w:t>
            </w:r>
            <w:r>
              <w:rPr>
                <w:rFonts w:hint="eastAsia" w:ascii="宋体" w:hAnsi="宋体" w:cs="宋体"/>
                <w:b/>
                <w:kern w:val="0"/>
                <w:szCs w:val="21"/>
                <w:highlight w:val="none"/>
                <w:lang w:val="zh-CN"/>
              </w:rPr>
              <w:t>本项目饮水、吹风机、洗衣机</w:t>
            </w:r>
            <w:r>
              <w:rPr>
                <w:rFonts w:hint="eastAsia" w:ascii="宋体" w:hAnsi="宋体" w:cs="宋体"/>
                <w:b/>
                <w:kern w:val="0"/>
                <w:szCs w:val="21"/>
                <w:highlight w:val="none"/>
              </w:rPr>
              <w:t>部分，</w:t>
            </w:r>
            <w:r>
              <w:rPr>
                <w:rFonts w:hint="eastAsia" w:ascii="宋体" w:hAnsi="宋体" w:cs="宋体"/>
                <w:bCs/>
                <w:kern w:val="0"/>
                <w:szCs w:val="21"/>
                <w:highlight w:val="none"/>
                <w:lang w:val="zh-CN"/>
              </w:rPr>
              <w:t>采用中标</w:t>
            </w:r>
            <w:r>
              <w:rPr>
                <w:rFonts w:hint="eastAsia" w:ascii="宋体" w:hAnsi="宋体" w:cs="宋体"/>
                <w:bCs/>
                <w:kern w:val="0"/>
                <w:szCs w:val="21"/>
                <w:highlight w:val="none"/>
              </w:rPr>
              <w:t>人</w:t>
            </w:r>
            <w:r>
              <w:rPr>
                <w:rFonts w:hint="eastAsia" w:ascii="宋体" w:hAnsi="宋体" w:cs="宋体"/>
                <w:bCs/>
                <w:kern w:val="0"/>
                <w:szCs w:val="21"/>
                <w:highlight w:val="none"/>
                <w:lang w:val="zh-CN"/>
              </w:rPr>
              <w:t>自主建设、自主运营、学生自愿消费的模式，由中标</w:t>
            </w:r>
            <w:r>
              <w:rPr>
                <w:rFonts w:hint="eastAsia" w:ascii="宋体" w:hAnsi="宋体" w:cs="宋体"/>
                <w:bCs/>
                <w:kern w:val="0"/>
                <w:szCs w:val="21"/>
                <w:highlight w:val="none"/>
              </w:rPr>
              <w:t>人</w:t>
            </w:r>
            <w:r>
              <w:rPr>
                <w:rFonts w:hint="eastAsia" w:ascii="宋体" w:hAnsi="宋体" w:cs="宋体"/>
                <w:bCs/>
                <w:kern w:val="0"/>
                <w:szCs w:val="21"/>
                <w:highlight w:val="none"/>
                <w:lang w:val="zh-CN"/>
              </w:rPr>
              <w:t>承担包括水电费在内的所有运营成本，中标</w:t>
            </w:r>
            <w:r>
              <w:rPr>
                <w:rFonts w:hint="eastAsia" w:ascii="宋体" w:hAnsi="宋体" w:cs="宋体"/>
                <w:bCs/>
                <w:kern w:val="0"/>
                <w:szCs w:val="21"/>
                <w:highlight w:val="none"/>
              </w:rPr>
              <w:t>人</w:t>
            </w:r>
            <w:r>
              <w:rPr>
                <w:rFonts w:hint="eastAsia" w:ascii="宋体" w:hAnsi="宋体" w:cs="宋体"/>
                <w:bCs/>
                <w:kern w:val="0"/>
                <w:szCs w:val="21"/>
                <w:highlight w:val="none"/>
                <w:lang w:val="zh-CN"/>
              </w:rPr>
              <w:t>获得扣除水电费后的运营收入费用。学校收取中标</w:t>
            </w:r>
            <w:r>
              <w:rPr>
                <w:rFonts w:hint="eastAsia" w:ascii="宋体" w:hAnsi="宋体" w:cs="宋体"/>
                <w:bCs/>
                <w:kern w:val="0"/>
                <w:szCs w:val="21"/>
                <w:highlight w:val="none"/>
              </w:rPr>
              <w:t>人</w:t>
            </w:r>
            <w:r>
              <w:rPr>
                <w:rFonts w:hint="eastAsia" w:ascii="宋体" w:hAnsi="宋体" w:cs="宋体"/>
                <w:bCs/>
                <w:kern w:val="0"/>
                <w:szCs w:val="21"/>
                <w:highlight w:val="none"/>
                <w:lang w:val="zh-CN"/>
              </w:rPr>
              <w:t>水电费标准为：电费</w:t>
            </w:r>
            <w:r>
              <w:rPr>
                <w:rFonts w:ascii="宋体" w:hAnsi="宋体" w:cs="宋体"/>
                <w:bCs/>
                <w:kern w:val="0"/>
                <w:szCs w:val="21"/>
                <w:highlight w:val="none"/>
                <w:lang w:val="zh-CN"/>
              </w:rPr>
              <w:t>0.5653</w:t>
            </w:r>
            <w:r>
              <w:rPr>
                <w:rFonts w:hint="eastAsia" w:ascii="宋体" w:hAnsi="宋体" w:cs="宋体"/>
                <w:bCs/>
                <w:kern w:val="0"/>
                <w:szCs w:val="21"/>
                <w:highlight w:val="none"/>
                <w:lang w:val="zh-CN"/>
              </w:rPr>
              <w:t>元/度，水费</w:t>
            </w:r>
            <w:r>
              <w:rPr>
                <w:rFonts w:ascii="宋体" w:hAnsi="宋体" w:cs="宋体"/>
                <w:bCs/>
                <w:kern w:val="0"/>
                <w:szCs w:val="21"/>
                <w:highlight w:val="none"/>
                <w:lang w:val="zh-CN"/>
              </w:rPr>
              <w:t>3.15</w:t>
            </w:r>
            <w:r>
              <w:rPr>
                <w:rFonts w:hint="eastAsia" w:ascii="宋体" w:hAnsi="宋体" w:cs="宋体"/>
                <w:bCs/>
                <w:kern w:val="0"/>
                <w:szCs w:val="21"/>
                <w:highlight w:val="none"/>
                <w:lang w:val="zh-CN"/>
              </w:rPr>
              <w:t>元/吨，</w:t>
            </w:r>
            <w:r>
              <w:rPr>
                <w:rFonts w:hint="eastAsia" w:ascii="宋体" w:hAnsi="宋体" w:cs="宋体"/>
                <w:bCs/>
                <w:kern w:val="0"/>
                <w:szCs w:val="21"/>
                <w:highlight w:val="none"/>
              </w:rPr>
              <w:t>具体价格根据项目所在地相关部门规定执行，</w:t>
            </w:r>
            <w:r>
              <w:rPr>
                <w:rFonts w:hint="eastAsia" w:ascii="宋体" w:hAnsi="宋体" w:cs="宋体"/>
                <w:bCs/>
                <w:kern w:val="0"/>
                <w:szCs w:val="21"/>
                <w:highlight w:val="none"/>
                <w:lang w:val="zh-CN"/>
              </w:rPr>
              <w:t>如遇政府调价，按政府调价执行。</w:t>
            </w:r>
          </w:p>
          <w:p w14:paraId="18C6E220">
            <w:pPr>
              <w:tabs>
                <w:tab w:val="left" w:pos="1290"/>
              </w:tabs>
              <w:spacing w:line="360" w:lineRule="auto"/>
              <w:rPr>
                <w:rFonts w:hint="eastAsia" w:ascii="宋体" w:hAnsi="宋体" w:cs="宋体"/>
                <w:bCs/>
                <w:kern w:val="0"/>
                <w:szCs w:val="21"/>
                <w:highlight w:val="none"/>
                <w:lang w:val="zh-CN"/>
              </w:rPr>
            </w:pPr>
            <w:r>
              <w:rPr>
                <w:rFonts w:hint="eastAsia" w:ascii="宋体" w:hAnsi="宋体" w:cs="宋体"/>
                <w:b/>
                <w:kern w:val="0"/>
                <w:szCs w:val="21"/>
                <w:highlight w:val="none"/>
              </w:rPr>
              <w:t>2.</w:t>
            </w:r>
            <w:r>
              <w:rPr>
                <w:rFonts w:hint="eastAsia" w:ascii="宋体" w:hAnsi="宋体" w:cs="宋体"/>
                <w:b/>
                <w:kern w:val="0"/>
                <w:szCs w:val="21"/>
                <w:highlight w:val="none"/>
                <w:lang w:val="zh-CN"/>
              </w:rPr>
              <w:t>本项目</w:t>
            </w:r>
            <w:r>
              <w:rPr>
                <w:rFonts w:ascii="宋体" w:hAnsi="宋体" w:cs="宋体"/>
                <w:b/>
                <w:kern w:val="0"/>
                <w:szCs w:val="21"/>
                <w:highlight w:val="none"/>
                <w:lang w:val="zh-CN"/>
              </w:rPr>
              <w:t>浴室委托管理维护费</w:t>
            </w:r>
            <w:r>
              <w:rPr>
                <w:rFonts w:hint="eastAsia" w:ascii="宋体" w:hAnsi="宋体" w:cs="宋体"/>
                <w:b/>
                <w:kern w:val="0"/>
                <w:szCs w:val="21"/>
                <w:highlight w:val="none"/>
              </w:rPr>
              <w:t>部分，</w:t>
            </w:r>
            <w:r>
              <w:rPr>
                <w:rFonts w:hint="eastAsia" w:ascii="宋体" w:hAnsi="宋体" w:eastAsia="宋体" w:cs="宋体"/>
                <w:bCs/>
                <w:kern w:val="0"/>
                <w:szCs w:val="21"/>
                <w:highlight w:val="none"/>
                <w:lang w:val="en-US" w:eastAsia="zh-CN"/>
              </w:rPr>
              <w:t>招标人</w:t>
            </w:r>
            <w:r>
              <w:rPr>
                <w:rFonts w:hint="eastAsia" w:ascii="宋体" w:hAnsi="宋体" w:eastAsia="宋体" w:cs="宋体"/>
                <w:bCs/>
                <w:kern w:val="0"/>
                <w:szCs w:val="21"/>
                <w:highlight w:val="none"/>
              </w:rPr>
              <w:t>按</w:t>
            </w:r>
            <w:r>
              <w:rPr>
                <w:rFonts w:hint="eastAsia" w:ascii="宋体" w:hAnsi="宋体" w:cs="宋体"/>
                <w:bCs/>
                <w:kern w:val="0"/>
                <w:szCs w:val="21"/>
                <w:highlight w:val="none"/>
              </w:rPr>
              <w:t>照投标人所报</w:t>
            </w:r>
            <w:r>
              <w:rPr>
                <w:rFonts w:ascii="宋体" w:hAnsi="宋体" w:cs="宋体"/>
                <w:bCs/>
                <w:kern w:val="0"/>
                <w:szCs w:val="21"/>
                <w:highlight w:val="none"/>
                <w:lang w:val="zh-CN"/>
              </w:rPr>
              <w:t>浴室年营业额</w:t>
            </w:r>
            <w:r>
              <w:rPr>
                <w:rFonts w:hint="eastAsia" w:ascii="宋体" w:hAnsi="宋体" w:cs="宋体"/>
                <w:bCs/>
                <w:kern w:val="0"/>
                <w:szCs w:val="21"/>
                <w:highlight w:val="none"/>
              </w:rPr>
              <w:t>比例进行计算支付</w:t>
            </w:r>
            <w:r>
              <w:rPr>
                <w:rFonts w:hint="eastAsia" w:ascii="宋体" w:hAnsi="宋体" w:cs="宋体"/>
                <w:bCs/>
                <w:kern w:val="0"/>
                <w:szCs w:val="21"/>
                <w:highlight w:val="none"/>
                <w:lang w:eastAsia="zh-CN"/>
              </w:rPr>
              <w:t>。</w:t>
            </w:r>
            <w:r>
              <w:rPr>
                <w:rFonts w:hint="eastAsia" w:ascii="宋体" w:hAnsi="宋体" w:cs="宋体"/>
                <w:bCs/>
                <w:kern w:val="0"/>
                <w:szCs w:val="21"/>
                <w:highlight w:val="none"/>
                <w:lang w:val="zh-CN"/>
              </w:rPr>
              <w:t xml:space="preserve">     </w:t>
            </w:r>
          </w:p>
        </w:tc>
      </w:tr>
      <w:tr w14:paraId="1047AF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591" w:type="pct"/>
            <w:noWrap w:val="0"/>
            <w:vAlign w:val="center"/>
          </w:tcPr>
          <w:p w14:paraId="7E1AB092">
            <w:pPr>
              <w:pStyle w:val="6"/>
              <w:pBdr>
                <w:bottom w:val="none" w:color="auto" w:sz="0" w:space="0"/>
              </w:pBdr>
              <w:tabs>
                <w:tab w:val="clear" w:pos="4153"/>
                <w:tab w:val="clear" w:pos="8306"/>
              </w:tabs>
              <w:wordWrap w:val="0"/>
              <w:adjustRightInd/>
              <w:spacing w:line="360" w:lineRule="auto"/>
              <w:textAlignment w:val="auto"/>
              <w:rPr>
                <w:rFonts w:ascii="宋体" w:hAnsi="宋体" w:cs="宋体"/>
                <w:bCs/>
                <w:kern w:val="2"/>
                <w:sz w:val="21"/>
                <w:szCs w:val="21"/>
              </w:rPr>
            </w:pPr>
            <w:r>
              <w:rPr>
                <w:rFonts w:hint="eastAsia" w:ascii="宋体" w:hAnsi="宋体" w:cs="宋体"/>
                <w:bCs/>
                <w:kern w:val="2"/>
                <w:sz w:val="21"/>
                <w:szCs w:val="21"/>
              </w:rPr>
              <w:t>2</w:t>
            </w:r>
          </w:p>
        </w:tc>
        <w:tc>
          <w:tcPr>
            <w:tcW w:w="1191" w:type="pct"/>
            <w:noWrap w:val="0"/>
            <w:vAlign w:val="center"/>
          </w:tcPr>
          <w:p w14:paraId="339DBF2A">
            <w:pPr>
              <w:pStyle w:val="7"/>
              <w:widowControl w:val="0"/>
              <w:wordWrap w:val="0"/>
              <w:spacing w:before="0" w:beforeAutospacing="0" w:after="0" w:afterAutospacing="0" w:line="360" w:lineRule="auto"/>
              <w:rPr>
                <w:rFonts w:ascii="宋体" w:hAnsi="宋体" w:cs="宋体"/>
                <w:b w:val="0"/>
                <w:sz w:val="21"/>
                <w:szCs w:val="21"/>
              </w:rPr>
            </w:pPr>
            <w:r>
              <w:rPr>
                <w:rFonts w:hint="eastAsia" w:ascii="宋体" w:hAnsi="宋体" w:cs="宋体"/>
                <w:b w:val="0"/>
                <w:sz w:val="21"/>
                <w:szCs w:val="21"/>
              </w:rPr>
              <w:t>服务地点</w:t>
            </w:r>
          </w:p>
        </w:tc>
        <w:tc>
          <w:tcPr>
            <w:tcW w:w="3217" w:type="pct"/>
            <w:noWrap w:val="0"/>
            <w:vAlign w:val="center"/>
          </w:tcPr>
          <w:p w14:paraId="14240435">
            <w:pPr>
              <w:pStyle w:val="7"/>
              <w:widowControl w:val="0"/>
              <w:wordWrap w:val="0"/>
              <w:spacing w:before="0" w:beforeAutospacing="0" w:after="0" w:afterAutospacing="0" w:line="360" w:lineRule="auto"/>
              <w:jc w:val="both"/>
              <w:rPr>
                <w:rFonts w:ascii="宋体" w:hAnsi="宋体" w:cs="宋体"/>
                <w:b w:val="0"/>
                <w:sz w:val="21"/>
                <w:szCs w:val="21"/>
              </w:rPr>
            </w:pPr>
            <w:r>
              <w:rPr>
                <w:rFonts w:hint="eastAsia" w:ascii="宋体" w:hAnsi="宋体" w:cs="宋体"/>
                <w:b w:val="0"/>
                <w:sz w:val="21"/>
                <w:szCs w:val="21"/>
              </w:rPr>
              <w:t>安徽理工大学合肥校区或采购人指定地点</w:t>
            </w:r>
          </w:p>
        </w:tc>
      </w:tr>
      <w:tr w14:paraId="4476DB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5" w:hRule="atLeast"/>
          <w:jc w:val="center"/>
        </w:trPr>
        <w:tc>
          <w:tcPr>
            <w:tcW w:w="591" w:type="pct"/>
            <w:noWrap w:val="0"/>
            <w:vAlign w:val="center"/>
          </w:tcPr>
          <w:p w14:paraId="6AAFF0EE">
            <w:pPr>
              <w:pStyle w:val="6"/>
              <w:pBdr>
                <w:bottom w:val="none" w:color="auto" w:sz="0" w:space="0"/>
              </w:pBdr>
              <w:tabs>
                <w:tab w:val="clear" w:pos="4153"/>
                <w:tab w:val="clear" w:pos="8306"/>
              </w:tabs>
              <w:wordWrap w:val="0"/>
              <w:adjustRightInd/>
              <w:spacing w:line="360" w:lineRule="auto"/>
              <w:textAlignment w:val="auto"/>
              <w:rPr>
                <w:rFonts w:ascii="宋体" w:hAnsi="宋体" w:cs="宋体"/>
                <w:bCs/>
                <w:kern w:val="2"/>
                <w:sz w:val="21"/>
                <w:szCs w:val="21"/>
              </w:rPr>
            </w:pPr>
            <w:r>
              <w:rPr>
                <w:rFonts w:hint="eastAsia" w:ascii="宋体" w:hAnsi="宋体" w:cs="宋体"/>
                <w:bCs/>
                <w:kern w:val="2"/>
                <w:sz w:val="21"/>
                <w:szCs w:val="21"/>
              </w:rPr>
              <w:t>3</w:t>
            </w:r>
          </w:p>
        </w:tc>
        <w:tc>
          <w:tcPr>
            <w:tcW w:w="1191" w:type="pct"/>
            <w:noWrap w:val="0"/>
            <w:vAlign w:val="center"/>
          </w:tcPr>
          <w:p w14:paraId="5196B703">
            <w:pPr>
              <w:pStyle w:val="7"/>
              <w:widowControl w:val="0"/>
              <w:wordWrap w:val="0"/>
              <w:spacing w:before="0" w:beforeAutospacing="0" w:after="0" w:afterAutospacing="0" w:line="360" w:lineRule="auto"/>
              <w:rPr>
                <w:rFonts w:ascii="宋体" w:hAnsi="宋体" w:cs="宋体"/>
                <w:b w:val="0"/>
                <w:sz w:val="21"/>
                <w:szCs w:val="21"/>
                <w:highlight w:val="none"/>
              </w:rPr>
            </w:pPr>
            <w:r>
              <w:rPr>
                <w:rFonts w:hint="eastAsia" w:ascii="宋体" w:hAnsi="宋体" w:cs="宋体"/>
                <w:b w:val="0"/>
                <w:sz w:val="21"/>
                <w:szCs w:val="21"/>
                <w:highlight w:val="none"/>
              </w:rPr>
              <w:t>服务期限</w:t>
            </w:r>
          </w:p>
        </w:tc>
        <w:tc>
          <w:tcPr>
            <w:tcW w:w="3217" w:type="pct"/>
            <w:noWrap w:val="0"/>
            <w:vAlign w:val="center"/>
          </w:tcPr>
          <w:p w14:paraId="5CD99DFB">
            <w:pPr>
              <w:tabs>
                <w:tab w:val="left" w:pos="1290"/>
              </w:tabs>
              <w:spacing w:line="360" w:lineRule="auto"/>
              <w:rPr>
                <w:rFonts w:ascii="宋体" w:hAnsi="宋体" w:cs="宋体"/>
                <w:szCs w:val="21"/>
                <w:highlight w:val="none"/>
              </w:rPr>
            </w:pPr>
            <w:r>
              <w:rPr>
                <w:rFonts w:hint="eastAsia" w:ascii="宋体" w:hAnsi="宋体" w:cs="宋体"/>
                <w:bCs/>
                <w:kern w:val="0"/>
                <w:szCs w:val="21"/>
                <w:highlight w:val="none"/>
                <w:lang w:val="zh-CN"/>
              </w:rPr>
              <w:t>采用“5+1+1”模式：即合同首签5年，具体起始时间为每栋楼启用时间。若5年期间无重大安全事故且经甲方考核合格</w:t>
            </w:r>
            <w:r>
              <w:rPr>
                <w:rFonts w:hint="eastAsia" w:ascii="宋体" w:hAnsi="宋体" w:cs="宋体"/>
                <w:b/>
                <w:kern w:val="0"/>
                <w:szCs w:val="21"/>
                <w:highlight w:val="none"/>
                <w:lang w:val="zh-CN"/>
              </w:rPr>
              <w:t>（具体详见附件1）</w:t>
            </w:r>
            <w:r>
              <w:rPr>
                <w:rFonts w:hint="eastAsia" w:ascii="宋体" w:hAnsi="宋体" w:cs="宋体"/>
                <w:bCs/>
                <w:kern w:val="0"/>
                <w:szCs w:val="21"/>
                <w:highlight w:val="none"/>
                <w:lang w:val="zh-CN"/>
              </w:rPr>
              <w:t>满意度达85%以上的，续签1年合同，最长续签不超过2年；否则自动终止合同。</w:t>
            </w:r>
          </w:p>
        </w:tc>
      </w:tr>
    </w:tbl>
    <w:p w14:paraId="7CEE646C">
      <w:pPr>
        <w:spacing w:line="520" w:lineRule="exact"/>
        <w:ind w:firstLine="413" w:firstLineChars="196"/>
        <w:rPr>
          <w:rFonts w:hint="eastAsia" w:ascii="宋体" w:hAnsi="宋体" w:cs="宋体"/>
          <w:b/>
          <w:szCs w:val="21"/>
        </w:rPr>
      </w:pPr>
      <w:r>
        <w:rPr>
          <w:rFonts w:hint="eastAsia" w:ascii="宋体" w:hAnsi="宋体" w:cs="宋体"/>
          <w:b/>
          <w:szCs w:val="21"/>
        </w:rPr>
        <w:t>二、服务需求</w:t>
      </w:r>
    </w:p>
    <w:p w14:paraId="57E09713">
      <w:pPr>
        <w:spacing w:line="520" w:lineRule="exact"/>
        <w:ind w:firstLine="413" w:firstLineChars="196"/>
        <w:rPr>
          <w:rFonts w:hint="eastAsia" w:ascii="宋体" w:hAnsi="宋体" w:cs="宋体"/>
          <w:b/>
          <w:szCs w:val="21"/>
        </w:rPr>
      </w:pPr>
      <w:r>
        <w:rPr>
          <w:rFonts w:hint="eastAsia" w:ascii="宋体" w:hAnsi="宋体" w:cs="宋体"/>
          <w:b/>
          <w:szCs w:val="21"/>
        </w:rPr>
        <w:t>（一）项目概况</w:t>
      </w:r>
    </w:p>
    <w:p w14:paraId="602841F8">
      <w:pPr>
        <w:spacing w:line="520" w:lineRule="exact"/>
        <w:ind w:firstLine="420" w:firstLineChars="200"/>
        <w:rPr>
          <w:rFonts w:hint="eastAsia" w:ascii="宋体" w:hAnsi="宋体" w:cs="宋体"/>
          <w:szCs w:val="21"/>
        </w:rPr>
      </w:pPr>
      <w:r>
        <w:rPr>
          <w:rFonts w:hint="eastAsia" w:ascii="宋体" w:hAnsi="宋体" w:cs="宋体"/>
          <w:szCs w:val="21"/>
        </w:rPr>
        <w:t>安徽理工大学合肥校区新建宿舍楼3号楼、4号楼，楼满住人数情况如下，具体分布情况如下：</w:t>
      </w:r>
    </w:p>
    <w:tbl>
      <w:tblPr>
        <w:tblStyle w:val="4"/>
        <w:tblW w:w="86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26"/>
        <w:gridCol w:w="840"/>
        <w:gridCol w:w="1545"/>
        <w:gridCol w:w="1650"/>
        <w:gridCol w:w="2198"/>
      </w:tblGrid>
      <w:tr w14:paraId="71FDC6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2426" w:type="dxa"/>
            <w:tcBorders>
              <w:top w:val="single" w:color="auto" w:sz="4" w:space="0"/>
              <w:left w:val="single" w:color="auto" w:sz="4" w:space="0"/>
              <w:bottom w:val="single" w:color="auto" w:sz="4" w:space="0"/>
              <w:right w:val="single" w:color="auto" w:sz="4" w:space="0"/>
            </w:tcBorders>
            <w:noWrap w:val="0"/>
            <w:vAlign w:val="center"/>
          </w:tcPr>
          <w:p w14:paraId="38D6CEFE">
            <w:pPr>
              <w:spacing w:line="60" w:lineRule="atLeast"/>
              <w:jc w:val="center"/>
              <w:rPr>
                <w:rFonts w:hint="eastAsia" w:ascii="宋体" w:hAnsi="宋体" w:cs="宋体"/>
                <w:szCs w:val="21"/>
              </w:rPr>
            </w:pPr>
            <w:r>
              <w:rPr>
                <w:rFonts w:hint="eastAsia" w:ascii="宋体" w:hAnsi="宋体" w:cs="宋体"/>
                <w:szCs w:val="21"/>
              </w:rPr>
              <w:t>公寓号</w:t>
            </w:r>
          </w:p>
        </w:tc>
        <w:tc>
          <w:tcPr>
            <w:tcW w:w="840" w:type="dxa"/>
            <w:tcBorders>
              <w:top w:val="single" w:color="auto" w:sz="4" w:space="0"/>
              <w:left w:val="single" w:color="auto" w:sz="4" w:space="0"/>
              <w:bottom w:val="single" w:color="auto" w:sz="4" w:space="0"/>
              <w:right w:val="single" w:color="auto" w:sz="4" w:space="0"/>
            </w:tcBorders>
            <w:noWrap w:val="0"/>
            <w:vAlign w:val="center"/>
          </w:tcPr>
          <w:p w14:paraId="41877DFD">
            <w:pPr>
              <w:spacing w:line="60" w:lineRule="atLeast"/>
              <w:jc w:val="center"/>
              <w:rPr>
                <w:rFonts w:hint="eastAsia" w:ascii="宋体" w:hAnsi="宋体" w:cs="宋体"/>
                <w:szCs w:val="21"/>
              </w:rPr>
            </w:pPr>
            <w:r>
              <w:rPr>
                <w:rFonts w:hint="eastAsia" w:ascii="宋体" w:hAnsi="宋体" w:cs="宋体"/>
                <w:szCs w:val="21"/>
              </w:rPr>
              <w:t>层数</w:t>
            </w:r>
          </w:p>
        </w:tc>
        <w:tc>
          <w:tcPr>
            <w:tcW w:w="1545" w:type="dxa"/>
            <w:tcBorders>
              <w:top w:val="single" w:color="auto" w:sz="4" w:space="0"/>
              <w:left w:val="single" w:color="auto" w:sz="4" w:space="0"/>
              <w:bottom w:val="single" w:color="auto" w:sz="4" w:space="0"/>
              <w:right w:val="single" w:color="auto" w:sz="4" w:space="0"/>
            </w:tcBorders>
            <w:noWrap w:val="0"/>
            <w:vAlign w:val="center"/>
          </w:tcPr>
          <w:p w14:paraId="623043EE">
            <w:pPr>
              <w:spacing w:line="60" w:lineRule="atLeast"/>
              <w:jc w:val="center"/>
              <w:rPr>
                <w:rFonts w:hint="eastAsia" w:ascii="宋体" w:hAnsi="宋体" w:cs="宋体"/>
                <w:szCs w:val="21"/>
              </w:rPr>
            </w:pPr>
            <w:r>
              <w:rPr>
                <w:rFonts w:hint="eastAsia" w:ascii="宋体" w:hAnsi="宋体" w:cs="宋体"/>
                <w:szCs w:val="21"/>
              </w:rPr>
              <w:t>房间数</w:t>
            </w:r>
          </w:p>
        </w:tc>
        <w:tc>
          <w:tcPr>
            <w:tcW w:w="1650" w:type="dxa"/>
            <w:tcBorders>
              <w:top w:val="single" w:color="auto" w:sz="4" w:space="0"/>
              <w:left w:val="single" w:color="auto" w:sz="4" w:space="0"/>
              <w:bottom w:val="single" w:color="auto" w:sz="4" w:space="0"/>
              <w:right w:val="single" w:color="auto" w:sz="4" w:space="0"/>
            </w:tcBorders>
            <w:noWrap w:val="0"/>
            <w:vAlign w:val="center"/>
          </w:tcPr>
          <w:p w14:paraId="303C512D">
            <w:pPr>
              <w:spacing w:line="60" w:lineRule="atLeast"/>
              <w:jc w:val="center"/>
              <w:rPr>
                <w:rFonts w:hint="eastAsia" w:ascii="宋体" w:hAnsi="宋体" w:cs="宋体"/>
                <w:szCs w:val="21"/>
              </w:rPr>
            </w:pPr>
            <w:r>
              <w:rPr>
                <w:rFonts w:hint="eastAsia" w:ascii="宋体" w:hAnsi="宋体" w:cs="宋体"/>
                <w:szCs w:val="21"/>
              </w:rPr>
              <w:t>满住人数</w:t>
            </w:r>
          </w:p>
        </w:tc>
        <w:tc>
          <w:tcPr>
            <w:tcW w:w="2198" w:type="dxa"/>
            <w:tcBorders>
              <w:top w:val="single" w:color="auto" w:sz="4" w:space="0"/>
              <w:left w:val="single" w:color="auto" w:sz="4" w:space="0"/>
              <w:bottom w:val="single" w:color="auto" w:sz="4" w:space="0"/>
              <w:right w:val="single" w:color="auto" w:sz="4" w:space="0"/>
            </w:tcBorders>
            <w:noWrap w:val="0"/>
            <w:vAlign w:val="center"/>
          </w:tcPr>
          <w:p w14:paraId="3DCB9E79">
            <w:pPr>
              <w:spacing w:line="60" w:lineRule="atLeast"/>
              <w:jc w:val="center"/>
              <w:rPr>
                <w:rFonts w:hint="eastAsia" w:ascii="宋体" w:hAnsi="宋体" w:cs="宋体"/>
                <w:szCs w:val="21"/>
              </w:rPr>
            </w:pPr>
            <w:r>
              <w:rPr>
                <w:rFonts w:hint="eastAsia" w:ascii="宋体" w:hAnsi="宋体" w:cs="宋体"/>
                <w:szCs w:val="21"/>
              </w:rPr>
              <w:t>备注</w:t>
            </w:r>
          </w:p>
        </w:tc>
      </w:tr>
      <w:tr w14:paraId="4A61B9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jc w:val="center"/>
        </w:trPr>
        <w:tc>
          <w:tcPr>
            <w:tcW w:w="2426" w:type="dxa"/>
            <w:tcBorders>
              <w:top w:val="single" w:color="auto" w:sz="4" w:space="0"/>
              <w:left w:val="single" w:color="auto" w:sz="4" w:space="0"/>
              <w:bottom w:val="single" w:color="auto" w:sz="4" w:space="0"/>
              <w:right w:val="single" w:color="auto" w:sz="4" w:space="0"/>
            </w:tcBorders>
            <w:noWrap w:val="0"/>
            <w:vAlign w:val="center"/>
          </w:tcPr>
          <w:p w14:paraId="206699E1">
            <w:pPr>
              <w:jc w:val="center"/>
              <w:rPr>
                <w:rFonts w:hint="eastAsia" w:ascii="宋体" w:hAnsi="宋体" w:cs="宋体"/>
                <w:szCs w:val="21"/>
              </w:rPr>
            </w:pPr>
            <w:r>
              <w:rPr>
                <w:rFonts w:hint="eastAsia" w:ascii="宋体" w:hAnsi="宋体" w:cs="宋体"/>
                <w:szCs w:val="21"/>
              </w:rPr>
              <w:t>3号学生公寓</w:t>
            </w:r>
          </w:p>
        </w:tc>
        <w:tc>
          <w:tcPr>
            <w:tcW w:w="840" w:type="dxa"/>
            <w:tcBorders>
              <w:top w:val="single" w:color="auto" w:sz="4" w:space="0"/>
              <w:left w:val="single" w:color="auto" w:sz="4" w:space="0"/>
              <w:bottom w:val="single" w:color="auto" w:sz="4" w:space="0"/>
              <w:right w:val="single" w:color="auto" w:sz="4" w:space="0"/>
            </w:tcBorders>
            <w:noWrap w:val="0"/>
            <w:vAlign w:val="center"/>
          </w:tcPr>
          <w:p w14:paraId="58C2698E">
            <w:pPr>
              <w:jc w:val="center"/>
              <w:rPr>
                <w:rFonts w:hint="eastAsia" w:ascii="宋体" w:hAnsi="宋体" w:cs="宋体"/>
                <w:szCs w:val="21"/>
              </w:rPr>
            </w:pPr>
            <w:r>
              <w:rPr>
                <w:rFonts w:hint="eastAsia" w:ascii="宋体" w:hAnsi="宋体" w:cs="宋体"/>
                <w:szCs w:val="21"/>
              </w:rPr>
              <w:t>12</w:t>
            </w:r>
          </w:p>
        </w:tc>
        <w:tc>
          <w:tcPr>
            <w:tcW w:w="1545" w:type="dxa"/>
            <w:tcBorders>
              <w:top w:val="single" w:color="auto" w:sz="4" w:space="0"/>
              <w:left w:val="single" w:color="auto" w:sz="4" w:space="0"/>
              <w:bottom w:val="single" w:color="auto" w:sz="4" w:space="0"/>
              <w:right w:val="single" w:color="auto" w:sz="4" w:space="0"/>
            </w:tcBorders>
            <w:noWrap w:val="0"/>
            <w:vAlign w:val="center"/>
          </w:tcPr>
          <w:p w14:paraId="70AE96C5">
            <w:pPr>
              <w:jc w:val="center"/>
              <w:rPr>
                <w:rFonts w:hint="eastAsia" w:ascii="宋体" w:hAnsi="宋体" w:cs="宋体"/>
                <w:szCs w:val="21"/>
              </w:rPr>
            </w:pPr>
            <w:r>
              <w:rPr>
                <w:rFonts w:hint="eastAsia" w:ascii="宋体" w:hAnsi="宋体" w:cs="宋体"/>
                <w:szCs w:val="21"/>
              </w:rPr>
              <w:t>439</w:t>
            </w:r>
          </w:p>
        </w:tc>
        <w:tc>
          <w:tcPr>
            <w:tcW w:w="1650" w:type="dxa"/>
            <w:tcBorders>
              <w:top w:val="single" w:color="auto" w:sz="4" w:space="0"/>
              <w:left w:val="single" w:color="auto" w:sz="4" w:space="0"/>
              <w:bottom w:val="single" w:color="auto" w:sz="4" w:space="0"/>
              <w:right w:val="single" w:color="auto" w:sz="4" w:space="0"/>
            </w:tcBorders>
            <w:noWrap w:val="0"/>
            <w:vAlign w:val="center"/>
          </w:tcPr>
          <w:p w14:paraId="24280A49">
            <w:pPr>
              <w:jc w:val="center"/>
              <w:rPr>
                <w:rFonts w:hint="eastAsia" w:ascii="宋体" w:hAnsi="宋体" w:cs="宋体"/>
                <w:szCs w:val="21"/>
              </w:rPr>
            </w:pPr>
            <w:r>
              <w:rPr>
                <w:rFonts w:hint="eastAsia" w:ascii="宋体" w:hAnsi="宋体" w:cs="宋体"/>
                <w:szCs w:val="21"/>
              </w:rPr>
              <w:t>1756人</w:t>
            </w:r>
          </w:p>
        </w:tc>
        <w:tc>
          <w:tcPr>
            <w:tcW w:w="2198" w:type="dxa"/>
            <w:tcBorders>
              <w:top w:val="single" w:color="auto" w:sz="4" w:space="0"/>
              <w:left w:val="single" w:color="auto" w:sz="4" w:space="0"/>
              <w:bottom w:val="single" w:color="auto" w:sz="4" w:space="0"/>
              <w:right w:val="single" w:color="auto" w:sz="4" w:space="0"/>
            </w:tcBorders>
            <w:noWrap w:val="0"/>
            <w:vAlign w:val="center"/>
          </w:tcPr>
          <w:p w14:paraId="0A7CEE27">
            <w:pPr>
              <w:jc w:val="center"/>
              <w:rPr>
                <w:rFonts w:hint="eastAsia" w:ascii="宋体" w:hAnsi="宋体" w:cs="宋体"/>
                <w:szCs w:val="21"/>
              </w:rPr>
            </w:pPr>
          </w:p>
        </w:tc>
      </w:tr>
      <w:tr w14:paraId="613D63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jc w:val="center"/>
        </w:trPr>
        <w:tc>
          <w:tcPr>
            <w:tcW w:w="2426" w:type="dxa"/>
            <w:tcBorders>
              <w:top w:val="single" w:color="auto" w:sz="4" w:space="0"/>
              <w:left w:val="single" w:color="auto" w:sz="4" w:space="0"/>
              <w:bottom w:val="single" w:color="auto" w:sz="4" w:space="0"/>
              <w:right w:val="single" w:color="auto" w:sz="4" w:space="0"/>
            </w:tcBorders>
            <w:noWrap w:val="0"/>
            <w:vAlign w:val="center"/>
          </w:tcPr>
          <w:p w14:paraId="70FAA8B7">
            <w:pPr>
              <w:jc w:val="center"/>
              <w:rPr>
                <w:rFonts w:hint="eastAsia" w:ascii="宋体" w:hAnsi="宋体" w:cs="宋体"/>
                <w:szCs w:val="21"/>
              </w:rPr>
            </w:pPr>
            <w:r>
              <w:rPr>
                <w:rFonts w:hint="eastAsia" w:ascii="宋体" w:hAnsi="宋体" w:cs="宋体"/>
                <w:szCs w:val="21"/>
              </w:rPr>
              <w:t>4号学生公寓</w:t>
            </w:r>
          </w:p>
        </w:tc>
        <w:tc>
          <w:tcPr>
            <w:tcW w:w="840" w:type="dxa"/>
            <w:tcBorders>
              <w:top w:val="single" w:color="auto" w:sz="4" w:space="0"/>
              <w:left w:val="single" w:color="auto" w:sz="4" w:space="0"/>
              <w:bottom w:val="single" w:color="auto" w:sz="4" w:space="0"/>
              <w:right w:val="single" w:color="auto" w:sz="4" w:space="0"/>
            </w:tcBorders>
            <w:noWrap w:val="0"/>
            <w:vAlign w:val="center"/>
          </w:tcPr>
          <w:p w14:paraId="5B31B476">
            <w:pPr>
              <w:jc w:val="center"/>
              <w:rPr>
                <w:rFonts w:hint="eastAsia" w:ascii="宋体" w:hAnsi="宋体" w:cs="宋体"/>
                <w:szCs w:val="21"/>
              </w:rPr>
            </w:pPr>
            <w:r>
              <w:rPr>
                <w:rFonts w:hint="eastAsia" w:ascii="宋体" w:hAnsi="宋体" w:cs="宋体"/>
                <w:szCs w:val="21"/>
              </w:rPr>
              <w:t>6</w:t>
            </w:r>
          </w:p>
        </w:tc>
        <w:tc>
          <w:tcPr>
            <w:tcW w:w="1545" w:type="dxa"/>
            <w:tcBorders>
              <w:top w:val="single" w:color="auto" w:sz="4" w:space="0"/>
              <w:left w:val="single" w:color="auto" w:sz="4" w:space="0"/>
              <w:bottom w:val="single" w:color="auto" w:sz="4" w:space="0"/>
              <w:right w:val="single" w:color="auto" w:sz="4" w:space="0"/>
            </w:tcBorders>
            <w:noWrap w:val="0"/>
            <w:vAlign w:val="center"/>
          </w:tcPr>
          <w:p w14:paraId="6FB4F16E">
            <w:pPr>
              <w:jc w:val="center"/>
              <w:rPr>
                <w:rFonts w:hint="eastAsia" w:ascii="宋体" w:hAnsi="宋体" w:cs="宋体"/>
                <w:szCs w:val="21"/>
              </w:rPr>
            </w:pPr>
            <w:r>
              <w:rPr>
                <w:rFonts w:hint="eastAsia" w:ascii="宋体" w:hAnsi="宋体" w:cs="宋体"/>
                <w:szCs w:val="21"/>
              </w:rPr>
              <w:t>454</w:t>
            </w:r>
          </w:p>
        </w:tc>
        <w:tc>
          <w:tcPr>
            <w:tcW w:w="1650" w:type="dxa"/>
            <w:tcBorders>
              <w:top w:val="single" w:color="auto" w:sz="4" w:space="0"/>
              <w:left w:val="single" w:color="auto" w:sz="4" w:space="0"/>
              <w:bottom w:val="single" w:color="auto" w:sz="4" w:space="0"/>
              <w:right w:val="single" w:color="auto" w:sz="4" w:space="0"/>
            </w:tcBorders>
            <w:noWrap w:val="0"/>
            <w:vAlign w:val="center"/>
          </w:tcPr>
          <w:p w14:paraId="6607DA86">
            <w:pPr>
              <w:jc w:val="center"/>
              <w:rPr>
                <w:rFonts w:hint="eastAsia" w:ascii="宋体" w:hAnsi="宋体" w:cs="宋体"/>
                <w:szCs w:val="21"/>
              </w:rPr>
            </w:pPr>
            <w:r>
              <w:rPr>
                <w:rFonts w:hint="eastAsia" w:ascii="宋体" w:hAnsi="宋体" w:cs="宋体"/>
                <w:szCs w:val="21"/>
              </w:rPr>
              <w:t>1302人</w:t>
            </w:r>
          </w:p>
        </w:tc>
        <w:tc>
          <w:tcPr>
            <w:tcW w:w="2198" w:type="dxa"/>
            <w:tcBorders>
              <w:top w:val="single" w:color="auto" w:sz="4" w:space="0"/>
              <w:left w:val="single" w:color="auto" w:sz="4" w:space="0"/>
              <w:bottom w:val="single" w:color="auto" w:sz="4" w:space="0"/>
              <w:right w:val="single" w:color="auto" w:sz="4" w:space="0"/>
            </w:tcBorders>
            <w:noWrap w:val="0"/>
            <w:vAlign w:val="center"/>
          </w:tcPr>
          <w:p w14:paraId="0382B41F">
            <w:pPr>
              <w:jc w:val="center"/>
              <w:rPr>
                <w:rFonts w:hint="eastAsia" w:ascii="宋体" w:hAnsi="宋体" w:cs="宋体"/>
                <w:szCs w:val="21"/>
              </w:rPr>
            </w:pPr>
            <w:r>
              <w:rPr>
                <w:rFonts w:hint="eastAsia" w:ascii="宋体" w:hAnsi="宋体" w:cs="宋体"/>
                <w:szCs w:val="21"/>
              </w:rPr>
              <w:t>部分2人间</w:t>
            </w:r>
          </w:p>
        </w:tc>
      </w:tr>
      <w:tr w14:paraId="044D5C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jc w:val="center"/>
        </w:trPr>
        <w:tc>
          <w:tcPr>
            <w:tcW w:w="2426" w:type="dxa"/>
            <w:tcBorders>
              <w:top w:val="single" w:color="auto" w:sz="4" w:space="0"/>
              <w:left w:val="single" w:color="auto" w:sz="4" w:space="0"/>
              <w:bottom w:val="single" w:color="auto" w:sz="4" w:space="0"/>
              <w:right w:val="single" w:color="auto" w:sz="4" w:space="0"/>
            </w:tcBorders>
            <w:noWrap w:val="0"/>
            <w:vAlign w:val="center"/>
          </w:tcPr>
          <w:p w14:paraId="6AA624BB">
            <w:pPr>
              <w:jc w:val="center"/>
              <w:rPr>
                <w:rFonts w:hint="eastAsia" w:ascii="宋体" w:hAnsi="宋体" w:cs="宋体"/>
                <w:szCs w:val="21"/>
              </w:rPr>
            </w:pPr>
            <w:r>
              <w:rPr>
                <w:rFonts w:hint="eastAsia" w:ascii="宋体" w:hAnsi="宋体" w:cs="宋体"/>
                <w:szCs w:val="21"/>
              </w:rPr>
              <w:t>合计</w:t>
            </w:r>
          </w:p>
        </w:tc>
        <w:tc>
          <w:tcPr>
            <w:tcW w:w="6233" w:type="dxa"/>
            <w:gridSpan w:val="4"/>
            <w:tcBorders>
              <w:top w:val="single" w:color="auto" w:sz="4" w:space="0"/>
              <w:left w:val="single" w:color="auto" w:sz="4" w:space="0"/>
              <w:bottom w:val="single" w:color="auto" w:sz="4" w:space="0"/>
              <w:right w:val="single" w:color="auto" w:sz="4" w:space="0"/>
            </w:tcBorders>
            <w:noWrap w:val="0"/>
            <w:vAlign w:val="center"/>
          </w:tcPr>
          <w:p w14:paraId="3D50A973">
            <w:pPr>
              <w:jc w:val="center"/>
              <w:rPr>
                <w:rFonts w:hint="eastAsia" w:ascii="宋体" w:hAnsi="宋体" w:cs="宋体"/>
                <w:szCs w:val="21"/>
              </w:rPr>
            </w:pPr>
            <w:r>
              <w:rPr>
                <w:rFonts w:hint="eastAsia" w:ascii="宋体" w:hAnsi="宋体" w:cs="宋体"/>
                <w:szCs w:val="21"/>
              </w:rPr>
              <w:t>3058人</w:t>
            </w:r>
          </w:p>
        </w:tc>
      </w:tr>
    </w:tbl>
    <w:p w14:paraId="621557EE">
      <w:pPr>
        <w:spacing w:line="520" w:lineRule="exact"/>
        <w:ind w:firstLine="1476" w:firstLineChars="700"/>
        <w:rPr>
          <w:rFonts w:hint="eastAsia" w:ascii="宋体" w:hAnsi="宋体" w:cs="宋体"/>
          <w:b/>
          <w:bCs/>
          <w:szCs w:val="21"/>
        </w:rPr>
      </w:pPr>
      <w:r>
        <w:rPr>
          <w:rFonts w:hint="eastAsia" w:ascii="宋体" w:hAnsi="宋体" w:cs="宋体"/>
          <w:b/>
          <w:bCs/>
          <w:szCs w:val="21"/>
        </w:rPr>
        <w:t>（数仅作参考，不作为投标和合同签订与履约的依据。）</w:t>
      </w:r>
    </w:p>
    <w:p w14:paraId="1025275C">
      <w:pPr>
        <w:spacing w:line="520" w:lineRule="exact"/>
        <w:ind w:firstLine="413" w:firstLineChars="196"/>
        <w:rPr>
          <w:rFonts w:hint="eastAsia" w:ascii="宋体" w:hAnsi="宋体" w:cs="宋体"/>
          <w:b/>
          <w:szCs w:val="21"/>
        </w:rPr>
      </w:pPr>
      <w:r>
        <w:rPr>
          <w:rFonts w:hint="eastAsia" w:ascii="宋体" w:hAnsi="宋体" w:cs="宋体"/>
          <w:b/>
          <w:szCs w:val="21"/>
        </w:rPr>
        <w:t>（二）项目需求概述及内容</w:t>
      </w:r>
    </w:p>
    <w:p w14:paraId="2A07E34E">
      <w:pPr>
        <w:spacing w:line="520" w:lineRule="exact"/>
        <w:ind w:firstLine="420" w:firstLineChars="200"/>
        <w:rPr>
          <w:rFonts w:hint="eastAsia" w:ascii="宋体" w:hAnsi="宋体" w:cs="宋体"/>
          <w:szCs w:val="21"/>
        </w:rPr>
      </w:pPr>
      <w:r>
        <w:rPr>
          <w:rFonts w:hint="eastAsia" w:ascii="宋体" w:hAnsi="宋体" w:cs="宋体"/>
          <w:szCs w:val="21"/>
        </w:rPr>
        <w:t>1.项目需求概述</w:t>
      </w:r>
    </w:p>
    <w:p w14:paraId="76B3C2A9">
      <w:pPr>
        <w:spacing w:line="520" w:lineRule="exact"/>
        <w:ind w:firstLine="420" w:firstLineChars="200"/>
        <w:rPr>
          <w:rFonts w:hint="eastAsia" w:ascii="宋体" w:hAnsi="宋体" w:cs="宋体"/>
          <w:szCs w:val="21"/>
        </w:rPr>
      </w:pPr>
      <w:r>
        <w:rPr>
          <w:rFonts w:hint="eastAsia" w:ascii="宋体" w:hAnsi="宋体" w:cs="宋体"/>
          <w:szCs w:val="21"/>
        </w:rPr>
        <w:t>将饮水机、洗衣机、电吹风系统引入学生公寓内，以及浴室两年后委托管理，以改善学生生活服务条件，提升师生生活质量。</w:t>
      </w:r>
    </w:p>
    <w:p w14:paraId="63D68438">
      <w:pPr>
        <w:spacing w:line="520" w:lineRule="exact"/>
        <w:ind w:firstLine="420" w:firstLineChars="200"/>
        <w:rPr>
          <w:rFonts w:hint="eastAsia" w:ascii="宋体" w:hAnsi="宋体" w:cs="宋体"/>
          <w:szCs w:val="21"/>
        </w:rPr>
      </w:pPr>
      <w:r>
        <w:rPr>
          <w:rFonts w:hint="eastAsia" w:ascii="宋体" w:hAnsi="宋体" w:cs="宋体"/>
          <w:szCs w:val="21"/>
        </w:rPr>
        <w:t>2.项目需求内容</w:t>
      </w:r>
    </w:p>
    <w:p w14:paraId="104E975B">
      <w:pPr>
        <w:spacing w:line="520" w:lineRule="exact"/>
        <w:ind w:firstLine="420" w:firstLineChars="200"/>
        <w:rPr>
          <w:rFonts w:hint="eastAsia" w:ascii="宋体" w:hAnsi="宋体" w:cs="宋体"/>
          <w:szCs w:val="21"/>
        </w:rPr>
      </w:pPr>
      <w:r>
        <w:rPr>
          <w:rFonts w:hint="eastAsia" w:ascii="宋体" w:hAnsi="宋体" w:cs="宋体"/>
          <w:szCs w:val="21"/>
        </w:rPr>
        <w:t>2.1、3号学生公寓每层投放不少于3台共享洗衣机、2台“普通开水+直饮水（常温）+直饮开水”一体机、每层楼安装不少于3组（6只）电吹风。</w:t>
      </w:r>
    </w:p>
    <w:p w14:paraId="3EC33C31">
      <w:pPr>
        <w:spacing w:line="520" w:lineRule="exact"/>
        <w:ind w:firstLine="420" w:firstLineChars="200"/>
        <w:rPr>
          <w:rFonts w:hint="eastAsia" w:ascii="宋体" w:hAnsi="宋体" w:cs="宋体"/>
          <w:szCs w:val="21"/>
        </w:rPr>
      </w:pPr>
      <w:r>
        <w:rPr>
          <w:rFonts w:hint="eastAsia" w:ascii="宋体" w:hAnsi="宋体" w:cs="宋体"/>
          <w:szCs w:val="21"/>
        </w:rPr>
        <w:t>本栋楼合计投放洗衣机≥36台，开水一体机≥22台，电吹风≥36组（72只）。</w:t>
      </w:r>
    </w:p>
    <w:p w14:paraId="49B32807">
      <w:pPr>
        <w:spacing w:line="520" w:lineRule="exact"/>
        <w:ind w:firstLine="420" w:firstLineChars="200"/>
        <w:rPr>
          <w:rFonts w:hint="eastAsia" w:ascii="宋体" w:hAnsi="宋体" w:cs="宋体"/>
          <w:szCs w:val="21"/>
        </w:rPr>
      </w:pPr>
      <w:r>
        <w:rPr>
          <w:rFonts w:hint="eastAsia" w:ascii="宋体" w:hAnsi="宋体" w:cs="宋体"/>
          <w:szCs w:val="21"/>
        </w:rPr>
        <w:t>2.2、4号学生公寓每层投放不少于6台共享洗衣机、2台“普通开水+直饮水（常温）+直饮开水”一体机、每层楼安装不少于4组（8只）电吹风。</w:t>
      </w:r>
    </w:p>
    <w:p w14:paraId="502C0656">
      <w:pPr>
        <w:spacing w:line="520" w:lineRule="exact"/>
        <w:ind w:firstLine="420" w:firstLineChars="200"/>
        <w:rPr>
          <w:rFonts w:hint="eastAsia" w:ascii="宋体" w:hAnsi="宋体" w:cs="宋体"/>
          <w:szCs w:val="21"/>
        </w:rPr>
      </w:pPr>
      <w:r>
        <w:rPr>
          <w:rFonts w:hint="eastAsia" w:ascii="宋体" w:hAnsi="宋体" w:cs="宋体"/>
          <w:szCs w:val="21"/>
        </w:rPr>
        <w:t>本栋楼合计投放洗衣机≥36台，开水一体机≥12台，电吹风≥24组（48只）。</w:t>
      </w:r>
    </w:p>
    <w:p w14:paraId="130376A2">
      <w:pPr>
        <w:spacing w:line="520" w:lineRule="exact"/>
        <w:ind w:firstLine="422" w:firstLineChars="200"/>
        <w:rPr>
          <w:rFonts w:hint="eastAsia" w:ascii="宋体" w:hAnsi="宋体" w:cs="宋体"/>
          <w:szCs w:val="21"/>
        </w:rPr>
      </w:pPr>
      <w:r>
        <w:rPr>
          <w:rFonts w:hint="eastAsia" w:ascii="宋体" w:hAnsi="宋体" w:cs="宋体"/>
          <w:b/>
          <w:bCs/>
          <w:szCs w:val="21"/>
        </w:rPr>
        <w:t>注：以上投放位置和数量可根据学生实际需求增加，但学校不支付任何费用。</w:t>
      </w:r>
    </w:p>
    <w:p w14:paraId="6428DD82">
      <w:pPr>
        <w:spacing w:line="520" w:lineRule="exact"/>
        <w:ind w:firstLine="420" w:firstLineChars="200"/>
        <w:rPr>
          <w:rFonts w:hint="eastAsia" w:ascii="宋体" w:hAnsi="宋体" w:cs="宋体"/>
          <w:szCs w:val="21"/>
        </w:rPr>
      </w:pPr>
      <w:r>
        <w:rPr>
          <w:rFonts w:hint="eastAsia" w:ascii="宋体" w:hAnsi="宋体" w:cs="宋体"/>
          <w:szCs w:val="21"/>
        </w:rPr>
        <w:t>2.3、</w:t>
      </w:r>
      <w:r>
        <w:rPr>
          <w:rFonts w:hint="eastAsia" w:ascii="宋体" w:hAnsi="宋体" w:cs="宋体"/>
          <w:szCs w:val="21"/>
          <w:lang w:val="en-US" w:eastAsia="zh-CN"/>
        </w:rPr>
        <w:t>负责浴室运营管理。从第三年起承担</w:t>
      </w:r>
      <w:r>
        <w:rPr>
          <w:rFonts w:hint="eastAsia" w:ascii="宋体" w:hAnsi="宋体" w:cs="宋体"/>
          <w:b/>
          <w:bCs/>
          <w:szCs w:val="21"/>
        </w:rPr>
        <w:t>设备设施的维修及保养</w:t>
      </w:r>
      <w:r>
        <w:rPr>
          <w:rFonts w:hint="eastAsia" w:ascii="宋体" w:hAnsi="宋体" w:cs="宋体"/>
          <w:b/>
          <w:bCs/>
          <w:szCs w:val="21"/>
          <w:lang w:eastAsia="zh-CN"/>
        </w:rPr>
        <w:t>，</w:t>
      </w:r>
      <w:r>
        <w:rPr>
          <w:rFonts w:hint="eastAsia" w:ascii="宋体" w:hAnsi="宋体" w:cs="宋体"/>
          <w:szCs w:val="21"/>
        </w:rPr>
        <w:t>涉及空气源设备、储热水箱、水泵、管道的日常维护及维修；月度、季度、年度保养。学校不支付由此产生的任何费用，但不含淋浴卡机维修更换。</w:t>
      </w:r>
    </w:p>
    <w:p w14:paraId="75EDB59B">
      <w:pPr>
        <w:spacing w:line="520" w:lineRule="exact"/>
        <w:ind w:firstLine="420" w:firstLineChars="200"/>
        <w:rPr>
          <w:rFonts w:hint="eastAsia" w:ascii="宋体" w:hAnsi="宋体" w:cs="宋体"/>
          <w:szCs w:val="21"/>
        </w:rPr>
      </w:pPr>
      <w:r>
        <w:rPr>
          <w:rFonts w:hint="eastAsia" w:ascii="宋体" w:hAnsi="宋体" w:cs="宋体"/>
          <w:szCs w:val="21"/>
        </w:rPr>
        <w:t>3.支付方式</w:t>
      </w:r>
    </w:p>
    <w:p w14:paraId="7C9CAF54">
      <w:pPr>
        <w:spacing w:line="520" w:lineRule="exact"/>
        <w:ind w:firstLine="420" w:firstLineChars="200"/>
        <w:rPr>
          <w:rFonts w:hint="eastAsia" w:ascii="宋体" w:hAnsi="宋体" w:cs="宋体"/>
          <w:szCs w:val="21"/>
        </w:rPr>
      </w:pPr>
      <w:r>
        <w:rPr>
          <w:rFonts w:hint="eastAsia" w:ascii="宋体" w:hAnsi="宋体" w:cs="宋体"/>
          <w:szCs w:val="21"/>
        </w:rPr>
        <w:t>采用微信或支付宝物联网支付方式，学生通过手机APP可以实现开户、充值、预约、提醒、消费查询等功能，消费结束产生账单，消费清晰，确保学生明白消费。消费金额从银联或其他通道直接进入学校账号，不经过任何第三方平台，确保资金安全。管理系统账号和管理密码提供给学校，学校对账户进行监管。</w:t>
      </w:r>
    </w:p>
    <w:p w14:paraId="66348FB6">
      <w:pPr>
        <w:spacing w:line="520" w:lineRule="exact"/>
        <w:ind w:firstLine="422" w:firstLineChars="200"/>
        <w:rPr>
          <w:rFonts w:hint="eastAsia" w:ascii="宋体" w:hAnsi="宋体" w:cs="宋体"/>
          <w:b/>
          <w:szCs w:val="21"/>
        </w:rPr>
      </w:pPr>
      <w:r>
        <w:rPr>
          <w:rFonts w:hint="eastAsia" w:ascii="宋体" w:hAnsi="宋体" w:cs="宋体"/>
          <w:b/>
          <w:szCs w:val="21"/>
        </w:rPr>
        <w:t>（三）项目有关说明</w:t>
      </w:r>
    </w:p>
    <w:p w14:paraId="418E9F65">
      <w:pPr>
        <w:spacing w:line="520" w:lineRule="exact"/>
        <w:ind w:firstLine="420" w:firstLineChars="200"/>
        <w:rPr>
          <w:rFonts w:hint="eastAsia" w:ascii="宋体" w:hAnsi="宋体" w:cs="宋体"/>
          <w:szCs w:val="21"/>
        </w:rPr>
      </w:pPr>
      <w:r>
        <w:rPr>
          <w:rFonts w:hint="eastAsia" w:ascii="宋体" w:hAnsi="宋体" w:cs="宋体"/>
          <w:szCs w:val="21"/>
        </w:rPr>
        <w:t>1.项目设计原则：不破坏学生公寓楼宇结构、外观，各类管道走向最优化，对校园整体环境影响最小，设备、设施噪音影响最低为原则，同时必须满足环保要求，中标单位设计方案须经学校同意后方可施工。</w:t>
      </w:r>
    </w:p>
    <w:p w14:paraId="3F88BF70">
      <w:pPr>
        <w:spacing w:line="520" w:lineRule="exact"/>
        <w:ind w:firstLine="420" w:firstLineChars="200"/>
        <w:rPr>
          <w:rFonts w:hint="eastAsia" w:ascii="宋体" w:hAnsi="宋体" w:cs="宋体"/>
          <w:szCs w:val="21"/>
        </w:rPr>
      </w:pPr>
      <w:r>
        <w:rPr>
          <w:rFonts w:hint="eastAsia" w:ascii="宋体" w:hAnsi="宋体" w:cs="宋体"/>
          <w:szCs w:val="21"/>
        </w:rPr>
        <w:t>2.整个项目以BOO模式组织实施。学校只提供场地、水源、电源，不作任何投资。全部项目内容由成交供应商全额投资建设，同时负责合同期内的管理、维护、改造费用，并依据合同承担风险和享有收益。</w:t>
      </w:r>
    </w:p>
    <w:p w14:paraId="4B286373">
      <w:pPr>
        <w:spacing w:line="520" w:lineRule="exact"/>
        <w:ind w:firstLine="420" w:firstLineChars="200"/>
        <w:rPr>
          <w:rFonts w:hint="eastAsia" w:ascii="宋体" w:hAnsi="宋体" w:cs="宋体"/>
          <w:szCs w:val="21"/>
        </w:rPr>
      </w:pPr>
      <w:r>
        <w:rPr>
          <w:rFonts w:hint="eastAsia" w:ascii="宋体" w:hAnsi="宋体" w:cs="宋体"/>
          <w:szCs w:val="21"/>
        </w:rPr>
        <w:t>3.整个项目的设备、设施及场所（如：饮水机、洗衣房）的建设与改造，必须按国家标准进行施工，充分考虑安全、实用、美观，自觉接受学校等相关部门的检查验收。</w:t>
      </w:r>
    </w:p>
    <w:p w14:paraId="2DDE8023">
      <w:pPr>
        <w:spacing w:line="520" w:lineRule="exact"/>
        <w:ind w:firstLine="420" w:firstLineChars="200"/>
        <w:rPr>
          <w:rFonts w:hint="eastAsia" w:ascii="宋体" w:hAnsi="宋体" w:cs="宋体"/>
          <w:szCs w:val="21"/>
        </w:rPr>
      </w:pPr>
      <w:r>
        <w:rPr>
          <w:rFonts w:hint="eastAsia" w:ascii="宋体" w:hAnsi="宋体" w:cs="宋体"/>
          <w:szCs w:val="21"/>
        </w:rPr>
        <w:t>4.所有设备必须安装智能水表、电表，按月向学校缴纳水电费。</w:t>
      </w:r>
    </w:p>
    <w:p w14:paraId="0F75630A">
      <w:pPr>
        <w:spacing w:line="520" w:lineRule="exact"/>
        <w:ind w:firstLine="413" w:firstLineChars="196"/>
        <w:rPr>
          <w:rFonts w:hint="eastAsia" w:ascii="宋体" w:hAnsi="宋体" w:cs="宋体"/>
          <w:b/>
          <w:szCs w:val="21"/>
        </w:rPr>
      </w:pPr>
      <w:r>
        <w:rPr>
          <w:rFonts w:hint="eastAsia" w:ascii="宋体" w:hAnsi="宋体" w:cs="宋体"/>
          <w:b/>
          <w:szCs w:val="21"/>
        </w:rPr>
        <w:t>（四）主要设计、验收依据</w:t>
      </w:r>
    </w:p>
    <w:p w14:paraId="6339E136">
      <w:pPr>
        <w:spacing w:line="520" w:lineRule="exact"/>
        <w:ind w:firstLine="420" w:firstLineChars="200"/>
        <w:rPr>
          <w:rFonts w:hint="eastAsia" w:ascii="宋体" w:hAnsi="宋体" w:cs="宋体"/>
          <w:szCs w:val="21"/>
        </w:rPr>
      </w:pPr>
      <w:r>
        <w:rPr>
          <w:rFonts w:hint="eastAsia" w:ascii="宋体" w:hAnsi="宋体" w:cs="宋体"/>
          <w:szCs w:val="21"/>
        </w:rPr>
        <w:t>1.GB 50411-1997《建筑节能工程施工质量验收规范》</w:t>
      </w:r>
    </w:p>
    <w:p w14:paraId="1486C138">
      <w:pPr>
        <w:spacing w:line="520" w:lineRule="exact"/>
        <w:ind w:firstLine="420" w:firstLineChars="200"/>
        <w:rPr>
          <w:rFonts w:hint="eastAsia" w:ascii="宋体" w:hAnsi="宋体" w:cs="宋体"/>
          <w:szCs w:val="21"/>
        </w:rPr>
      </w:pPr>
      <w:r>
        <w:rPr>
          <w:rFonts w:hint="eastAsia" w:ascii="宋体" w:hAnsi="宋体" w:cs="宋体"/>
          <w:szCs w:val="21"/>
        </w:rPr>
        <w:t>2.GB 50242-2002《建筑给排水及采暖工程施工质量验收规范》</w:t>
      </w:r>
    </w:p>
    <w:p w14:paraId="23E96576">
      <w:pPr>
        <w:spacing w:line="520" w:lineRule="exact"/>
        <w:ind w:firstLine="420" w:firstLineChars="200"/>
        <w:rPr>
          <w:rFonts w:hint="eastAsia" w:ascii="宋体" w:hAnsi="宋体" w:cs="宋体"/>
          <w:szCs w:val="21"/>
        </w:rPr>
      </w:pPr>
      <w:r>
        <w:rPr>
          <w:rFonts w:hint="eastAsia" w:ascii="宋体" w:hAnsi="宋体" w:cs="宋体"/>
          <w:szCs w:val="21"/>
        </w:rPr>
        <w:t>3.GB/T 4272-1992《设备及管道恒温技术通则》</w:t>
      </w:r>
    </w:p>
    <w:p w14:paraId="18F0B9CE">
      <w:pPr>
        <w:spacing w:line="520" w:lineRule="exact"/>
        <w:ind w:firstLine="420" w:firstLineChars="200"/>
        <w:rPr>
          <w:rFonts w:hint="eastAsia" w:ascii="宋体" w:hAnsi="宋体" w:cs="宋体"/>
          <w:szCs w:val="21"/>
        </w:rPr>
      </w:pPr>
      <w:r>
        <w:rPr>
          <w:rFonts w:hint="eastAsia" w:ascii="宋体" w:hAnsi="宋体" w:cs="宋体"/>
          <w:szCs w:val="21"/>
        </w:rPr>
        <w:t>4.GB 50205-2001《钢结构工程施工质量验收规范》</w:t>
      </w:r>
    </w:p>
    <w:p w14:paraId="7FF24A37">
      <w:pPr>
        <w:spacing w:line="520" w:lineRule="exact"/>
        <w:ind w:firstLine="420" w:firstLineChars="200"/>
        <w:rPr>
          <w:rFonts w:hint="eastAsia" w:ascii="宋体" w:hAnsi="宋体" w:cs="宋体"/>
          <w:szCs w:val="21"/>
        </w:rPr>
      </w:pPr>
      <w:r>
        <w:rPr>
          <w:rFonts w:hint="eastAsia" w:ascii="宋体" w:hAnsi="宋体" w:cs="宋体"/>
          <w:szCs w:val="21"/>
        </w:rPr>
        <w:t>5.GB 50015-2003《建筑给排水设计规范》</w:t>
      </w:r>
    </w:p>
    <w:p w14:paraId="7C8AB077">
      <w:pPr>
        <w:spacing w:line="520" w:lineRule="exact"/>
        <w:ind w:firstLine="420" w:firstLineChars="200"/>
        <w:rPr>
          <w:rFonts w:hint="eastAsia" w:ascii="宋体" w:hAnsi="宋体" w:cs="宋体"/>
          <w:szCs w:val="21"/>
        </w:rPr>
      </w:pPr>
      <w:r>
        <w:rPr>
          <w:rFonts w:hint="eastAsia" w:ascii="宋体" w:hAnsi="宋体" w:cs="宋体"/>
          <w:szCs w:val="21"/>
        </w:rPr>
        <w:t>6.GB 50332-2002《给水排水工程管道结构设计规范》</w:t>
      </w:r>
    </w:p>
    <w:p w14:paraId="5B907379">
      <w:pPr>
        <w:spacing w:line="520" w:lineRule="exact"/>
        <w:ind w:firstLine="420" w:firstLineChars="200"/>
        <w:rPr>
          <w:rFonts w:hint="eastAsia" w:ascii="宋体" w:hAnsi="宋体" w:cs="宋体"/>
          <w:szCs w:val="21"/>
        </w:rPr>
      </w:pPr>
      <w:r>
        <w:rPr>
          <w:rFonts w:hint="eastAsia" w:ascii="宋体" w:hAnsi="宋体" w:cs="宋体"/>
          <w:szCs w:val="21"/>
        </w:rPr>
        <w:t>7.GB 50268-97《给水排水管道工程施工及验收规范》</w:t>
      </w:r>
    </w:p>
    <w:p w14:paraId="7E7B9FCE">
      <w:pPr>
        <w:spacing w:line="520" w:lineRule="exact"/>
        <w:ind w:firstLine="420" w:firstLineChars="200"/>
        <w:rPr>
          <w:rFonts w:hint="eastAsia" w:ascii="宋体" w:hAnsi="宋体" w:cs="宋体"/>
          <w:szCs w:val="21"/>
        </w:rPr>
      </w:pPr>
      <w:r>
        <w:rPr>
          <w:rFonts w:hint="eastAsia" w:ascii="宋体" w:hAnsi="宋体" w:cs="宋体"/>
          <w:szCs w:val="21"/>
        </w:rPr>
        <w:t>8.GB 98R418《管道及设备保温》国家建筑标准设计图集</w:t>
      </w:r>
    </w:p>
    <w:p w14:paraId="3D57DA4D">
      <w:pPr>
        <w:spacing w:line="520" w:lineRule="exact"/>
        <w:ind w:firstLine="420" w:firstLineChars="200"/>
        <w:rPr>
          <w:rFonts w:hint="eastAsia" w:ascii="宋体" w:hAnsi="宋体" w:cs="宋体"/>
          <w:szCs w:val="21"/>
        </w:rPr>
      </w:pPr>
      <w:r>
        <w:rPr>
          <w:rFonts w:hint="eastAsia" w:ascii="宋体" w:hAnsi="宋体" w:cs="宋体"/>
          <w:szCs w:val="21"/>
        </w:rPr>
        <w:t>9.GB 50009-2001《建筑结构荷载设计规范》</w:t>
      </w:r>
    </w:p>
    <w:p w14:paraId="6228684B">
      <w:pPr>
        <w:spacing w:line="520" w:lineRule="exact"/>
        <w:ind w:firstLine="420" w:firstLineChars="200"/>
        <w:rPr>
          <w:rFonts w:hint="eastAsia" w:ascii="宋体" w:hAnsi="宋体" w:cs="宋体"/>
          <w:szCs w:val="21"/>
        </w:rPr>
      </w:pPr>
      <w:r>
        <w:rPr>
          <w:rFonts w:hint="eastAsia" w:ascii="宋体" w:hAnsi="宋体" w:cs="宋体"/>
          <w:szCs w:val="21"/>
        </w:rPr>
        <w:t>10.GB/T 50057-1994《建筑物防雷设计规范》</w:t>
      </w:r>
    </w:p>
    <w:p w14:paraId="560F8EEB">
      <w:pPr>
        <w:spacing w:line="520" w:lineRule="exact"/>
        <w:ind w:firstLine="420" w:firstLineChars="200"/>
        <w:rPr>
          <w:rFonts w:hint="eastAsia" w:ascii="宋体" w:hAnsi="宋体" w:cs="宋体"/>
          <w:szCs w:val="21"/>
        </w:rPr>
      </w:pPr>
      <w:r>
        <w:rPr>
          <w:rFonts w:hint="eastAsia" w:ascii="宋体" w:hAnsi="宋体" w:cs="宋体"/>
          <w:szCs w:val="21"/>
        </w:rPr>
        <w:t>11.GBJ 131-90《自动化仪表安装工程质量检验评定标准》</w:t>
      </w:r>
    </w:p>
    <w:p w14:paraId="4875D5E6">
      <w:pPr>
        <w:spacing w:line="520" w:lineRule="exact"/>
        <w:ind w:firstLine="420" w:firstLineChars="200"/>
        <w:rPr>
          <w:rFonts w:hint="eastAsia" w:ascii="宋体" w:hAnsi="宋体" w:cs="宋体"/>
          <w:szCs w:val="21"/>
        </w:rPr>
      </w:pPr>
      <w:r>
        <w:rPr>
          <w:rFonts w:hint="eastAsia" w:ascii="宋体" w:hAnsi="宋体" w:cs="宋体"/>
          <w:szCs w:val="21"/>
        </w:rPr>
        <w:t>12.DGJ 108-113-2005《住宅建筑节能工程施工质量验收规程》</w:t>
      </w:r>
    </w:p>
    <w:p w14:paraId="437111EB">
      <w:pPr>
        <w:spacing w:line="520" w:lineRule="exact"/>
        <w:ind w:firstLine="420" w:firstLineChars="200"/>
        <w:rPr>
          <w:rFonts w:hint="eastAsia" w:ascii="宋体" w:hAnsi="宋体" w:cs="宋体"/>
          <w:szCs w:val="21"/>
        </w:rPr>
      </w:pPr>
      <w:r>
        <w:rPr>
          <w:rFonts w:hint="eastAsia" w:ascii="宋体" w:hAnsi="宋体" w:cs="宋体"/>
          <w:szCs w:val="21"/>
        </w:rPr>
        <w:t>13.GB 50016-2014《建筑设计防火规范》</w:t>
      </w:r>
    </w:p>
    <w:p w14:paraId="097469DB">
      <w:pPr>
        <w:spacing w:line="520" w:lineRule="exact"/>
        <w:ind w:firstLine="420" w:firstLineChars="200"/>
        <w:rPr>
          <w:rFonts w:hint="eastAsia" w:ascii="宋体" w:hAnsi="宋体" w:cs="宋体"/>
          <w:szCs w:val="21"/>
        </w:rPr>
      </w:pPr>
      <w:r>
        <w:rPr>
          <w:rFonts w:hint="eastAsia" w:ascii="宋体" w:hAnsi="宋体" w:cs="宋体"/>
          <w:szCs w:val="21"/>
        </w:rPr>
        <w:t>14.GB 50169《电气装置安装工程接地装置施工及验收规范》</w:t>
      </w:r>
    </w:p>
    <w:p w14:paraId="193A62B0">
      <w:pPr>
        <w:spacing w:line="520" w:lineRule="exact"/>
        <w:ind w:firstLine="420" w:firstLineChars="200"/>
        <w:rPr>
          <w:rFonts w:hint="eastAsia" w:ascii="宋体" w:hAnsi="宋体" w:cs="宋体"/>
          <w:szCs w:val="21"/>
        </w:rPr>
      </w:pPr>
      <w:r>
        <w:rPr>
          <w:rFonts w:hint="eastAsia" w:ascii="宋体" w:hAnsi="宋体" w:cs="宋体"/>
          <w:szCs w:val="21"/>
        </w:rPr>
        <w:t>15.GB 50254《电气装置安装工程低压电器施工及验收规范》</w:t>
      </w:r>
    </w:p>
    <w:p w14:paraId="2099DCB0">
      <w:pPr>
        <w:spacing w:line="520" w:lineRule="exact"/>
        <w:ind w:firstLine="420" w:firstLineChars="200"/>
        <w:rPr>
          <w:rFonts w:hint="eastAsia" w:ascii="宋体" w:hAnsi="宋体" w:cs="宋体"/>
          <w:szCs w:val="21"/>
        </w:rPr>
      </w:pPr>
      <w:r>
        <w:rPr>
          <w:rFonts w:hint="eastAsia" w:ascii="宋体" w:hAnsi="宋体" w:cs="宋体"/>
          <w:szCs w:val="21"/>
        </w:rPr>
        <w:t>16、GB 21362-2008《商业或工业用及类似用途的热泵热水机》</w:t>
      </w:r>
    </w:p>
    <w:p w14:paraId="2F68FBFA">
      <w:pPr>
        <w:spacing w:line="520" w:lineRule="exact"/>
        <w:ind w:firstLine="420" w:firstLineChars="200"/>
        <w:rPr>
          <w:rFonts w:hint="eastAsia" w:ascii="宋体" w:hAnsi="宋体" w:cs="宋体"/>
          <w:szCs w:val="21"/>
        </w:rPr>
      </w:pPr>
      <w:r>
        <w:rPr>
          <w:rFonts w:hint="eastAsia" w:ascii="宋体" w:hAnsi="宋体" w:cs="宋体"/>
          <w:szCs w:val="21"/>
        </w:rPr>
        <w:t>17.GB 4706.32-2004《家用和类似用途电器的安全、热泵、空调器和除湿机的特殊要求》</w:t>
      </w:r>
    </w:p>
    <w:p w14:paraId="6C399EFF">
      <w:pPr>
        <w:spacing w:line="520" w:lineRule="exact"/>
        <w:ind w:firstLine="420" w:firstLineChars="200"/>
        <w:rPr>
          <w:rFonts w:hint="eastAsia" w:ascii="宋体" w:hAnsi="宋体" w:cs="宋体"/>
          <w:szCs w:val="21"/>
        </w:rPr>
      </w:pPr>
      <w:r>
        <w:rPr>
          <w:rFonts w:hint="eastAsia" w:ascii="宋体" w:hAnsi="宋体" w:cs="宋体"/>
          <w:szCs w:val="21"/>
        </w:rPr>
        <w:t>18.GB 18430.1-2007《蒸发压缩机循环冷水（热）泵机组第1部分工业或商业用及类似用途的冷水（热泵）机组》</w:t>
      </w:r>
    </w:p>
    <w:p w14:paraId="17BCF629">
      <w:pPr>
        <w:spacing w:line="520" w:lineRule="exact"/>
        <w:ind w:firstLine="420" w:firstLineChars="200"/>
        <w:rPr>
          <w:rFonts w:hint="eastAsia" w:ascii="宋体" w:hAnsi="宋体" w:cs="宋体"/>
          <w:szCs w:val="21"/>
        </w:rPr>
      </w:pPr>
      <w:r>
        <w:rPr>
          <w:rFonts w:hint="eastAsia" w:ascii="宋体" w:hAnsi="宋体" w:cs="宋体"/>
          <w:szCs w:val="21"/>
        </w:rPr>
        <w:t>19.JB/T 8702-1998《屋顶式风冷空调（热泵）机组》</w:t>
      </w:r>
    </w:p>
    <w:p w14:paraId="6F83B2C3">
      <w:pPr>
        <w:spacing w:line="520" w:lineRule="exact"/>
        <w:ind w:firstLine="420" w:firstLineChars="200"/>
        <w:rPr>
          <w:rFonts w:hint="eastAsia" w:ascii="宋体" w:hAnsi="宋体" w:cs="宋体"/>
          <w:szCs w:val="21"/>
        </w:rPr>
      </w:pPr>
      <w:r>
        <w:rPr>
          <w:rFonts w:hint="eastAsia" w:ascii="宋体" w:hAnsi="宋体" w:cs="宋体"/>
          <w:szCs w:val="21"/>
        </w:rPr>
        <w:t>20.GB 50555-2010《民用建筑节水设计标准》</w:t>
      </w:r>
    </w:p>
    <w:p w14:paraId="2DDEC7EC">
      <w:pPr>
        <w:spacing w:line="520" w:lineRule="exact"/>
        <w:ind w:firstLine="420" w:firstLineChars="200"/>
        <w:rPr>
          <w:rFonts w:hint="eastAsia" w:ascii="宋体" w:hAnsi="宋体" w:cs="宋体"/>
          <w:szCs w:val="21"/>
        </w:rPr>
      </w:pPr>
      <w:r>
        <w:rPr>
          <w:rFonts w:hint="eastAsia" w:ascii="宋体" w:hAnsi="宋体" w:cs="宋体"/>
          <w:szCs w:val="21"/>
        </w:rPr>
        <w:t>21.GB 3096-92《城市区域环境噪音标准》</w:t>
      </w:r>
    </w:p>
    <w:p w14:paraId="6215F93D">
      <w:pPr>
        <w:spacing w:line="520" w:lineRule="exact"/>
        <w:ind w:firstLine="420" w:firstLineChars="200"/>
        <w:rPr>
          <w:rFonts w:hint="eastAsia" w:ascii="宋体" w:hAnsi="宋体" w:cs="宋体"/>
          <w:szCs w:val="21"/>
        </w:rPr>
      </w:pPr>
      <w:r>
        <w:rPr>
          <w:rFonts w:hint="eastAsia" w:ascii="宋体" w:hAnsi="宋体" w:cs="宋体"/>
          <w:szCs w:val="21"/>
        </w:rPr>
        <w:t>有最新的标准以新版标准为准。</w:t>
      </w:r>
    </w:p>
    <w:p w14:paraId="7C855B7C">
      <w:pPr>
        <w:spacing w:line="520" w:lineRule="exact"/>
        <w:ind w:firstLine="422" w:firstLineChars="200"/>
        <w:rPr>
          <w:rFonts w:hint="eastAsia" w:ascii="宋体" w:hAnsi="宋体" w:cs="宋体"/>
          <w:b/>
          <w:szCs w:val="21"/>
        </w:rPr>
      </w:pPr>
      <w:r>
        <w:rPr>
          <w:rFonts w:hint="eastAsia" w:ascii="宋体" w:hAnsi="宋体" w:cs="宋体"/>
          <w:b/>
          <w:szCs w:val="21"/>
        </w:rPr>
        <w:t>（五）项目设备技术、改造及建设要求</w:t>
      </w:r>
    </w:p>
    <w:p w14:paraId="24DA598C">
      <w:pPr>
        <w:spacing w:line="520" w:lineRule="exact"/>
        <w:ind w:firstLine="420" w:firstLineChars="200"/>
        <w:rPr>
          <w:rFonts w:hint="eastAsia" w:ascii="宋体" w:hAnsi="宋体" w:cs="宋体"/>
          <w:szCs w:val="21"/>
        </w:rPr>
      </w:pPr>
      <w:r>
        <w:rPr>
          <w:rFonts w:hint="eastAsia" w:ascii="宋体" w:hAnsi="宋体" w:cs="宋体"/>
          <w:szCs w:val="21"/>
        </w:rPr>
        <w:t>1.设备、产品技术要求</w:t>
      </w:r>
    </w:p>
    <w:p w14:paraId="375354F7">
      <w:pPr>
        <w:spacing w:line="520" w:lineRule="exact"/>
        <w:ind w:firstLine="420" w:firstLineChars="200"/>
        <w:rPr>
          <w:rFonts w:hint="eastAsia" w:ascii="宋体" w:hAnsi="宋体" w:cs="宋体"/>
          <w:szCs w:val="21"/>
        </w:rPr>
      </w:pPr>
      <w:r>
        <w:rPr>
          <w:rFonts w:hint="eastAsia" w:ascii="宋体" w:hAnsi="宋体" w:cs="宋体"/>
          <w:szCs w:val="21"/>
        </w:rPr>
        <w:t>（1）洗衣机要求</w:t>
      </w:r>
    </w:p>
    <w:p w14:paraId="375CC5EB">
      <w:pPr>
        <w:spacing w:line="520" w:lineRule="exact"/>
        <w:ind w:firstLine="420" w:firstLineChars="200"/>
        <w:rPr>
          <w:rFonts w:hint="eastAsia" w:ascii="宋体" w:hAnsi="宋体" w:cs="宋体"/>
          <w:szCs w:val="21"/>
        </w:rPr>
      </w:pPr>
      <w:r>
        <w:rPr>
          <w:rFonts w:hint="eastAsia" w:ascii="宋体" w:hAnsi="宋体" w:cs="宋体"/>
          <w:szCs w:val="21"/>
        </w:rPr>
        <w:t>1.1洗衣能力：洗涤重量≥8kg。</w:t>
      </w:r>
    </w:p>
    <w:p w14:paraId="1E70B535">
      <w:pPr>
        <w:spacing w:line="520" w:lineRule="exact"/>
        <w:ind w:firstLine="420" w:firstLineChars="200"/>
        <w:rPr>
          <w:rFonts w:hint="eastAsia" w:ascii="宋体" w:hAnsi="宋体" w:cs="宋体"/>
          <w:szCs w:val="21"/>
        </w:rPr>
      </w:pPr>
      <w:r>
        <w:rPr>
          <w:rFonts w:hint="eastAsia" w:ascii="宋体" w:hAnsi="宋体" w:cs="宋体"/>
          <w:szCs w:val="21"/>
        </w:rPr>
        <w:t>1.2洗衣模式：单脱水、快洗、标准洗、大件洗。</w:t>
      </w:r>
    </w:p>
    <w:p w14:paraId="49214F3B">
      <w:pPr>
        <w:spacing w:line="520" w:lineRule="exact"/>
        <w:ind w:firstLine="420" w:firstLineChars="200"/>
        <w:rPr>
          <w:rFonts w:hint="eastAsia" w:ascii="宋体" w:hAnsi="宋体" w:cs="宋体"/>
          <w:szCs w:val="21"/>
        </w:rPr>
      </w:pPr>
      <w:r>
        <w:rPr>
          <w:rFonts w:hint="eastAsia" w:ascii="宋体" w:hAnsi="宋体" w:cs="宋体"/>
          <w:szCs w:val="21"/>
        </w:rPr>
        <w:t>1.3产品类型：全自动滚筒洗衣机（含无磷洗涤液）。</w:t>
      </w:r>
    </w:p>
    <w:p w14:paraId="002E6768">
      <w:pPr>
        <w:spacing w:line="520" w:lineRule="exact"/>
        <w:ind w:firstLine="420" w:firstLineChars="200"/>
        <w:rPr>
          <w:rFonts w:hint="eastAsia" w:ascii="宋体" w:hAnsi="宋体" w:cs="宋体"/>
          <w:szCs w:val="21"/>
        </w:rPr>
      </w:pPr>
      <w:r>
        <w:rPr>
          <w:rFonts w:hint="eastAsia" w:ascii="宋体" w:hAnsi="宋体" w:cs="宋体"/>
          <w:szCs w:val="21"/>
        </w:rPr>
        <w:t>1.4产品材质：箱体为镀锌钢板，内桶为不锈钢。</w:t>
      </w:r>
    </w:p>
    <w:p w14:paraId="581103A6">
      <w:pPr>
        <w:spacing w:line="520" w:lineRule="exact"/>
        <w:ind w:firstLine="420" w:firstLineChars="200"/>
        <w:rPr>
          <w:rFonts w:ascii="宋体" w:hAnsi="宋体" w:cs="宋体"/>
          <w:szCs w:val="21"/>
        </w:rPr>
      </w:pPr>
      <w:r>
        <w:rPr>
          <w:rFonts w:hint="eastAsia" w:ascii="宋体" w:hAnsi="宋体" w:cs="宋体"/>
          <w:szCs w:val="21"/>
        </w:rPr>
        <w:t>1.5</w:t>
      </w:r>
      <w:r>
        <w:rPr>
          <w:rFonts w:hint="eastAsia" w:ascii="宋体" w:hAnsi="宋体" w:cs="宋体"/>
          <w:szCs w:val="21"/>
          <w:lang w:val="zh-CN"/>
        </w:rPr>
        <w:t>所投</w:t>
      </w:r>
      <w:r>
        <w:rPr>
          <w:rFonts w:hint="eastAsia" w:ascii="宋体" w:hAnsi="宋体" w:cs="宋体"/>
          <w:szCs w:val="21"/>
        </w:rPr>
        <w:t>洗衣</w:t>
      </w:r>
      <w:r>
        <w:rPr>
          <w:rFonts w:hint="eastAsia" w:ascii="宋体" w:hAnsi="宋体" w:cs="宋体"/>
          <w:szCs w:val="21"/>
          <w:lang w:val="zh-CN"/>
        </w:rPr>
        <w:t>机产品</w:t>
      </w:r>
      <w:r>
        <w:rPr>
          <w:rFonts w:hint="eastAsia" w:ascii="宋体" w:hAnsi="宋体" w:cs="宋体"/>
          <w:szCs w:val="21"/>
        </w:rPr>
        <w:t>须</w:t>
      </w:r>
      <w:r>
        <w:rPr>
          <w:rFonts w:hint="eastAsia" w:ascii="宋体" w:hAnsi="宋体" w:cs="宋体"/>
          <w:szCs w:val="21"/>
          <w:lang w:val="zh-CN"/>
        </w:rPr>
        <w:t>获得国家强制性3C产品认证证书。（</w:t>
      </w:r>
      <w:r>
        <w:rPr>
          <w:rFonts w:hint="eastAsia" w:ascii="宋体" w:hAnsi="宋体" w:cs="宋体"/>
          <w:szCs w:val="21"/>
        </w:rPr>
        <w:t>本条作为实质性要求，负偏离或未响应视为投标无效</w:t>
      </w:r>
      <w:r>
        <w:rPr>
          <w:rFonts w:hint="eastAsia" w:ascii="宋体" w:hAnsi="宋体" w:cs="宋体"/>
          <w:szCs w:val="21"/>
          <w:lang w:val="zh-CN"/>
        </w:rPr>
        <w:t>）</w:t>
      </w:r>
    </w:p>
    <w:p w14:paraId="1D6692FF">
      <w:pPr>
        <w:spacing w:line="520" w:lineRule="exact"/>
        <w:ind w:firstLine="420" w:firstLineChars="200"/>
        <w:rPr>
          <w:rFonts w:hint="eastAsia" w:ascii="宋体" w:hAnsi="宋体" w:cs="宋体"/>
          <w:szCs w:val="21"/>
        </w:rPr>
      </w:pPr>
      <w:r>
        <w:rPr>
          <w:rFonts w:hint="eastAsia" w:ascii="宋体" w:hAnsi="宋体" w:cs="宋体"/>
          <w:szCs w:val="21"/>
        </w:rPr>
        <w:t>（2）吹风机要求</w:t>
      </w:r>
    </w:p>
    <w:p w14:paraId="17463207">
      <w:pPr>
        <w:spacing w:line="520" w:lineRule="exact"/>
        <w:ind w:firstLine="420" w:firstLineChars="200"/>
        <w:rPr>
          <w:rFonts w:hint="eastAsia" w:ascii="宋体" w:hAnsi="宋体" w:cs="宋体"/>
          <w:szCs w:val="21"/>
          <w:lang w:val="zh-CN"/>
        </w:rPr>
      </w:pPr>
      <w:r>
        <w:rPr>
          <w:rFonts w:hint="eastAsia" w:ascii="宋体" w:hAnsi="宋体" w:cs="宋体"/>
          <w:szCs w:val="21"/>
        </w:rPr>
        <w:t>2.1</w:t>
      </w:r>
      <w:r>
        <w:rPr>
          <w:rFonts w:hint="eastAsia" w:ascii="宋体" w:hAnsi="宋体" w:cs="宋体"/>
          <w:szCs w:val="21"/>
          <w:lang w:val="zh-CN"/>
        </w:rPr>
        <w:t>吹风机最高档位功率1</w:t>
      </w:r>
      <w:r>
        <w:rPr>
          <w:rFonts w:hint="eastAsia" w:ascii="宋体" w:hAnsi="宋体" w:cs="宋体"/>
          <w:szCs w:val="21"/>
        </w:rPr>
        <w:t>5</w:t>
      </w:r>
      <w:r>
        <w:rPr>
          <w:rFonts w:hint="eastAsia" w:ascii="宋体" w:hAnsi="宋体" w:cs="宋体"/>
          <w:szCs w:val="21"/>
          <w:lang w:val="zh-CN"/>
        </w:rPr>
        <w:t>00W~1800W；吹风机电源线需单独布置，根据安装后的实际功率，采用相对应的安全参数国标线。</w:t>
      </w:r>
    </w:p>
    <w:p w14:paraId="0E639241">
      <w:pPr>
        <w:spacing w:line="520" w:lineRule="exact"/>
        <w:ind w:firstLine="420" w:firstLineChars="200"/>
        <w:rPr>
          <w:rFonts w:hint="eastAsia" w:ascii="宋体" w:hAnsi="宋体" w:cs="宋体"/>
          <w:szCs w:val="21"/>
          <w:lang w:val="zh-CN"/>
        </w:rPr>
      </w:pPr>
      <w:r>
        <w:rPr>
          <w:rFonts w:hint="eastAsia" w:ascii="宋体" w:hAnsi="宋体" w:cs="宋体"/>
          <w:szCs w:val="21"/>
        </w:rPr>
        <w:t>2.2</w:t>
      </w:r>
      <w:r>
        <w:rPr>
          <w:rFonts w:hint="eastAsia" w:ascii="宋体" w:hAnsi="宋体" w:cs="宋体"/>
          <w:szCs w:val="21"/>
          <w:lang w:val="zh-CN"/>
        </w:rPr>
        <w:t>如有不正常的电流或超过设定的温度，吹风机会自动停止工作。</w:t>
      </w:r>
    </w:p>
    <w:p w14:paraId="1E7E2FDC">
      <w:pPr>
        <w:spacing w:line="520" w:lineRule="exact"/>
        <w:ind w:firstLine="420" w:firstLineChars="200"/>
        <w:rPr>
          <w:rFonts w:hint="eastAsia" w:ascii="宋体" w:hAnsi="宋体" w:cs="宋体"/>
          <w:szCs w:val="21"/>
          <w:lang w:val="zh-CN"/>
        </w:rPr>
      </w:pPr>
      <w:r>
        <w:rPr>
          <w:rFonts w:hint="eastAsia" w:ascii="宋体" w:hAnsi="宋体" w:cs="宋体"/>
          <w:szCs w:val="21"/>
        </w:rPr>
        <w:t>2.3</w:t>
      </w:r>
      <w:r>
        <w:rPr>
          <w:rFonts w:hint="eastAsia" w:ascii="宋体" w:hAnsi="宋体" w:cs="宋体"/>
          <w:szCs w:val="21"/>
          <w:lang w:val="zh-CN"/>
        </w:rPr>
        <w:t>可选档位：两档及以上。</w:t>
      </w:r>
    </w:p>
    <w:p w14:paraId="20DA66EC">
      <w:pPr>
        <w:spacing w:line="520" w:lineRule="exact"/>
        <w:ind w:firstLine="420" w:firstLineChars="200"/>
        <w:rPr>
          <w:rFonts w:hint="eastAsia" w:ascii="宋体" w:hAnsi="宋体" w:cs="宋体"/>
          <w:szCs w:val="21"/>
        </w:rPr>
      </w:pPr>
      <w:r>
        <w:rPr>
          <w:rFonts w:hint="eastAsia" w:ascii="宋体" w:hAnsi="宋体" w:cs="宋体"/>
          <w:szCs w:val="21"/>
        </w:rPr>
        <w:t>2.4</w:t>
      </w:r>
      <w:r>
        <w:rPr>
          <w:rFonts w:hint="eastAsia" w:ascii="宋体" w:hAnsi="宋体" w:cs="宋体"/>
          <w:szCs w:val="21"/>
          <w:lang w:val="zh-CN"/>
        </w:rPr>
        <w:t>每个吹风机均带有固定支架。</w:t>
      </w:r>
    </w:p>
    <w:p w14:paraId="42B880CE">
      <w:pPr>
        <w:spacing w:line="520" w:lineRule="exact"/>
        <w:ind w:firstLine="420" w:firstLineChars="200"/>
        <w:rPr>
          <w:rFonts w:ascii="宋体" w:hAnsi="宋体" w:cs="宋体"/>
          <w:szCs w:val="21"/>
        </w:rPr>
      </w:pPr>
      <w:r>
        <w:rPr>
          <w:rFonts w:hint="eastAsia" w:ascii="宋体" w:hAnsi="宋体" w:cs="宋体"/>
          <w:szCs w:val="21"/>
        </w:rPr>
        <w:t>2.5</w:t>
      </w:r>
      <w:r>
        <w:rPr>
          <w:rFonts w:hint="eastAsia" w:ascii="宋体" w:hAnsi="宋体" w:cs="宋体"/>
          <w:color w:val="000000"/>
          <w:szCs w:val="21"/>
          <w:lang w:val="zh-CN"/>
        </w:rPr>
        <w:t>所投吹风机产品</w:t>
      </w:r>
      <w:r>
        <w:rPr>
          <w:rFonts w:hint="eastAsia" w:ascii="宋体" w:hAnsi="宋体" w:cs="宋体"/>
          <w:szCs w:val="21"/>
        </w:rPr>
        <w:t>须</w:t>
      </w:r>
      <w:r>
        <w:rPr>
          <w:rFonts w:hint="eastAsia" w:ascii="宋体" w:hAnsi="宋体" w:cs="宋体"/>
          <w:color w:val="000000"/>
          <w:szCs w:val="21"/>
          <w:lang w:val="zh-CN"/>
        </w:rPr>
        <w:t>获得国家强制性3C产品认证证书</w:t>
      </w:r>
      <w:r>
        <w:rPr>
          <w:rFonts w:hint="eastAsia" w:ascii="宋体" w:hAnsi="宋体" w:cs="宋体"/>
          <w:szCs w:val="21"/>
          <w:lang w:val="zh-CN"/>
        </w:rPr>
        <w:t>。（</w:t>
      </w:r>
      <w:r>
        <w:rPr>
          <w:rFonts w:hint="eastAsia" w:ascii="宋体" w:hAnsi="宋体" w:cs="宋体"/>
          <w:szCs w:val="21"/>
        </w:rPr>
        <w:t>本条作为实质性要求，负偏离或未响应视为投标无效</w:t>
      </w:r>
      <w:r>
        <w:rPr>
          <w:rFonts w:hint="eastAsia" w:ascii="宋体" w:hAnsi="宋体" w:cs="宋体"/>
          <w:szCs w:val="21"/>
          <w:lang w:val="zh-CN"/>
        </w:rPr>
        <w:t>）</w:t>
      </w:r>
    </w:p>
    <w:p w14:paraId="057B0824">
      <w:pPr>
        <w:spacing w:line="520" w:lineRule="exact"/>
        <w:ind w:firstLine="420" w:firstLineChars="200"/>
        <w:rPr>
          <w:rFonts w:hint="eastAsia" w:ascii="宋体" w:hAnsi="宋体" w:cs="宋体"/>
          <w:szCs w:val="21"/>
        </w:rPr>
      </w:pPr>
      <w:r>
        <w:rPr>
          <w:rFonts w:hint="eastAsia" w:ascii="宋体" w:hAnsi="宋体" w:cs="宋体"/>
          <w:szCs w:val="21"/>
        </w:rPr>
        <w:t>（3）饮水机设备要求</w:t>
      </w:r>
    </w:p>
    <w:p w14:paraId="0BB3A3D3">
      <w:pPr>
        <w:spacing w:line="520" w:lineRule="exact"/>
        <w:ind w:firstLine="420" w:firstLineChars="200"/>
        <w:rPr>
          <w:rFonts w:hint="eastAsia" w:ascii="宋体" w:hAnsi="宋体" w:cs="宋体"/>
          <w:szCs w:val="21"/>
        </w:rPr>
      </w:pPr>
      <w:r>
        <w:rPr>
          <w:rFonts w:hint="eastAsia" w:ascii="宋体" w:hAnsi="宋体" w:cs="宋体"/>
          <w:szCs w:val="21"/>
        </w:rPr>
        <w:t>3.1水箱容量≥60L；②功率：3kw～10kw；</w:t>
      </w:r>
    </w:p>
    <w:p w14:paraId="67329436">
      <w:pPr>
        <w:spacing w:line="520" w:lineRule="exact"/>
        <w:ind w:firstLine="420" w:firstLineChars="200"/>
        <w:rPr>
          <w:rFonts w:hint="eastAsia" w:ascii="宋体" w:hAnsi="宋体" w:cs="宋体"/>
          <w:szCs w:val="21"/>
        </w:rPr>
      </w:pPr>
      <w:r>
        <w:rPr>
          <w:rFonts w:hint="eastAsia" w:ascii="宋体" w:hAnsi="宋体" w:cs="宋体"/>
          <w:szCs w:val="21"/>
        </w:rPr>
        <w:t>3.2单台饮水机可供100-200人左右生活用水所需；</w:t>
      </w:r>
    </w:p>
    <w:p w14:paraId="17C8AD3C">
      <w:pPr>
        <w:spacing w:line="520" w:lineRule="exact"/>
        <w:ind w:firstLine="420" w:firstLineChars="200"/>
        <w:rPr>
          <w:rFonts w:hint="eastAsia" w:ascii="宋体" w:hAnsi="宋体" w:cs="宋体"/>
          <w:szCs w:val="21"/>
        </w:rPr>
      </w:pPr>
      <w:r>
        <w:rPr>
          <w:rFonts w:hint="eastAsia" w:ascii="宋体" w:hAnsi="宋体" w:cs="宋体"/>
          <w:szCs w:val="21"/>
        </w:rPr>
        <w:t>3.3设备为柜式结构，外观美丽大方、多方位不锈钢梁设计，坚固耐用安全、边角部位均经过严格的抛光处理，平整光滑、其易触及零部件棱边无角且光滑。</w:t>
      </w:r>
    </w:p>
    <w:p w14:paraId="2D6EC73B">
      <w:pPr>
        <w:spacing w:line="520" w:lineRule="exact"/>
        <w:ind w:firstLine="420" w:firstLineChars="200"/>
        <w:rPr>
          <w:rFonts w:hint="eastAsia" w:ascii="宋体" w:hAnsi="宋体" w:cs="宋体"/>
          <w:szCs w:val="21"/>
        </w:rPr>
      </w:pPr>
      <w:r>
        <w:rPr>
          <w:rFonts w:hint="eastAsia" w:ascii="宋体" w:hAnsi="宋体" w:cs="宋体"/>
          <w:szCs w:val="21"/>
        </w:rPr>
        <w:t>3.4 单台饮水机出水龙头数不少于3个，需包含1普通开水龙头、1直饮水（开水）、1直饮水（常温）。</w:t>
      </w:r>
    </w:p>
    <w:p w14:paraId="4C53F56C">
      <w:pPr>
        <w:spacing w:line="520" w:lineRule="exact"/>
        <w:ind w:firstLine="420" w:firstLineChars="200"/>
        <w:rPr>
          <w:rFonts w:hint="eastAsia" w:ascii="宋体" w:hAnsi="宋体" w:cs="宋体"/>
          <w:szCs w:val="21"/>
        </w:rPr>
      </w:pPr>
      <w:r>
        <w:rPr>
          <w:rFonts w:hint="eastAsia" w:ascii="宋体" w:hAnsi="宋体" w:cs="宋体"/>
          <w:szCs w:val="21"/>
        </w:rPr>
        <w:t>2.安装施工要求</w:t>
      </w:r>
    </w:p>
    <w:p w14:paraId="26D9ABA5">
      <w:pPr>
        <w:spacing w:line="520" w:lineRule="exact"/>
        <w:ind w:firstLine="420" w:firstLineChars="200"/>
        <w:rPr>
          <w:rFonts w:hint="eastAsia" w:ascii="宋体" w:hAnsi="宋体" w:cs="宋体"/>
          <w:szCs w:val="21"/>
        </w:rPr>
      </w:pPr>
      <w:r>
        <w:rPr>
          <w:rFonts w:hint="eastAsia" w:ascii="宋体" w:hAnsi="宋体" w:cs="宋体"/>
          <w:szCs w:val="21"/>
        </w:rPr>
        <w:t>（1）中标方工程改造施工过程中必须保证施工现场安全、环境卫生清洁，建筑施工垃圾运出校园之外等项工作，均由中标方负责运送处理。</w:t>
      </w:r>
    </w:p>
    <w:p w14:paraId="0D7E3E89">
      <w:pPr>
        <w:spacing w:line="520" w:lineRule="exact"/>
        <w:ind w:firstLine="420" w:firstLineChars="200"/>
        <w:rPr>
          <w:rFonts w:hint="eastAsia" w:ascii="宋体" w:hAnsi="宋体" w:cs="宋体"/>
          <w:szCs w:val="21"/>
        </w:rPr>
      </w:pPr>
      <w:r>
        <w:rPr>
          <w:rFonts w:hint="eastAsia" w:ascii="宋体" w:hAnsi="宋体" w:cs="宋体"/>
          <w:szCs w:val="21"/>
        </w:rPr>
        <w:t>（2）施工过程中发生安全事故由中标方承担，中标方不得对招标方各类设备设施造成损失，否则按原价赔偿。</w:t>
      </w:r>
    </w:p>
    <w:p w14:paraId="75A37338">
      <w:pPr>
        <w:spacing w:line="520" w:lineRule="exact"/>
        <w:ind w:firstLine="420" w:firstLineChars="200"/>
        <w:rPr>
          <w:rFonts w:hint="eastAsia" w:ascii="宋体" w:hAnsi="宋体" w:cs="宋体"/>
          <w:szCs w:val="21"/>
        </w:rPr>
      </w:pPr>
      <w:r>
        <w:rPr>
          <w:rFonts w:hint="eastAsia" w:ascii="宋体" w:hAnsi="宋体" w:cs="宋体"/>
          <w:szCs w:val="21"/>
        </w:rPr>
        <w:t>（3）不得破坏建筑物的结构和承载能力，不得破坏建筑物附属设施。</w:t>
      </w:r>
    </w:p>
    <w:p w14:paraId="2BF6D998">
      <w:pPr>
        <w:spacing w:line="520" w:lineRule="exact"/>
        <w:ind w:firstLine="420" w:firstLineChars="200"/>
        <w:rPr>
          <w:rFonts w:hint="eastAsia" w:ascii="宋体" w:hAnsi="宋体" w:cs="宋体"/>
          <w:szCs w:val="21"/>
        </w:rPr>
      </w:pPr>
      <w:r>
        <w:rPr>
          <w:rFonts w:hint="eastAsia" w:ascii="宋体" w:hAnsi="宋体" w:cs="宋体"/>
          <w:szCs w:val="21"/>
        </w:rPr>
        <w:t>（4）安装施工方案（含水电线路）规范标准实施。</w:t>
      </w:r>
    </w:p>
    <w:p w14:paraId="54DC888B">
      <w:pPr>
        <w:spacing w:line="520" w:lineRule="exact"/>
        <w:ind w:firstLine="420" w:firstLineChars="200"/>
        <w:rPr>
          <w:rFonts w:hint="eastAsia" w:ascii="宋体" w:hAnsi="宋体" w:cs="宋体"/>
          <w:szCs w:val="21"/>
        </w:rPr>
      </w:pPr>
      <w:r>
        <w:rPr>
          <w:rFonts w:hint="eastAsia" w:ascii="宋体" w:hAnsi="宋体" w:cs="宋体"/>
          <w:szCs w:val="21"/>
        </w:rPr>
        <w:t>（5）整个系统改造后，在运行或静态时均不出现渗漏现象，安装符合验收标准规定的指标，水温、水质检验符合设计要求。</w:t>
      </w:r>
    </w:p>
    <w:p w14:paraId="37DDB688">
      <w:pPr>
        <w:spacing w:line="520" w:lineRule="exact"/>
        <w:ind w:firstLine="420" w:firstLineChars="200"/>
        <w:rPr>
          <w:rFonts w:hint="eastAsia" w:ascii="宋体" w:hAnsi="宋体" w:cs="宋体"/>
          <w:szCs w:val="21"/>
        </w:rPr>
      </w:pPr>
      <w:r>
        <w:rPr>
          <w:rFonts w:hint="eastAsia" w:ascii="宋体" w:hAnsi="宋体" w:cs="宋体"/>
          <w:szCs w:val="21"/>
        </w:rPr>
        <w:t>3.工程质量及工期要求</w:t>
      </w:r>
    </w:p>
    <w:p w14:paraId="7A6209CC">
      <w:pPr>
        <w:spacing w:line="520" w:lineRule="exact"/>
        <w:ind w:firstLine="420" w:firstLineChars="200"/>
        <w:rPr>
          <w:rFonts w:hint="eastAsia" w:ascii="宋体" w:hAnsi="宋体" w:cs="宋体"/>
          <w:szCs w:val="21"/>
        </w:rPr>
      </w:pPr>
      <w:r>
        <w:rPr>
          <w:rFonts w:hint="eastAsia" w:ascii="宋体" w:hAnsi="宋体" w:cs="宋体"/>
          <w:szCs w:val="21"/>
        </w:rPr>
        <w:t>（1）工程质量符合投标文件承诺，并且质量标准执行国家相关规范要求，设备质量符合国家现行相关技术规范和技术标准，设备技术参数应与标书文件一致，与实测数据相符。</w:t>
      </w:r>
    </w:p>
    <w:p w14:paraId="072FBE3B">
      <w:pPr>
        <w:spacing w:line="520" w:lineRule="exact"/>
        <w:ind w:firstLine="420" w:firstLineChars="200"/>
        <w:rPr>
          <w:rFonts w:hint="eastAsia" w:ascii="宋体" w:hAnsi="宋体" w:cs="宋体"/>
          <w:szCs w:val="21"/>
        </w:rPr>
      </w:pPr>
      <w:r>
        <w:rPr>
          <w:rFonts w:hint="eastAsia" w:ascii="宋体" w:hAnsi="宋体" w:cs="宋体"/>
          <w:szCs w:val="21"/>
        </w:rPr>
        <w:t>（2） 合同签订后，于20天内完成本BOO项目的安装施工工作，并确保施工完成后经招标人验收合格后投入使用。</w:t>
      </w:r>
    </w:p>
    <w:p w14:paraId="53110ECB">
      <w:pPr>
        <w:spacing w:line="520" w:lineRule="exact"/>
        <w:ind w:firstLine="422" w:firstLineChars="200"/>
        <w:rPr>
          <w:rFonts w:hint="eastAsia" w:ascii="宋体" w:hAnsi="宋体" w:cs="宋体"/>
          <w:b/>
          <w:szCs w:val="21"/>
        </w:rPr>
      </w:pPr>
      <w:r>
        <w:rPr>
          <w:rFonts w:hint="eastAsia" w:ascii="宋体" w:hAnsi="宋体" w:cs="宋体"/>
          <w:b/>
          <w:szCs w:val="21"/>
        </w:rPr>
        <w:t>（六）商务合作要求</w:t>
      </w:r>
    </w:p>
    <w:p w14:paraId="13422436">
      <w:pPr>
        <w:spacing w:line="520" w:lineRule="exact"/>
        <w:ind w:firstLine="420" w:firstLineChars="200"/>
        <w:rPr>
          <w:rFonts w:hint="eastAsia" w:ascii="宋体" w:hAnsi="宋体" w:cs="宋体"/>
          <w:szCs w:val="21"/>
        </w:rPr>
      </w:pPr>
      <w:r>
        <w:rPr>
          <w:rFonts w:hint="eastAsia" w:ascii="宋体" w:hAnsi="宋体" w:cs="宋体"/>
          <w:szCs w:val="21"/>
        </w:rPr>
        <w:t>1.合作模式：</w:t>
      </w:r>
    </w:p>
    <w:p w14:paraId="05B11AC8">
      <w:pPr>
        <w:spacing w:line="520" w:lineRule="exact"/>
        <w:ind w:firstLine="420" w:firstLineChars="200"/>
        <w:rPr>
          <w:rFonts w:hint="eastAsia" w:ascii="宋体" w:hAnsi="宋体" w:cs="宋体"/>
          <w:szCs w:val="21"/>
        </w:rPr>
      </w:pPr>
      <w:r>
        <w:rPr>
          <w:rFonts w:hint="eastAsia" w:ascii="宋体" w:hAnsi="宋体" w:cs="宋体"/>
          <w:szCs w:val="21"/>
        </w:rPr>
        <w:t>本项目采用BOO模式：</w:t>
      </w:r>
    </w:p>
    <w:p w14:paraId="40165FF1">
      <w:pPr>
        <w:spacing w:line="520" w:lineRule="exact"/>
        <w:ind w:firstLine="420" w:firstLineChars="200"/>
        <w:rPr>
          <w:rFonts w:hint="eastAsia" w:ascii="宋体" w:hAnsi="宋体" w:cs="宋体"/>
          <w:szCs w:val="21"/>
        </w:rPr>
      </w:pPr>
      <w:r>
        <w:rPr>
          <w:rFonts w:hint="eastAsia" w:ascii="宋体" w:hAnsi="宋体" w:cs="宋体"/>
          <w:szCs w:val="21"/>
        </w:rPr>
        <w:t>（1）校方提供公寓饮水机、洗衣机、吹风机产品安装场所，中标人全额投资改造建设相关项目，并负责项目的管理和运营。</w:t>
      </w:r>
    </w:p>
    <w:p w14:paraId="43A7C6C3">
      <w:pPr>
        <w:spacing w:line="520" w:lineRule="exact"/>
        <w:ind w:firstLine="420" w:firstLineChars="200"/>
        <w:rPr>
          <w:rFonts w:hint="eastAsia" w:ascii="宋体" w:hAnsi="宋体" w:cs="宋体"/>
          <w:szCs w:val="21"/>
        </w:rPr>
      </w:pPr>
      <w:r>
        <w:rPr>
          <w:rFonts w:hint="eastAsia" w:ascii="宋体" w:hAnsi="宋体" w:cs="宋体"/>
          <w:szCs w:val="21"/>
        </w:rPr>
        <w:t>（2）中标人承担项目经营所产生的水、电、人工等费用及项目运维费用。</w:t>
      </w:r>
    </w:p>
    <w:p w14:paraId="39AE3B40">
      <w:pPr>
        <w:spacing w:line="520" w:lineRule="exact"/>
        <w:ind w:firstLine="420" w:firstLineChars="200"/>
        <w:rPr>
          <w:rFonts w:hint="eastAsia" w:ascii="宋体" w:hAnsi="宋体" w:cs="宋体"/>
          <w:szCs w:val="21"/>
        </w:rPr>
      </w:pPr>
      <w:r>
        <w:rPr>
          <w:rFonts w:hint="eastAsia" w:ascii="宋体" w:hAnsi="宋体" w:cs="宋体"/>
          <w:szCs w:val="21"/>
        </w:rPr>
        <w:t>（3）中标人按照中标价格收取项目相关费用，获得合理利润。</w:t>
      </w:r>
    </w:p>
    <w:p w14:paraId="5B76C57F">
      <w:pPr>
        <w:spacing w:line="520" w:lineRule="exact"/>
        <w:ind w:firstLine="420" w:firstLineChars="200"/>
        <w:rPr>
          <w:rFonts w:hint="eastAsia" w:ascii="宋体" w:hAnsi="宋体" w:cs="宋体"/>
          <w:szCs w:val="21"/>
        </w:rPr>
      </w:pPr>
      <w:r>
        <w:rPr>
          <w:rFonts w:hint="eastAsia" w:ascii="宋体" w:hAnsi="宋体" w:cs="宋体"/>
          <w:szCs w:val="21"/>
        </w:rPr>
        <w:t>（4）中标人在项目竣工验收结束时，向采购方提交所有与项目有关的技术资料，如工程资料、决算书、正规票据、设计图纸、操作手册、使用指南、应用软件使用权限、维修指南等。</w:t>
      </w:r>
    </w:p>
    <w:p w14:paraId="4505F6A1">
      <w:pPr>
        <w:spacing w:line="520" w:lineRule="exact"/>
        <w:ind w:firstLine="420" w:firstLineChars="200"/>
        <w:rPr>
          <w:rFonts w:hint="eastAsia" w:ascii="宋体" w:hAnsi="宋体" w:cs="宋体"/>
          <w:szCs w:val="21"/>
        </w:rPr>
      </w:pPr>
      <w:r>
        <w:rPr>
          <w:rFonts w:hint="eastAsia" w:ascii="宋体" w:hAnsi="宋体" w:cs="宋体"/>
          <w:szCs w:val="21"/>
        </w:rPr>
        <w:t>（5）项目经营期内，成交供应商投资的设施设备产权归成交供应商，项目经营期满，本项目所有设施、设备产权归投资方。</w:t>
      </w:r>
    </w:p>
    <w:p w14:paraId="25DB2519">
      <w:pPr>
        <w:spacing w:line="520" w:lineRule="exact"/>
        <w:ind w:firstLine="420" w:firstLineChars="200"/>
        <w:rPr>
          <w:rFonts w:hint="eastAsia" w:ascii="宋体" w:hAnsi="宋体" w:cs="宋体"/>
          <w:szCs w:val="21"/>
        </w:rPr>
      </w:pPr>
      <w:r>
        <w:rPr>
          <w:rFonts w:hint="eastAsia" w:ascii="宋体" w:hAnsi="宋体" w:cs="宋体"/>
          <w:szCs w:val="21"/>
        </w:rPr>
        <w:t>2.合作年限及价格、费用</w:t>
      </w:r>
    </w:p>
    <w:p w14:paraId="4D0B3B0D">
      <w:pPr>
        <w:spacing w:line="520" w:lineRule="exact"/>
        <w:ind w:firstLine="420" w:firstLineChars="200"/>
        <w:rPr>
          <w:rFonts w:hint="eastAsia" w:ascii="宋体" w:hAnsi="宋体" w:cs="宋体"/>
          <w:szCs w:val="21"/>
        </w:rPr>
      </w:pPr>
      <w:r>
        <w:rPr>
          <w:rFonts w:hint="eastAsia" w:ascii="宋体" w:hAnsi="宋体" w:cs="宋体"/>
          <w:szCs w:val="21"/>
        </w:rPr>
        <w:t>（1）合作年限</w:t>
      </w:r>
    </w:p>
    <w:p w14:paraId="76B1C239">
      <w:pPr>
        <w:spacing w:line="520" w:lineRule="exact"/>
        <w:ind w:firstLine="420" w:firstLineChars="200"/>
        <w:rPr>
          <w:rFonts w:hint="eastAsia" w:ascii="宋体" w:hAnsi="宋体" w:cs="宋体"/>
          <w:szCs w:val="21"/>
        </w:rPr>
      </w:pPr>
      <w:r>
        <w:rPr>
          <w:rFonts w:hint="eastAsia" w:ascii="宋体" w:hAnsi="宋体" w:cs="宋体"/>
          <w:szCs w:val="21"/>
        </w:rPr>
        <w:t>学生公寓洗衣机、饮水机、吹风合作年限设定为：</w:t>
      </w:r>
      <w:r>
        <w:rPr>
          <w:rFonts w:hint="eastAsia" w:ascii="宋体" w:hAnsi="宋体" w:cs="宋体"/>
          <w:color w:val="000000"/>
          <w:kern w:val="0"/>
          <w:szCs w:val="21"/>
          <w:u w:val="single"/>
          <w:lang w:val="zh-CN"/>
        </w:rPr>
        <w:t>采用“5+1+1”模式：即合同首签5年，具体起始时间为每栋楼启用时间。若5年期间无重大安全事故且经甲方考核合格</w:t>
      </w:r>
      <w:r>
        <w:rPr>
          <w:rFonts w:hint="eastAsia" w:ascii="宋体" w:hAnsi="宋体" w:cs="宋体"/>
          <w:b/>
          <w:bCs/>
          <w:color w:val="000000"/>
          <w:kern w:val="0"/>
          <w:szCs w:val="21"/>
          <w:u w:val="single"/>
          <w:lang w:val="zh-CN"/>
        </w:rPr>
        <w:t>（具体详见附件1）</w:t>
      </w:r>
      <w:r>
        <w:rPr>
          <w:rFonts w:hint="eastAsia" w:ascii="宋体" w:hAnsi="宋体" w:cs="宋体"/>
          <w:color w:val="000000"/>
          <w:kern w:val="0"/>
          <w:szCs w:val="21"/>
          <w:u w:val="single"/>
          <w:lang w:val="zh-CN"/>
        </w:rPr>
        <w:t>满意度达85%以上的，续签1年合同，最长续签不超过2年；否则自动终止合同</w:t>
      </w:r>
      <w:r>
        <w:rPr>
          <w:rFonts w:hint="eastAsia" w:ascii="宋体" w:hAnsi="宋体" w:cs="宋体"/>
          <w:szCs w:val="21"/>
        </w:rPr>
        <w:t>。</w:t>
      </w:r>
    </w:p>
    <w:p w14:paraId="52A06F3E">
      <w:pPr>
        <w:spacing w:line="520" w:lineRule="exact"/>
        <w:ind w:firstLine="420" w:firstLineChars="200"/>
        <w:rPr>
          <w:rFonts w:hint="eastAsia" w:ascii="宋体" w:hAnsi="宋体" w:cs="宋体"/>
          <w:szCs w:val="21"/>
        </w:rPr>
      </w:pPr>
      <w:r>
        <w:rPr>
          <w:rFonts w:hint="eastAsia" w:ascii="宋体" w:hAnsi="宋体" w:cs="宋体"/>
          <w:szCs w:val="21"/>
        </w:rPr>
        <w:t xml:space="preserve">（2）投标报价要求 </w:t>
      </w:r>
    </w:p>
    <w:p w14:paraId="6D87796E">
      <w:pPr>
        <w:spacing w:line="520" w:lineRule="exact"/>
        <w:ind w:firstLine="420" w:firstLineChars="200"/>
        <w:rPr>
          <w:rFonts w:hint="eastAsia" w:ascii="宋体" w:hAnsi="宋体" w:cs="宋体"/>
          <w:szCs w:val="21"/>
        </w:rPr>
      </w:pPr>
      <w:r>
        <w:rPr>
          <w:rFonts w:hint="eastAsia" w:ascii="宋体" w:hAnsi="宋体" w:cs="宋体"/>
          <w:szCs w:val="21"/>
        </w:rPr>
        <w:t xml:space="preserve">1.投标报价包括但不限于设计、所有设备设施、材料、管路、收费设备、安装工程、装修工程以及运营期间的维修、水电费用等投资成本，所有经营、管理费用、税金 利润。 </w:t>
      </w:r>
    </w:p>
    <w:p w14:paraId="349D513D">
      <w:pPr>
        <w:spacing w:line="520" w:lineRule="exact"/>
        <w:ind w:firstLine="420" w:firstLineChars="200"/>
        <w:rPr>
          <w:rFonts w:hint="eastAsia" w:ascii="宋体" w:hAnsi="宋体" w:cs="宋体"/>
          <w:szCs w:val="21"/>
        </w:rPr>
      </w:pPr>
      <w:r>
        <w:rPr>
          <w:rFonts w:hint="eastAsia" w:ascii="宋体" w:hAnsi="宋体" w:cs="宋体"/>
          <w:szCs w:val="21"/>
        </w:rPr>
        <w:t xml:space="preserve"> 2.本次招标自助洗衣、自助吹风、饮水、洗浴为定价招标：</w:t>
      </w:r>
    </w:p>
    <w:p w14:paraId="15A71639">
      <w:pPr>
        <w:spacing w:line="520" w:lineRule="exact"/>
        <w:ind w:firstLine="420" w:firstLineChars="200"/>
        <w:rPr>
          <w:rFonts w:hint="eastAsia" w:ascii="宋体" w:hAnsi="宋体" w:cs="宋体"/>
          <w:szCs w:val="21"/>
        </w:rPr>
      </w:pPr>
      <w:r>
        <w:rPr>
          <w:rFonts w:hint="eastAsia" w:ascii="宋体" w:hAnsi="宋体" w:cs="宋体"/>
          <w:szCs w:val="21"/>
        </w:rPr>
        <w:t>2.1自助洗衣：</w:t>
      </w:r>
    </w:p>
    <w:p w14:paraId="5444004B">
      <w:pPr>
        <w:spacing w:line="520" w:lineRule="exact"/>
        <w:ind w:firstLine="420" w:firstLineChars="200"/>
        <w:rPr>
          <w:rFonts w:hint="eastAsia" w:ascii="宋体" w:hAnsi="宋体" w:cs="宋体"/>
          <w:szCs w:val="21"/>
        </w:rPr>
      </w:pPr>
      <w:r>
        <w:rPr>
          <w:rFonts w:hint="eastAsia" w:ascii="宋体" w:hAnsi="宋体" w:cs="宋体"/>
          <w:szCs w:val="21"/>
        </w:rPr>
        <w:t>单脱水：0.01元/次（不低于5分钟）；</w:t>
      </w:r>
    </w:p>
    <w:p w14:paraId="26858B21">
      <w:pPr>
        <w:spacing w:line="520" w:lineRule="exact"/>
        <w:ind w:firstLine="420" w:firstLineChars="200"/>
        <w:rPr>
          <w:rFonts w:hint="eastAsia" w:ascii="宋体" w:hAnsi="宋体" w:cs="宋体"/>
          <w:szCs w:val="21"/>
        </w:rPr>
      </w:pPr>
      <w:r>
        <w:rPr>
          <w:rFonts w:hint="eastAsia" w:ascii="宋体" w:hAnsi="宋体" w:cs="宋体"/>
          <w:szCs w:val="21"/>
        </w:rPr>
        <w:t>快洗：1.2元/次（不低于20分钟）；</w:t>
      </w:r>
    </w:p>
    <w:p w14:paraId="279B88CC">
      <w:pPr>
        <w:spacing w:line="520" w:lineRule="exact"/>
        <w:ind w:firstLine="420" w:firstLineChars="200"/>
        <w:rPr>
          <w:rFonts w:hint="eastAsia" w:ascii="宋体" w:hAnsi="宋体" w:cs="宋体"/>
          <w:szCs w:val="21"/>
        </w:rPr>
      </w:pPr>
      <w:r>
        <w:rPr>
          <w:rFonts w:hint="eastAsia" w:ascii="宋体" w:hAnsi="宋体" w:cs="宋体"/>
          <w:szCs w:val="21"/>
        </w:rPr>
        <w:t>标准洗：1.8元/次（不低于35分钟）；</w:t>
      </w:r>
    </w:p>
    <w:p w14:paraId="47FD08E7">
      <w:pPr>
        <w:spacing w:line="520" w:lineRule="exact"/>
        <w:ind w:firstLine="420" w:firstLineChars="200"/>
        <w:rPr>
          <w:rFonts w:hint="eastAsia" w:ascii="宋体" w:hAnsi="宋体" w:cs="宋体"/>
          <w:szCs w:val="21"/>
        </w:rPr>
      </w:pPr>
      <w:r>
        <w:rPr>
          <w:rFonts w:hint="eastAsia" w:ascii="宋体" w:hAnsi="宋体" w:cs="宋体"/>
          <w:szCs w:val="21"/>
        </w:rPr>
        <w:t>大件洗：2.0元/次（不低于45分钟）；</w:t>
      </w:r>
    </w:p>
    <w:p w14:paraId="3000864B">
      <w:pPr>
        <w:spacing w:line="520" w:lineRule="exact"/>
        <w:ind w:firstLine="420" w:firstLineChars="200"/>
        <w:rPr>
          <w:rFonts w:hint="eastAsia" w:ascii="宋体" w:hAnsi="宋体" w:cs="宋体"/>
          <w:szCs w:val="21"/>
        </w:rPr>
      </w:pPr>
      <w:r>
        <w:rPr>
          <w:rFonts w:hint="eastAsia" w:ascii="宋体" w:hAnsi="宋体" w:cs="宋体"/>
          <w:szCs w:val="21"/>
        </w:rPr>
        <w:t>洗涤液：0.45元/次。</w:t>
      </w:r>
    </w:p>
    <w:p w14:paraId="0F3EDB01">
      <w:pPr>
        <w:spacing w:line="520" w:lineRule="exact"/>
        <w:ind w:firstLine="420" w:firstLineChars="200"/>
        <w:rPr>
          <w:rFonts w:hint="eastAsia" w:ascii="宋体" w:hAnsi="宋体" w:cs="宋体"/>
          <w:szCs w:val="21"/>
        </w:rPr>
      </w:pPr>
      <w:r>
        <w:rPr>
          <w:rFonts w:hint="eastAsia" w:ascii="宋体" w:hAnsi="宋体" w:cs="宋体"/>
          <w:szCs w:val="21"/>
        </w:rPr>
        <w:t>2.2自助吹风：0.06元/分钟。</w:t>
      </w:r>
    </w:p>
    <w:p w14:paraId="74B414F5">
      <w:pPr>
        <w:spacing w:line="520" w:lineRule="exact"/>
        <w:ind w:firstLine="420" w:firstLineChars="200"/>
        <w:rPr>
          <w:rFonts w:hint="eastAsia" w:ascii="宋体" w:hAnsi="宋体" w:cs="宋体"/>
          <w:szCs w:val="21"/>
        </w:rPr>
      </w:pPr>
      <w:r>
        <w:rPr>
          <w:rFonts w:hint="eastAsia" w:ascii="宋体" w:hAnsi="宋体" w:cs="宋体"/>
          <w:szCs w:val="21"/>
        </w:rPr>
        <w:t>2.3饮水：</w:t>
      </w:r>
    </w:p>
    <w:p w14:paraId="51E32568">
      <w:pPr>
        <w:spacing w:line="520" w:lineRule="exact"/>
        <w:ind w:firstLine="420" w:firstLineChars="200"/>
        <w:rPr>
          <w:rFonts w:hint="eastAsia" w:ascii="宋体" w:hAnsi="宋体" w:cs="宋体"/>
          <w:szCs w:val="21"/>
        </w:rPr>
      </w:pPr>
      <w:r>
        <w:rPr>
          <w:rFonts w:hint="eastAsia" w:ascii="宋体" w:hAnsi="宋体" w:cs="宋体"/>
          <w:szCs w:val="21"/>
        </w:rPr>
        <w:t>直饮水（开水）：0.12元/L；</w:t>
      </w:r>
    </w:p>
    <w:p w14:paraId="39100B07">
      <w:pPr>
        <w:spacing w:line="520" w:lineRule="exact"/>
        <w:ind w:firstLine="420" w:firstLineChars="200"/>
        <w:rPr>
          <w:rFonts w:hint="eastAsia" w:ascii="宋体" w:hAnsi="宋体" w:cs="宋体"/>
          <w:szCs w:val="21"/>
        </w:rPr>
      </w:pPr>
      <w:r>
        <w:rPr>
          <w:rFonts w:hint="eastAsia" w:ascii="宋体" w:hAnsi="宋体" w:cs="宋体"/>
          <w:szCs w:val="21"/>
        </w:rPr>
        <w:t>直饮水（常温）：0.01元/L；</w:t>
      </w:r>
    </w:p>
    <w:p w14:paraId="6745C806">
      <w:pPr>
        <w:spacing w:line="520" w:lineRule="exact"/>
        <w:ind w:firstLine="420" w:firstLineChars="200"/>
        <w:rPr>
          <w:rFonts w:hint="eastAsia" w:ascii="宋体" w:hAnsi="宋体" w:cs="宋体"/>
          <w:szCs w:val="21"/>
        </w:rPr>
      </w:pPr>
      <w:r>
        <w:rPr>
          <w:rFonts w:hint="eastAsia" w:ascii="宋体" w:hAnsi="宋体" w:cs="宋体"/>
          <w:szCs w:val="21"/>
        </w:rPr>
        <w:t>普通开水：0.06元/L；</w:t>
      </w:r>
    </w:p>
    <w:p w14:paraId="1120A187">
      <w:pPr>
        <w:spacing w:line="520" w:lineRule="exact"/>
        <w:ind w:firstLine="420" w:firstLineChars="200"/>
        <w:rPr>
          <w:rFonts w:hint="eastAsia" w:ascii="宋体" w:hAnsi="宋体" w:cs="宋体"/>
          <w:szCs w:val="21"/>
        </w:rPr>
      </w:pPr>
      <w:r>
        <w:rPr>
          <w:rFonts w:hint="eastAsia" w:ascii="宋体" w:hAnsi="宋体" w:cs="宋体"/>
          <w:szCs w:val="21"/>
        </w:rPr>
        <w:t>2.4洗浴：0.02元/L</w:t>
      </w:r>
    </w:p>
    <w:p w14:paraId="1C0FA759">
      <w:pPr>
        <w:spacing w:line="520" w:lineRule="exact"/>
        <w:ind w:firstLine="420" w:firstLineChars="200"/>
        <w:rPr>
          <w:rFonts w:hint="eastAsia" w:ascii="宋体" w:hAnsi="宋体" w:cs="宋体"/>
          <w:szCs w:val="21"/>
        </w:rPr>
      </w:pPr>
      <w:r>
        <w:rPr>
          <w:rFonts w:hint="eastAsia" w:ascii="宋体" w:hAnsi="宋体" w:cs="宋体"/>
          <w:szCs w:val="21"/>
        </w:rPr>
        <w:t>浴室为学校自建，中标人负责浴室运营管理服务，两年质保期满后（即2027年9月1日起）中标人同步负责设备维修工作（两年质保期内不含设备维修），包括空气源设备、储热水箱、水泵、管道等日常维护、维修及月度、季度、年度保养，学校不支付由此产生的任何费用，但不含淋浴卡机维修更换。浴室委托管理维护费最高限额为浴室年营业额30%，学校根据投标人报价按时支付给中标人管理维护费用，期限截止时间与本次招标其他项目服务时间一致。各投标人按比例报价，高出限额比例报价投标无效。</w:t>
      </w:r>
    </w:p>
    <w:p w14:paraId="5EDF01F7">
      <w:pPr>
        <w:spacing w:line="520" w:lineRule="exact"/>
        <w:ind w:firstLine="420" w:firstLineChars="200"/>
        <w:rPr>
          <w:rFonts w:hint="eastAsia" w:ascii="宋体" w:hAnsi="宋体" w:cs="宋体"/>
          <w:szCs w:val="21"/>
        </w:rPr>
      </w:pPr>
      <w:r>
        <w:rPr>
          <w:rFonts w:hint="eastAsia" w:ascii="宋体" w:hAnsi="宋体" w:cs="宋体"/>
          <w:szCs w:val="21"/>
        </w:rPr>
        <w:t>3.费用结算</w:t>
      </w:r>
    </w:p>
    <w:p w14:paraId="5CBE3675">
      <w:pPr>
        <w:spacing w:line="520" w:lineRule="exact"/>
        <w:ind w:firstLine="420" w:firstLineChars="200"/>
        <w:rPr>
          <w:rFonts w:hint="eastAsia" w:ascii="宋体" w:hAnsi="宋体" w:cs="宋体"/>
          <w:szCs w:val="21"/>
        </w:rPr>
      </w:pPr>
      <w:r>
        <w:rPr>
          <w:rFonts w:hint="eastAsia" w:ascii="宋体" w:hAnsi="宋体" w:cs="宋体"/>
          <w:szCs w:val="21"/>
          <w:lang w:val="zh-CN"/>
        </w:rPr>
        <w:t>营业额结算方式按采购人财务每月提供的实际发生数据为依据，按月结算，采购人监管审核，经领导批准后报送财务处，由财务处根据所报送营业额数据，扣除当月水电及其他需要扣除费用后代为转付</w:t>
      </w:r>
      <w:r>
        <w:rPr>
          <w:rFonts w:hint="eastAsia" w:ascii="宋体" w:hAnsi="宋体" w:cs="宋体"/>
          <w:szCs w:val="21"/>
        </w:rPr>
        <w:t>:</w:t>
      </w:r>
    </w:p>
    <w:p w14:paraId="11031F59">
      <w:pPr>
        <w:spacing w:line="520" w:lineRule="exact"/>
        <w:ind w:firstLine="422" w:firstLineChars="200"/>
        <w:rPr>
          <w:rFonts w:hint="eastAsia" w:ascii="宋体" w:hAnsi="宋体" w:cs="宋体"/>
          <w:szCs w:val="21"/>
          <w:lang w:val="zh-CN"/>
        </w:rPr>
      </w:pPr>
      <w:r>
        <w:rPr>
          <w:rFonts w:hint="eastAsia" w:ascii="宋体" w:hAnsi="宋体" w:cs="宋体"/>
          <w:b/>
          <w:bCs/>
          <w:szCs w:val="21"/>
        </w:rPr>
        <w:t>3.1</w:t>
      </w:r>
      <w:r>
        <w:rPr>
          <w:rFonts w:hint="eastAsia" w:ascii="宋体" w:hAnsi="宋体" w:cs="宋体"/>
          <w:b/>
          <w:bCs/>
          <w:szCs w:val="21"/>
          <w:lang w:val="zh-CN"/>
        </w:rPr>
        <w:t>本项目饮水、吹风机、洗衣机</w:t>
      </w:r>
      <w:r>
        <w:rPr>
          <w:rFonts w:hint="eastAsia" w:ascii="宋体" w:hAnsi="宋体" w:cs="宋体"/>
          <w:b/>
          <w:bCs/>
          <w:szCs w:val="21"/>
        </w:rPr>
        <w:t>部分，</w:t>
      </w:r>
      <w:r>
        <w:rPr>
          <w:rFonts w:hint="eastAsia" w:ascii="宋体" w:hAnsi="宋体" w:cs="宋体"/>
          <w:szCs w:val="21"/>
          <w:lang w:val="zh-CN"/>
        </w:rPr>
        <w:t>采用中标</w:t>
      </w:r>
      <w:r>
        <w:rPr>
          <w:rFonts w:hint="eastAsia" w:ascii="宋体" w:hAnsi="宋体" w:cs="宋体"/>
          <w:szCs w:val="21"/>
        </w:rPr>
        <w:t>人</w:t>
      </w:r>
      <w:r>
        <w:rPr>
          <w:rFonts w:hint="eastAsia" w:ascii="宋体" w:hAnsi="宋体" w:cs="宋体"/>
          <w:szCs w:val="21"/>
          <w:lang w:val="zh-CN"/>
        </w:rPr>
        <w:t>自主建设、自主运营、学生自愿消费的模式，由中标</w:t>
      </w:r>
      <w:r>
        <w:rPr>
          <w:rFonts w:hint="eastAsia" w:ascii="宋体" w:hAnsi="宋体" w:cs="宋体"/>
          <w:szCs w:val="21"/>
        </w:rPr>
        <w:t>人</w:t>
      </w:r>
      <w:r>
        <w:rPr>
          <w:rFonts w:hint="eastAsia" w:ascii="宋体" w:hAnsi="宋体" w:cs="宋体"/>
          <w:szCs w:val="21"/>
          <w:lang w:val="zh-CN"/>
        </w:rPr>
        <w:t>承担包括水电费在内的所有运营成本，中标</w:t>
      </w:r>
      <w:r>
        <w:rPr>
          <w:rFonts w:hint="eastAsia" w:ascii="宋体" w:hAnsi="宋体" w:cs="宋体"/>
          <w:szCs w:val="21"/>
        </w:rPr>
        <w:t>人</w:t>
      </w:r>
      <w:r>
        <w:rPr>
          <w:rFonts w:hint="eastAsia" w:ascii="宋体" w:hAnsi="宋体" w:cs="宋体"/>
          <w:szCs w:val="21"/>
          <w:lang w:val="zh-CN"/>
        </w:rPr>
        <w:t>获得扣除水电费后的运营收入费用。学校收取中标</w:t>
      </w:r>
      <w:r>
        <w:rPr>
          <w:rFonts w:hint="eastAsia" w:ascii="宋体" w:hAnsi="宋体" w:cs="宋体"/>
          <w:szCs w:val="21"/>
        </w:rPr>
        <w:t>人</w:t>
      </w:r>
      <w:r>
        <w:rPr>
          <w:rFonts w:hint="eastAsia" w:ascii="宋体" w:hAnsi="宋体" w:cs="宋体"/>
          <w:szCs w:val="21"/>
          <w:lang w:val="zh-CN"/>
        </w:rPr>
        <w:t>水电费标准为：电费</w:t>
      </w:r>
      <w:r>
        <w:rPr>
          <w:rFonts w:ascii="宋体" w:hAnsi="宋体" w:cs="宋体"/>
          <w:szCs w:val="21"/>
          <w:lang w:val="zh-CN"/>
        </w:rPr>
        <w:t>0.5653</w:t>
      </w:r>
      <w:r>
        <w:rPr>
          <w:rFonts w:hint="eastAsia" w:ascii="宋体" w:hAnsi="宋体" w:cs="宋体"/>
          <w:szCs w:val="21"/>
          <w:lang w:val="zh-CN"/>
        </w:rPr>
        <w:t>元/度，水费</w:t>
      </w:r>
      <w:r>
        <w:rPr>
          <w:rFonts w:ascii="宋体" w:hAnsi="宋体" w:cs="宋体"/>
          <w:szCs w:val="21"/>
          <w:lang w:val="zh-CN"/>
        </w:rPr>
        <w:t>3.15</w:t>
      </w:r>
      <w:r>
        <w:rPr>
          <w:rFonts w:hint="eastAsia" w:ascii="宋体" w:hAnsi="宋体" w:cs="宋体"/>
          <w:szCs w:val="21"/>
          <w:lang w:val="zh-CN"/>
        </w:rPr>
        <w:t>元/吨，</w:t>
      </w:r>
      <w:r>
        <w:rPr>
          <w:rFonts w:hint="eastAsia" w:ascii="宋体" w:hAnsi="宋体" w:cs="宋体"/>
          <w:szCs w:val="21"/>
        </w:rPr>
        <w:t>具体价格根据项目所在地相关部门规定执行，</w:t>
      </w:r>
      <w:r>
        <w:rPr>
          <w:rFonts w:hint="eastAsia" w:ascii="宋体" w:hAnsi="宋体" w:cs="宋体"/>
          <w:szCs w:val="21"/>
          <w:lang w:val="zh-CN"/>
        </w:rPr>
        <w:t>如遇政府调价，按政府调价执行。</w:t>
      </w:r>
    </w:p>
    <w:p w14:paraId="53207DA0">
      <w:pPr>
        <w:spacing w:line="520" w:lineRule="exact"/>
        <w:ind w:firstLine="422" w:firstLineChars="200"/>
        <w:rPr>
          <w:rFonts w:ascii="宋体" w:hAnsi="宋体" w:cs="宋体"/>
          <w:szCs w:val="21"/>
        </w:rPr>
      </w:pPr>
      <w:r>
        <w:rPr>
          <w:rFonts w:hint="eastAsia" w:ascii="宋体" w:hAnsi="宋体" w:cs="宋体"/>
          <w:b/>
          <w:bCs/>
          <w:szCs w:val="21"/>
        </w:rPr>
        <w:t>3.2</w:t>
      </w:r>
      <w:r>
        <w:rPr>
          <w:rFonts w:hint="eastAsia" w:ascii="宋体" w:hAnsi="宋体" w:cs="宋体"/>
          <w:b/>
          <w:bCs/>
          <w:szCs w:val="21"/>
          <w:lang w:val="zh-CN"/>
        </w:rPr>
        <w:t>本项目</w:t>
      </w:r>
      <w:r>
        <w:rPr>
          <w:rFonts w:ascii="宋体" w:hAnsi="宋体" w:cs="宋体"/>
          <w:b/>
          <w:bCs/>
          <w:szCs w:val="21"/>
          <w:lang w:val="zh-CN"/>
        </w:rPr>
        <w:t>浴室委托管理维护费</w:t>
      </w:r>
      <w:r>
        <w:rPr>
          <w:rFonts w:hint="eastAsia" w:ascii="宋体" w:hAnsi="宋体" w:cs="宋体"/>
          <w:b/>
          <w:bCs/>
          <w:szCs w:val="21"/>
        </w:rPr>
        <w:t>部分，</w:t>
      </w:r>
      <w:r>
        <w:rPr>
          <w:rFonts w:hint="eastAsia" w:ascii="宋体" w:hAnsi="宋体" w:eastAsia="宋体" w:cs="宋体"/>
          <w:szCs w:val="21"/>
          <w:lang w:val="en-US" w:eastAsia="zh-CN"/>
        </w:rPr>
        <w:t>采购人</w:t>
      </w:r>
      <w:r>
        <w:rPr>
          <w:rFonts w:hint="eastAsia" w:ascii="宋体" w:hAnsi="宋体" w:eastAsia="宋体" w:cs="宋体"/>
          <w:szCs w:val="21"/>
        </w:rPr>
        <w:t>按照投标</w:t>
      </w:r>
      <w:r>
        <w:rPr>
          <w:rFonts w:hint="eastAsia" w:ascii="宋体" w:hAnsi="宋体" w:cs="宋体"/>
          <w:szCs w:val="21"/>
        </w:rPr>
        <w:t>人所报</w:t>
      </w:r>
      <w:r>
        <w:rPr>
          <w:rFonts w:ascii="宋体" w:hAnsi="宋体" w:cs="宋体"/>
          <w:szCs w:val="21"/>
          <w:lang w:val="zh-CN"/>
        </w:rPr>
        <w:t>浴室年营业额</w:t>
      </w:r>
      <w:r>
        <w:rPr>
          <w:rFonts w:hint="eastAsia" w:ascii="宋体" w:hAnsi="宋体" w:cs="宋体"/>
          <w:szCs w:val="21"/>
        </w:rPr>
        <w:t>比例进行计算支付</w:t>
      </w:r>
      <w:r>
        <w:rPr>
          <w:rFonts w:hint="eastAsia" w:ascii="宋体" w:hAnsi="宋体" w:cs="宋体"/>
          <w:szCs w:val="21"/>
          <w:lang w:eastAsia="zh-CN"/>
        </w:rPr>
        <w:t>。</w:t>
      </w:r>
    </w:p>
    <w:p w14:paraId="318A69D1">
      <w:pPr>
        <w:spacing w:line="520" w:lineRule="exact"/>
        <w:ind w:firstLine="420" w:firstLineChars="200"/>
        <w:rPr>
          <w:rFonts w:hint="eastAsia" w:ascii="宋体" w:hAnsi="宋体" w:cs="宋体"/>
          <w:szCs w:val="21"/>
        </w:rPr>
      </w:pPr>
      <w:r>
        <w:rPr>
          <w:rFonts w:hint="eastAsia" w:ascii="宋体" w:hAnsi="宋体" w:cs="宋体"/>
          <w:szCs w:val="21"/>
        </w:rPr>
        <w:t>3.3水控器及消费管理系统</w:t>
      </w:r>
    </w:p>
    <w:p w14:paraId="369B427C">
      <w:pPr>
        <w:spacing w:line="520" w:lineRule="exact"/>
        <w:ind w:firstLine="420" w:firstLineChars="200"/>
        <w:rPr>
          <w:rFonts w:hint="eastAsia" w:ascii="宋体" w:hAnsi="宋体" w:cs="宋体"/>
          <w:szCs w:val="21"/>
        </w:rPr>
      </w:pPr>
      <w:r>
        <w:rPr>
          <w:rFonts w:hint="eastAsia" w:ascii="宋体" w:hAnsi="宋体" w:cs="宋体"/>
          <w:szCs w:val="21"/>
        </w:rPr>
        <w:t>学生消费采用物联网支付方式，学生通过微信或支付宝支付，确保学生明白消费。消费金额从银联或其他通道直接进入中标人账号，不经过任何第三方平台，确保学生资金安全。管理系统账号和管理密码提供给学校，学校对账户进行监管，学生可以随时充值随时退款，学校能够掌握学生消费信息，水控器及消费管理系统的建设及费用由中标方自行承担。</w:t>
      </w:r>
    </w:p>
    <w:p w14:paraId="16730BA6">
      <w:pPr>
        <w:spacing w:line="520" w:lineRule="exact"/>
        <w:ind w:firstLine="420" w:firstLineChars="200"/>
        <w:rPr>
          <w:rFonts w:hint="eastAsia" w:ascii="宋体" w:hAnsi="宋体" w:cs="宋体"/>
          <w:szCs w:val="21"/>
        </w:rPr>
      </w:pPr>
      <w:r>
        <w:rPr>
          <w:rFonts w:hint="eastAsia" w:ascii="宋体" w:hAnsi="宋体" w:cs="宋体"/>
          <w:szCs w:val="21"/>
        </w:rPr>
        <w:t>4.其他要求</w:t>
      </w:r>
    </w:p>
    <w:p w14:paraId="1CCEE592">
      <w:pPr>
        <w:spacing w:line="520" w:lineRule="exact"/>
        <w:ind w:firstLine="420" w:firstLineChars="200"/>
        <w:rPr>
          <w:rFonts w:hint="eastAsia" w:ascii="宋体" w:hAnsi="宋体" w:cs="宋体"/>
          <w:szCs w:val="21"/>
        </w:rPr>
      </w:pPr>
      <w:r>
        <w:rPr>
          <w:rFonts w:hint="eastAsia" w:ascii="宋体" w:hAnsi="宋体" w:cs="宋体"/>
          <w:szCs w:val="21"/>
        </w:rPr>
        <w:t>（1）中标人的投资及后期的维护、管理等费用自负盈亏，合同期满后所有项目投资归中标方。</w:t>
      </w:r>
    </w:p>
    <w:p w14:paraId="7409A51A">
      <w:pPr>
        <w:spacing w:line="520" w:lineRule="exact"/>
        <w:ind w:firstLine="420" w:firstLineChars="200"/>
        <w:rPr>
          <w:rFonts w:hint="eastAsia" w:ascii="宋体" w:hAnsi="宋体" w:cs="宋体"/>
          <w:szCs w:val="21"/>
        </w:rPr>
      </w:pPr>
      <w:r>
        <w:rPr>
          <w:rFonts w:hint="eastAsia" w:ascii="宋体" w:hAnsi="宋体" w:cs="宋体"/>
          <w:szCs w:val="21"/>
        </w:rPr>
        <w:t>（2）学生因休学、退学、毕业等因素离开校园及合同解除或终止时，中标人应将卡内余额退还给学生。</w:t>
      </w:r>
    </w:p>
    <w:p w14:paraId="0E97663E">
      <w:pPr>
        <w:spacing w:line="520" w:lineRule="exact"/>
        <w:ind w:firstLine="420" w:firstLineChars="200"/>
        <w:rPr>
          <w:rFonts w:hint="eastAsia" w:ascii="宋体" w:hAnsi="宋体" w:cs="宋体"/>
          <w:szCs w:val="21"/>
        </w:rPr>
      </w:pPr>
      <w:r>
        <w:rPr>
          <w:rFonts w:hint="eastAsia" w:ascii="宋体" w:hAnsi="宋体" w:cs="宋体"/>
          <w:szCs w:val="21"/>
        </w:rPr>
        <w:t>（3）合同履行期间，中标人不得将经营权转让（包）给第三方，否则校方有权提前解除合同。</w:t>
      </w:r>
    </w:p>
    <w:p w14:paraId="20052078">
      <w:pPr>
        <w:spacing w:line="520" w:lineRule="exact"/>
        <w:ind w:firstLine="420" w:firstLineChars="200"/>
        <w:rPr>
          <w:rFonts w:hint="eastAsia" w:ascii="宋体" w:hAnsi="宋体" w:cs="宋体"/>
          <w:szCs w:val="21"/>
        </w:rPr>
      </w:pPr>
      <w:r>
        <w:rPr>
          <w:rFonts w:hint="eastAsia" w:ascii="宋体" w:hAnsi="宋体" w:cs="宋体"/>
          <w:szCs w:val="21"/>
        </w:rPr>
        <w:t>（4）合同签订后，于20天内完成本BOO项目的安装施工工作，并确保正常投入使用。</w:t>
      </w:r>
    </w:p>
    <w:p w14:paraId="19BDCECE">
      <w:pPr>
        <w:spacing w:line="520" w:lineRule="exact"/>
        <w:ind w:firstLine="420" w:firstLineChars="200"/>
        <w:rPr>
          <w:rFonts w:hint="eastAsia" w:ascii="宋体" w:hAnsi="宋体" w:cs="宋体"/>
          <w:szCs w:val="21"/>
        </w:rPr>
      </w:pPr>
      <w:r>
        <w:rPr>
          <w:rFonts w:hint="eastAsia" w:ascii="宋体" w:hAnsi="宋体" w:cs="宋体"/>
          <w:szCs w:val="21"/>
        </w:rPr>
        <w:t>（5）项目安装施工完成后，校方安排组织进行验收。</w:t>
      </w:r>
    </w:p>
    <w:p w14:paraId="389752B7">
      <w:pPr>
        <w:spacing w:line="520" w:lineRule="exact"/>
        <w:ind w:firstLine="420" w:firstLineChars="200"/>
        <w:rPr>
          <w:rFonts w:hint="eastAsia" w:ascii="宋体" w:hAnsi="宋体" w:cs="宋体"/>
          <w:szCs w:val="21"/>
        </w:rPr>
      </w:pPr>
      <w:r>
        <w:rPr>
          <w:rFonts w:hint="eastAsia" w:ascii="宋体" w:hAnsi="宋体" w:cs="宋体"/>
          <w:szCs w:val="21"/>
        </w:rPr>
        <w:t>5.服务管理要求</w:t>
      </w:r>
    </w:p>
    <w:p w14:paraId="0A6459E2">
      <w:pPr>
        <w:spacing w:line="520" w:lineRule="exact"/>
        <w:ind w:firstLine="420" w:firstLineChars="200"/>
        <w:rPr>
          <w:rFonts w:hint="eastAsia" w:ascii="宋体" w:hAnsi="宋体" w:cs="宋体"/>
          <w:szCs w:val="21"/>
        </w:rPr>
      </w:pPr>
      <w:r>
        <w:rPr>
          <w:rFonts w:hint="eastAsia" w:ascii="宋体" w:hAnsi="宋体" w:cs="宋体"/>
          <w:szCs w:val="21"/>
        </w:rPr>
        <w:t>（1）设备安装：所有投标的机器设备按学校指定的位置安装。</w:t>
      </w:r>
    </w:p>
    <w:p w14:paraId="06C4A7E1">
      <w:pPr>
        <w:spacing w:line="520" w:lineRule="exact"/>
        <w:ind w:firstLine="420" w:firstLineChars="200"/>
        <w:rPr>
          <w:rFonts w:hint="eastAsia" w:ascii="宋体" w:hAnsi="宋体" w:cs="宋体"/>
          <w:szCs w:val="21"/>
        </w:rPr>
      </w:pPr>
      <w:r>
        <w:rPr>
          <w:rFonts w:hint="eastAsia" w:ascii="宋体" w:hAnsi="宋体" w:cs="宋体"/>
          <w:szCs w:val="21"/>
        </w:rPr>
        <w:t>（2）售后服务：必须在校内设置服务点，驻有现场管理服务人员并设有24小时服务热线，当学生使用出现任何故障，只需打热线电话，接到报修后及时故障维修或更换设备，按照学校规定的时间提供服务。收费标准、操作流程、服务电话、保洁消毒记录等要上墙公示。自行配备管理、维修、清洁人员做好运营维护，定期对设备进行维护、保养及消毒杀菌。独立承担经营期间全部责任，确保使用安全。</w:t>
      </w:r>
    </w:p>
    <w:p w14:paraId="0451F96D">
      <w:pPr>
        <w:spacing w:line="520" w:lineRule="exact"/>
        <w:ind w:firstLine="420" w:firstLineChars="200"/>
        <w:rPr>
          <w:rFonts w:hint="eastAsia" w:ascii="宋体" w:hAnsi="宋体" w:cs="宋体"/>
          <w:szCs w:val="21"/>
        </w:rPr>
      </w:pPr>
      <w:r>
        <w:rPr>
          <w:rFonts w:hint="eastAsia" w:ascii="宋体" w:hAnsi="宋体" w:cs="宋体"/>
          <w:szCs w:val="21"/>
        </w:rPr>
        <w:t>（3）应急维修时间安排：紧急抢修，维护人员必须</w:t>
      </w:r>
      <w:r>
        <w:rPr>
          <w:rFonts w:ascii="宋体" w:hAnsi="宋体" w:cs="宋体"/>
          <w:szCs w:val="21"/>
        </w:rPr>
        <w:t>以最快速度随叫随到</w:t>
      </w:r>
      <w:r>
        <w:rPr>
          <w:rFonts w:hint="eastAsia" w:ascii="宋体" w:hAnsi="宋体" w:cs="宋体"/>
          <w:szCs w:val="21"/>
        </w:rPr>
        <w:t>。</w:t>
      </w:r>
    </w:p>
    <w:p w14:paraId="5A04AA4D">
      <w:pPr>
        <w:spacing w:line="520" w:lineRule="exact"/>
        <w:ind w:firstLine="420" w:firstLineChars="200"/>
        <w:rPr>
          <w:rFonts w:hint="eastAsia" w:ascii="宋体" w:hAnsi="宋体" w:cs="宋体"/>
          <w:szCs w:val="21"/>
        </w:rPr>
      </w:pPr>
      <w:r>
        <w:rPr>
          <w:rFonts w:hint="eastAsia" w:ascii="宋体" w:hAnsi="宋体" w:cs="宋体"/>
          <w:szCs w:val="21"/>
        </w:rPr>
        <w:t>（4）定期巡检时间安排：对已投入使用的设备进行定期的巡检，要求有巡检记录。</w:t>
      </w:r>
    </w:p>
    <w:p w14:paraId="3B389702">
      <w:pPr>
        <w:spacing w:line="520" w:lineRule="exact"/>
        <w:ind w:firstLine="420" w:firstLineChars="200"/>
        <w:rPr>
          <w:rFonts w:hint="eastAsia" w:ascii="宋体" w:hAnsi="宋体" w:cs="宋体"/>
          <w:szCs w:val="21"/>
        </w:rPr>
      </w:pPr>
      <w:r>
        <w:rPr>
          <w:rFonts w:hint="eastAsia" w:ascii="宋体" w:hAnsi="宋体" w:cs="宋体"/>
          <w:szCs w:val="21"/>
        </w:rPr>
        <w:t>（5）中标人所投项目设备设施和收费系统均由成交供应商专人负责维修（如属人为破坏，校方有责任帮助成交供应商追究当事人的责任）。</w:t>
      </w:r>
    </w:p>
    <w:p w14:paraId="77CC69DA">
      <w:pPr>
        <w:spacing w:line="520" w:lineRule="exact"/>
        <w:ind w:firstLine="420" w:firstLineChars="200"/>
        <w:rPr>
          <w:rFonts w:hint="eastAsia" w:ascii="宋体" w:hAnsi="宋体" w:cs="宋体"/>
          <w:szCs w:val="21"/>
        </w:rPr>
      </w:pPr>
      <w:r>
        <w:rPr>
          <w:rFonts w:hint="eastAsia" w:ascii="宋体" w:hAnsi="宋体" w:cs="宋体"/>
          <w:szCs w:val="21"/>
        </w:rPr>
        <w:t>（6）中标人负责定期巡检、保养、消毒、维护相关设备，并安装漏电保护开关，制作安全操作提示，确保用电安全。成交供应商投放的所有机器设备必须符合国家质量标准，凡出现设备漏电、自燃、爆炸、烫伤、摔伤、窒息等意外事故，由此造成的一切安全事故，全部由成交供应商负责。</w:t>
      </w:r>
    </w:p>
    <w:p w14:paraId="0CA9A6EA">
      <w:pPr>
        <w:spacing w:line="520" w:lineRule="exact"/>
        <w:ind w:firstLine="420" w:firstLineChars="200"/>
        <w:rPr>
          <w:rFonts w:hint="eastAsia" w:ascii="宋体" w:hAnsi="宋体" w:cs="宋体"/>
          <w:szCs w:val="21"/>
        </w:rPr>
      </w:pPr>
      <w:r>
        <w:rPr>
          <w:rFonts w:hint="eastAsia" w:ascii="宋体" w:hAnsi="宋体" w:cs="宋体"/>
          <w:szCs w:val="21"/>
        </w:rPr>
        <w:t>（7）投资方派专业的运营管理、维修人员对该项目进行24小时“驻点保姆式”的精细化管理，对系统进行管理、监控、维修工作；对设备和供应时间进行优化调节，确保系统处于最佳状态和最节能状态；对学生使用情况进行回访、检查；主动发现问题并处理问题。</w:t>
      </w:r>
    </w:p>
    <w:p w14:paraId="53169FE2">
      <w:pPr>
        <w:spacing w:line="520" w:lineRule="exact"/>
        <w:ind w:firstLine="420" w:firstLineChars="200"/>
        <w:rPr>
          <w:rFonts w:hint="eastAsia" w:ascii="宋体" w:hAnsi="宋体" w:cs="宋体"/>
          <w:szCs w:val="21"/>
        </w:rPr>
      </w:pPr>
      <w:r>
        <w:rPr>
          <w:rFonts w:hint="eastAsia" w:ascii="宋体" w:hAnsi="宋体" w:cs="宋体"/>
          <w:szCs w:val="21"/>
        </w:rPr>
        <w:t>（8）做好系统运行宣传工作，组织学生和管理老师进行正确使用系统培训讲解工作，相关管理制度的制作和公布。在每栋学生公寓进楼大厅指定位置公布驻点维修人员、运营管理人员、片区主管及投诉电话，第一时间接收故障报修通知及处理投诉事件。</w:t>
      </w:r>
    </w:p>
    <w:p w14:paraId="50D37CFF">
      <w:pPr>
        <w:spacing w:line="520" w:lineRule="exact"/>
        <w:ind w:firstLine="420" w:firstLineChars="200"/>
        <w:rPr>
          <w:rFonts w:hint="eastAsia" w:ascii="宋体" w:hAnsi="宋体" w:cs="宋体"/>
          <w:szCs w:val="21"/>
        </w:rPr>
      </w:pPr>
      <w:r>
        <w:rPr>
          <w:rFonts w:hint="eastAsia" w:ascii="宋体" w:hAnsi="宋体" w:cs="宋体"/>
          <w:szCs w:val="21"/>
        </w:rPr>
        <w:t>（9）经常性检查所投项目的设施设备，发现损坏的立即更换，管道和管卡松动的立即紧固，防止出现管道垮塌现象，影响学生使用。</w:t>
      </w:r>
    </w:p>
    <w:p w14:paraId="1D942944">
      <w:pPr>
        <w:spacing w:line="520" w:lineRule="exact"/>
        <w:ind w:firstLine="420" w:firstLineChars="200"/>
        <w:rPr>
          <w:rFonts w:hint="eastAsia" w:ascii="宋体" w:hAnsi="宋体" w:cs="宋体"/>
          <w:szCs w:val="21"/>
        </w:rPr>
      </w:pPr>
      <w:r>
        <w:rPr>
          <w:rFonts w:hint="eastAsia" w:ascii="宋体" w:hAnsi="宋体" w:cs="宋体"/>
          <w:szCs w:val="21"/>
        </w:rPr>
        <w:t>（10）及时检查计费设备，杜绝计费不出水或者冷水出水时间过长的现象，杜绝计费不通电，洗衣机、吹风机无法使用的现象，保证计量准确，保证收费合理公平。</w:t>
      </w:r>
    </w:p>
    <w:p w14:paraId="6909F0E9">
      <w:pPr>
        <w:spacing w:line="520" w:lineRule="exact"/>
        <w:ind w:firstLine="420" w:firstLineChars="200"/>
        <w:rPr>
          <w:rFonts w:hint="eastAsia" w:ascii="宋体" w:hAnsi="宋体" w:cs="宋体"/>
          <w:szCs w:val="21"/>
        </w:rPr>
      </w:pPr>
      <w:r>
        <w:rPr>
          <w:rFonts w:hint="eastAsia" w:ascii="宋体" w:hAnsi="宋体" w:cs="宋体"/>
          <w:szCs w:val="21"/>
        </w:rPr>
        <w:t>（11）所有关于维修、投诉、反馈、评价等信息均在移动平台上进行，有不符合合同规定的违约行为，按照相关处罚措施进行处罚。</w:t>
      </w:r>
    </w:p>
    <w:p w14:paraId="284AD1F8">
      <w:pPr>
        <w:spacing w:line="520" w:lineRule="exact"/>
        <w:ind w:firstLine="420" w:firstLineChars="200"/>
        <w:rPr>
          <w:rFonts w:hint="eastAsia" w:ascii="宋体" w:hAnsi="宋体" w:cs="宋体"/>
          <w:szCs w:val="21"/>
        </w:rPr>
      </w:pPr>
      <w:r>
        <w:rPr>
          <w:rFonts w:hint="eastAsia" w:ascii="宋体" w:hAnsi="宋体" w:cs="宋体"/>
          <w:szCs w:val="21"/>
        </w:rPr>
        <w:t>（12）供应商须定期对洗衣机设备进行维护和消毒并张贴清洁提示单，所有开水机均需根据不同使用频次及时更换滤芯并于机身张贴更换滤芯提示贴，每学期须提前报备涉水产品有效卫生许可批件。</w:t>
      </w:r>
    </w:p>
    <w:p w14:paraId="4BB03476">
      <w:pPr>
        <w:spacing w:line="520" w:lineRule="exact"/>
        <w:ind w:firstLine="420" w:firstLineChars="200"/>
        <w:rPr>
          <w:rFonts w:ascii="宋体" w:hAnsi="宋体" w:cs="宋体"/>
          <w:szCs w:val="21"/>
        </w:rPr>
      </w:pPr>
      <w:r>
        <w:rPr>
          <w:rFonts w:hint="eastAsia" w:ascii="宋体" w:hAnsi="宋体" w:cs="宋体"/>
          <w:szCs w:val="21"/>
        </w:rPr>
        <w:t>（13）供应商配备的专(兼)职供水人员须持有效“健康合格证明”和“卫生培训合格证明”上岗。</w:t>
      </w:r>
    </w:p>
    <w:p w14:paraId="72B2A86B">
      <w:pPr>
        <w:spacing w:line="520" w:lineRule="exact"/>
        <w:ind w:firstLine="420" w:firstLineChars="200"/>
        <w:rPr>
          <w:rFonts w:hint="eastAsia" w:ascii="宋体" w:hAnsi="宋体" w:cs="宋体"/>
          <w:szCs w:val="21"/>
          <w:lang w:val="zh-CN"/>
        </w:rPr>
      </w:pPr>
      <w:r>
        <w:rPr>
          <w:rFonts w:hint="eastAsia" w:ascii="宋体" w:hAnsi="宋体" w:cs="宋体"/>
          <w:szCs w:val="21"/>
        </w:rPr>
        <w:t>6.</w:t>
      </w:r>
      <w:r>
        <w:rPr>
          <w:rFonts w:hint="eastAsia" w:ascii="宋体" w:hAnsi="宋体" w:cs="宋体"/>
          <w:szCs w:val="21"/>
          <w:lang w:val="zh-CN"/>
        </w:rPr>
        <w:t>现场踏勘</w:t>
      </w:r>
      <w:bookmarkEnd w:id="0"/>
    </w:p>
    <w:p w14:paraId="30F6CFE8">
      <w:pPr>
        <w:spacing w:line="520" w:lineRule="exact"/>
        <w:ind w:firstLine="420" w:firstLineChars="200"/>
        <w:rPr>
          <w:rFonts w:hint="eastAsia" w:ascii="宋体" w:hAnsi="宋体" w:cs="宋体"/>
          <w:szCs w:val="21"/>
        </w:rPr>
      </w:pPr>
      <w:r>
        <w:rPr>
          <w:rFonts w:hint="eastAsia" w:ascii="宋体" w:hAnsi="宋体" w:cs="宋体"/>
          <w:szCs w:val="21"/>
          <w:lang w:val="zh-CN"/>
        </w:rPr>
        <w:t>投标人须自行组织现场踏勘，了解项目现场情况。踏勘现场所发生的费用由投标人自行承担。投标人未到服务现场实地踏勘的，成交后签订合同时和履约过程中，不得以不完全了解现场情况为由，提出任何形式的增加合同价款或索赔的要求。</w:t>
      </w:r>
    </w:p>
    <w:p w14:paraId="46D3C8D5">
      <w:pPr>
        <w:spacing w:line="520" w:lineRule="exact"/>
        <w:ind w:firstLine="420" w:firstLineChars="200"/>
        <w:rPr>
          <w:rFonts w:hint="eastAsia" w:ascii="宋体" w:hAnsi="宋体" w:cs="宋体"/>
          <w:kern w:val="0"/>
          <w:szCs w:val="21"/>
        </w:rPr>
      </w:pPr>
      <w:r>
        <w:rPr>
          <w:rFonts w:hint="eastAsia" w:ascii="宋体" w:hAnsi="宋体" w:cs="宋体"/>
          <w:szCs w:val="21"/>
          <w:lang w:val="zh-CN"/>
        </w:rPr>
        <w:t>现场踏勘联系人：</w:t>
      </w:r>
      <w:r>
        <w:rPr>
          <w:rFonts w:hint="eastAsia" w:ascii="宋体" w:hAnsi="宋体" w:cs="宋体"/>
          <w:szCs w:val="21"/>
        </w:rPr>
        <w:t>李老师</w:t>
      </w:r>
      <w:r>
        <w:rPr>
          <w:rFonts w:hint="eastAsia" w:ascii="宋体" w:hAnsi="宋体" w:cs="宋体"/>
          <w:szCs w:val="21"/>
          <w:lang w:val="zh-CN"/>
        </w:rPr>
        <w:t>；电话：</w:t>
      </w:r>
      <w:r>
        <w:rPr>
          <w:rFonts w:hint="eastAsia" w:ascii="宋体" w:hAnsi="宋体" w:cs="宋体"/>
        </w:rPr>
        <w:t>13739290771</w:t>
      </w:r>
      <w:r>
        <w:rPr>
          <w:rFonts w:hint="eastAsia" w:ascii="宋体" w:hAnsi="宋体" w:cs="宋体"/>
          <w:szCs w:val="21"/>
          <w:lang w:val="zh-CN"/>
        </w:rPr>
        <w:t>。</w:t>
      </w:r>
    </w:p>
    <w:p w14:paraId="74235E7C">
      <w:pPr>
        <w:autoSpaceDE w:val="0"/>
        <w:autoSpaceDN w:val="0"/>
        <w:adjustRightInd w:val="0"/>
        <w:rPr>
          <w:rFonts w:hint="eastAsia" w:ascii="宋体" w:hAnsi="宋体" w:cs="宋体"/>
          <w:kern w:val="0"/>
          <w:szCs w:val="21"/>
        </w:rPr>
      </w:pPr>
    </w:p>
    <w:p w14:paraId="26088FC4">
      <w:pPr>
        <w:autoSpaceDE w:val="0"/>
        <w:autoSpaceDN w:val="0"/>
        <w:adjustRightInd w:val="0"/>
        <w:ind w:firstLine="420" w:firstLineChars="200"/>
      </w:pPr>
      <w:r>
        <w:rPr>
          <w:rFonts w:hint="eastAsia" w:ascii="宋体" w:hAnsi="宋体" w:cs="宋体"/>
          <w:kern w:val="0"/>
          <w:szCs w:val="21"/>
        </w:rPr>
        <w:br w:type="page"/>
      </w:r>
      <w:r>
        <w:rPr>
          <w:rFonts w:hint="eastAsia" w:ascii="宋体" w:hAnsi="宋体" w:cs="宋体"/>
          <w:b/>
          <w:bCs/>
          <w:kern w:val="0"/>
          <w:szCs w:val="21"/>
        </w:rPr>
        <w:t>附件1：</w:t>
      </w:r>
    </w:p>
    <w:p w14:paraId="2A14711A">
      <w:pPr>
        <w:spacing w:line="520" w:lineRule="exact"/>
        <w:jc w:val="center"/>
        <w:rPr>
          <w:rFonts w:hint="eastAsia" w:ascii="宋体" w:hAnsi="宋体" w:cs="宋体"/>
          <w:b/>
          <w:bCs/>
          <w:sz w:val="24"/>
          <w:lang w:val="zh-CN"/>
        </w:rPr>
      </w:pPr>
      <w:r>
        <w:rPr>
          <w:rFonts w:hint="eastAsia" w:ascii="宋体" w:hAnsi="宋体" w:cs="宋体"/>
          <w:b/>
          <w:bCs/>
          <w:sz w:val="24"/>
          <w:lang w:val="zh-CN"/>
        </w:rPr>
        <w:t>安徽理工大学合肥校区饮水、吹风机、洗衣机BOO及洗浴委托管理服务采购项目考核细则</w:t>
      </w:r>
    </w:p>
    <w:tbl>
      <w:tblPr>
        <w:tblStyle w:val="4"/>
        <w:tblW w:w="4933" w:type="pct"/>
        <w:jc w:val="center"/>
        <w:tblLayout w:type="fixed"/>
        <w:tblCellMar>
          <w:top w:w="0" w:type="dxa"/>
          <w:left w:w="108" w:type="dxa"/>
          <w:bottom w:w="0" w:type="dxa"/>
          <w:right w:w="108" w:type="dxa"/>
        </w:tblCellMar>
      </w:tblPr>
      <w:tblGrid>
        <w:gridCol w:w="1535"/>
        <w:gridCol w:w="5822"/>
        <w:gridCol w:w="1051"/>
      </w:tblGrid>
      <w:tr w14:paraId="2233D26B">
        <w:tblPrEx>
          <w:tblCellMar>
            <w:top w:w="0" w:type="dxa"/>
            <w:left w:w="108" w:type="dxa"/>
            <w:bottom w:w="0" w:type="dxa"/>
            <w:right w:w="108" w:type="dxa"/>
          </w:tblCellMar>
        </w:tblPrEx>
        <w:trPr>
          <w:trHeight w:val="660" w:hRule="atLeast"/>
          <w:jc w:val="center"/>
        </w:trPr>
        <w:tc>
          <w:tcPr>
            <w:tcW w:w="912" w:type="pct"/>
            <w:tcBorders>
              <w:top w:val="single" w:color="auto" w:sz="4" w:space="0"/>
              <w:left w:val="single" w:color="auto" w:sz="4" w:space="0"/>
              <w:bottom w:val="single" w:color="auto" w:sz="4" w:space="0"/>
              <w:right w:val="single" w:color="auto" w:sz="4" w:space="0"/>
            </w:tcBorders>
            <w:noWrap/>
            <w:vAlign w:val="center"/>
          </w:tcPr>
          <w:p w14:paraId="2E56F23C">
            <w:pPr>
              <w:widowControl/>
              <w:spacing w:line="360" w:lineRule="auto"/>
              <w:jc w:val="center"/>
              <w:rPr>
                <w:rFonts w:ascii="宋体" w:hAnsi="宋体" w:cs="宋体"/>
                <w:b/>
                <w:bCs/>
                <w:kern w:val="0"/>
                <w:szCs w:val="21"/>
              </w:rPr>
            </w:pPr>
            <w:r>
              <w:rPr>
                <w:rFonts w:hint="eastAsia" w:ascii="宋体" w:hAnsi="宋体" w:cs="宋体"/>
                <w:b/>
                <w:bCs/>
                <w:kern w:val="0"/>
                <w:szCs w:val="21"/>
              </w:rPr>
              <w:t>考核项目</w:t>
            </w:r>
          </w:p>
        </w:tc>
        <w:tc>
          <w:tcPr>
            <w:tcW w:w="3461" w:type="pct"/>
            <w:tcBorders>
              <w:top w:val="single" w:color="auto" w:sz="4" w:space="0"/>
              <w:left w:val="nil"/>
              <w:bottom w:val="single" w:color="auto" w:sz="4" w:space="0"/>
              <w:right w:val="single" w:color="auto" w:sz="4" w:space="0"/>
            </w:tcBorders>
            <w:noWrap/>
            <w:vAlign w:val="center"/>
          </w:tcPr>
          <w:p w14:paraId="21A8E0A2">
            <w:pPr>
              <w:widowControl/>
              <w:spacing w:line="360" w:lineRule="auto"/>
              <w:jc w:val="center"/>
              <w:rPr>
                <w:rFonts w:ascii="宋体" w:hAnsi="宋体" w:cs="宋体"/>
                <w:b/>
                <w:bCs/>
                <w:kern w:val="0"/>
                <w:szCs w:val="21"/>
              </w:rPr>
            </w:pPr>
            <w:r>
              <w:rPr>
                <w:rFonts w:hint="eastAsia" w:ascii="宋体" w:hAnsi="宋体" w:cs="宋体"/>
                <w:b/>
                <w:bCs/>
                <w:kern w:val="0"/>
                <w:szCs w:val="21"/>
              </w:rPr>
              <w:t>考核内容</w:t>
            </w:r>
          </w:p>
        </w:tc>
        <w:tc>
          <w:tcPr>
            <w:tcW w:w="625" w:type="pct"/>
            <w:tcBorders>
              <w:top w:val="single" w:color="auto" w:sz="4" w:space="0"/>
              <w:left w:val="nil"/>
              <w:bottom w:val="single" w:color="auto" w:sz="4" w:space="0"/>
              <w:right w:val="single" w:color="auto" w:sz="4" w:space="0"/>
            </w:tcBorders>
            <w:noWrap/>
            <w:vAlign w:val="center"/>
          </w:tcPr>
          <w:p w14:paraId="520745D4">
            <w:pPr>
              <w:widowControl/>
              <w:spacing w:line="360" w:lineRule="auto"/>
              <w:jc w:val="center"/>
              <w:rPr>
                <w:rFonts w:ascii="宋体" w:hAnsi="宋体" w:cs="宋体"/>
                <w:b/>
                <w:bCs/>
                <w:kern w:val="0"/>
                <w:szCs w:val="21"/>
              </w:rPr>
            </w:pPr>
            <w:r>
              <w:rPr>
                <w:rFonts w:hint="eastAsia" w:ascii="宋体" w:hAnsi="宋体" w:cs="宋体"/>
                <w:b/>
                <w:bCs/>
                <w:kern w:val="0"/>
                <w:szCs w:val="21"/>
              </w:rPr>
              <w:t>分值</w:t>
            </w:r>
          </w:p>
        </w:tc>
      </w:tr>
      <w:tr w14:paraId="77AF50ED">
        <w:tblPrEx>
          <w:tblCellMar>
            <w:top w:w="0" w:type="dxa"/>
            <w:left w:w="108" w:type="dxa"/>
            <w:bottom w:w="0" w:type="dxa"/>
            <w:right w:w="108" w:type="dxa"/>
          </w:tblCellMar>
        </w:tblPrEx>
        <w:trPr>
          <w:trHeight w:val="1246" w:hRule="atLeast"/>
          <w:jc w:val="center"/>
        </w:trPr>
        <w:tc>
          <w:tcPr>
            <w:tcW w:w="912" w:type="pct"/>
            <w:tcBorders>
              <w:top w:val="single" w:color="auto" w:sz="4" w:space="0"/>
              <w:left w:val="single" w:color="auto" w:sz="4" w:space="0"/>
              <w:bottom w:val="single" w:color="auto" w:sz="4" w:space="0"/>
              <w:right w:val="single" w:color="auto" w:sz="4" w:space="0"/>
            </w:tcBorders>
            <w:noWrap/>
            <w:vAlign w:val="center"/>
          </w:tcPr>
          <w:p w14:paraId="2A72FE29">
            <w:pPr>
              <w:widowControl/>
              <w:spacing w:line="360" w:lineRule="auto"/>
              <w:jc w:val="center"/>
              <w:rPr>
                <w:rFonts w:ascii="宋体" w:hAnsi="宋体" w:cs="宋体"/>
                <w:b/>
                <w:bCs/>
                <w:kern w:val="0"/>
                <w:szCs w:val="21"/>
              </w:rPr>
            </w:pPr>
            <w:r>
              <w:rPr>
                <w:rFonts w:hint="eastAsia" w:ascii="宋体" w:hAnsi="宋体" w:cs="宋体"/>
                <w:b/>
                <w:bCs/>
                <w:kern w:val="0"/>
                <w:szCs w:val="21"/>
              </w:rPr>
              <w:t>制度管理</w:t>
            </w:r>
          </w:p>
        </w:tc>
        <w:tc>
          <w:tcPr>
            <w:tcW w:w="3461" w:type="pct"/>
            <w:tcBorders>
              <w:top w:val="single" w:color="auto" w:sz="4" w:space="0"/>
              <w:left w:val="nil"/>
              <w:bottom w:val="single" w:color="auto" w:sz="4" w:space="0"/>
              <w:right w:val="single" w:color="auto" w:sz="4" w:space="0"/>
            </w:tcBorders>
            <w:noWrap/>
            <w:vAlign w:val="center"/>
          </w:tcPr>
          <w:p w14:paraId="533CC11F">
            <w:pPr>
              <w:spacing w:line="360" w:lineRule="auto"/>
              <w:rPr>
                <w:rFonts w:ascii="宋体" w:hAnsi="宋体" w:cs="宋体"/>
                <w:szCs w:val="21"/>
              </w:rPr>
            </w:pPr>
            <w:r>
              <w:rPr>
                <w:rFonts w:hint="eastAsia" w:ascii="宋体" w:hAnsi="宋体" w:cs="宋体"/>
                <w:szCs w:val="21"/>
              </w:rPr>
              <w:t>1.是否有人员管理制度、卫生管理制度、清洗消毒制度、文明服务管理制度、消防管理制度、操作规程、应急处理预案等。</w:t>
            </w:r>
          </w:p>
        </w:tc>
        <w:tc>
          <w:tcPr>
            <w:tcW w:w="625" w:type="pct"/>
            <w:tcBorders>
              <w:top w:val="single" w:color="auto" w:sz="4" w:space="0"/>
              <w:left w:val="nil"/>
              <w:bottom w:val="single" w:color="auto" w:sz="4" w:space="0"/>
              <w:right w:val="single" w:color="auto" w:sz="4" w:space="0"/>
            </w:tcBorders>
            <w:noWrap/>
            <w:vAlign w:val="center"/>
          </w:tcPr>
          <w:p w14:paraId="470B55A1">
            <w:pPr>
              <w:widowControl/>
              <w:spacing w:line="360" w:lineRule="auto"/>
              <w:jc w:val="center"/>
              <w:rPr>
                <w:rFonts w:ascii="宋体" w:hAnsi="宋体" w:cs="宋体"/>
                <w:b/>
                <w:bCs/>
                <w:kern w:val="0"/>
                <w:szCs w:val="21"/>
              </w:rPr>
            </w:pPr>
            <w:r>
              <w:rPr>
                <w:rFonts w:hint="eastAsia" w:ascii="宋体" w:hAnsi="宋体" w:cs="宋体"/>
                <w:b/>
                <w:bCs/>
                <w:kern w:val="0"/>
                <w:szCs w:val="21"/>
              </w:rPr>
              <w:t>14分</w:t>
            </w:r>
          </w:p>
        </w:tc>
      </w:tr>
      <w:tr w14:paraId="6F573D3C">
        <w:tblPrEx>
          <w:tblCellMar>
            <w:top w:w="0" w:type="dxa"/>
            <w:left w:w="108" w:type="dxa"/>
            <w:bottom w:w="0" w:type="dxa"/>
            <w:right w:w="108" w:type="dxa"/>
          </w:tblCellMar>
        </w:tblPrEx>
        <w:trPr>
          <w:trHeight w:val="2615" w:hRule="atLeast"/>
          <w:jc w:val="center"/>
        </w:trPr>
        <w:tc>
          <w:tcPr>
            <w:tcW w:w="912" w:type="pct"/>
            <w:tcBorders>
              <w:top w:val="single" w:color="auto" w:sz="4" w:space="0"/>
              <w:left w:val="single" w:color="auto" w:sz="4" w:space="0"/>
              <w:bottom w:val="single" w:color="auto" w:sz="4" w:space="0"/>
              <w:right w:val="single" w:color="auto" w:sz="4" w:space="0"/>
            </w:tcBorders>
            <w:noWrap/>
            <w:vAlign w:val="center"/>
          </w:tcPr>
          <w:p w14:paraId="61234533">
            <w:pPr>
              <w:widowControl/>
              <w:spacing w:line="360" w:lineRule="auto"/>
              <w:jc w:val="center"/>
              <w:rPr>
                <w:rFonts w:ascii="宋体" w:hAnsi="宋体" w:cs="宋体"/>
                <w:b/>
                <w:bCs/>
                <w:kern w:val="0"/>
                <w:szCs w:val="21"/>
              </w:rPr>
            </w:pPr>
            <w:r>
              <w:rPr>
                <w:rFonts w:hint="eastAsia" w:ascii="宋体" w:hAnsi="宋体" w:cs="宋体"/>
                <w:b/>
                <w:bCs/>
                <w:kern w:val="0"/>
                <w:szCs w:val="21"/>
              </w:rPr>
              <w:t>人员管理</w:t>
            </w:r>
          </w:p>
        </w:tc>
        <w:tc>
          <w:tcPr>
            <w:tcW w:w="3461" w:type="pct"/>
            <w:tcBorders>
              <w:top w:val="single" w:color="auto" w:sz="4" w:space="0"/>
              <w:left w:val="nil"/>
              <w:bottom w:val="single" w:color="auto" w:sz="4" w:space="0"/>
              <w:right w:val="single" w:color="auto" w:sz="4" w:space="0"/>
            </w:tcBorders>
            <w:noWrap/>
            <w:vAlign w:val="center"/>
          </w:tcPr>
          <w:p w14:paraId="4B64580C">
            <w:pPr>
              <w:spacing w:line="360" w:lineRule="auto"/>
              <w:rPr>
                <w:rFonts w:ascii="宋体" w:hAnsi="宋体" w:cs="宋体"/>
                <w:szCs w:val="21"/>
              </w:rPr>
            </w:pPr>
            <w:r>
              <w:rPr>
                <w:rFonts w:hint="eastAsia" w:ascii="宋体" w:hAnsi="宋体" w:cs="宋体"/>
                <w:szCs w:val="21"/>
              </w:rPr>
              <w:t>1.工作人员是否取得健康证及无犯罪记录证明；</w:t>
            </w:r>
          </w:p>
          <w:p w14:paraId="2A4E87DD">
            <w:pPr>
              <w:spacing w:line="360" w:lineRule="auto"/>
              <w:jc w:val="left"/>
              <w:rPr>
                <w:rFonts w:ascii="宋体" w:hAnsi="宋体" w:cs="宋体"/>
                <w:szCs w:val="21"/>
              </w:rPr>
            </w:pPr>
            <w:r>
              <w:rPr>
                <w:rFonts w:hint="eastAsia" w:ascii="宋体" w:hAnsi="宋体" w:cs="宋体"/>
                <w:szCs w:val="21"/>
              </w:rPr>
              <w:t>2.工作人员是否擅自离岗、脱岗的；                                                           3.服务期间是否穿着具有企业标识的工作服；</w:t>
            </w:r>
          </w:p>
          <w:p w14:paraId="12704ABF">
            <w:pPr>
              <w:spacing w:line="360" w:lineRule="auto"/>
              <w:rPr>
                <w:rFonts w:ascii="宋体" w:hAnsi="宋体" w:cs="宋体"/>
                <w:szCs w:val="21"/>
              </w:rPr>
            </w:pPr>
            <w:r>
              <w:rPr>
                <w:rFonts w:hint="eastAsia" w:ascii="宋体" w:hAnsi="宋体" w:cs="宋体"/>
                <w:szCs w:val="21"/>
              </w:rPr>
              <w:t xml:space="preserve">4.工作人员文明服务是否到位；                        </w:t>
            </w:r>
          </w:p>
          <w:p w14:paraId="45B1E1A4">
            <w:pPr>
              <w:spacing w:line="360" w:lineRule="auto"/>
              <w:rPr>
                <w:rFonts w:ascii="宋体" w:hAnsi="宋体" w:cs="宋体"/>
                <w:szCs w:val="21"/>
              </w:rPr>
            </w:pPr>
            <w:r>
              <w:rPr>
                <w:rFonts w:hint="eastAsia" w:ascii="宋体" w:hAnsi="宋体" w:cs="宋体"/>
                <w:szCs w:val="21"/>
              </w:rPr>
              <w:t xml:space="preserve">5.工作人员是否服从学校管理；                                                    </w:t>
            </w:r>
          </w:p>
          <w:p w14:paraId="54811D85">
            <w:pPr>
              <w:spacing w:line="360" w:lineRule="auto"/>
              <w:rPr>
                <w:rFonts w:ascii="宋体" w:hAnsi="宋体" w:cs="宋体"/>
                <w:szCs w:val="21"/>
              </w:rPr>
            </w:pPr>
            <w:r>
              <w:rPr>
                <w:rFonts w:hint="eastAsia" w:ascii="宋体" w:hAnsi="宋体" w:cs="宋体"/>
                <w:szCs w:val="21"/>
              </w:rPr>
              <w:t>6.工作人员态度是否恶劣。</w:t>
            </w:r>
          </w:p>
        </w:tc>
        <w:tc>
          <w:tcPr>
            <w:tcW w:w="625" w:type="pct"/>
            <w:tcBorders>
              <w:top w:val="single" w:color="auto" w:sz="4" w:space="0"/>
              <w:left w:val="nil"/>
              <w:bottom w:val="single" w:color="auto" w:sz="4" w:space="0"/>
              <w:right w:val="single" w:color="auto" w:sz="4" w:space="0"/>
            </w:tcBorders>
            <w:noWrap/>
            <w:vAlign w:val="center"/>
          </w:tcPr>
          <w:p w14:paraId="22B114D4">
            <w:pPr>
              <w:widowControl/>
              <w:spacing w:line="360" w:lineRule="auto"/>
              <w:jc w:val="center"/>
              <w:rPr>
                <w:rFonts w:ascii="宋体" w:hAnsi="宋体" w:cs="宋体"/>
                <w:b/>
                <w:bCs/>
                <w:kern w:val="0"/>
                <w:szCs w:val="21"/>
              </w:rPr>
            </w:pPr>
            <w:r>
              <w:rPr>
                <w:rFonts w:hint="eastAsia" w:ascii="宋体" w:hAnsi="宋体" w:cs="宋体"/>
                <w:b/>
                <w:bCs/>
                <w:kern w:val="0"/>
                <w:szCs w:val="21"/>
              </w:rPr>
              <w:t>18分</w:t>
            </w:r>
          </w:p>
        </w:tc>
      </w:tr>
      <w:tr w14:paraId="49CBBCE1">
        <w:tblPrEx>
          <w:tblCellMar>
            <w:top w:w="0" w:type="dxa"/>
            <w:left w:w="108" w:type="dxa"/>
            <w:bottom w:w="0" w:type="dxa"/>
            <w:right w:w="108" w:type="dxa"/>
          </w:tblCellMar>
        </w:tblPrEx>
        <w:trPr>
          <w:trHeight w:val="1696" w:hRule="atLeast"/>
          <w:jc w:val="center"/>
        </w:trPr>
        <w:tc>
          <w:tcPr>
            <w:tcW w:w="912" w:type="pct"/>
            <w:tcBorders>
              <w:top w:val="single" w:color="auto" w:sz="4" w:space="0"/>
              <w:left w:val="single" w:color="auto" w:sz="4" w:space="0"/>
              <w:bottom w:val="single" w:color="auto" w:sz="4" w:space="0"/>
              <w:right w:val="single" w:color="auto" w:sz="4" w:space="0"/>
            </w:tcBorders>
            <w:noWrap/>
            <w:vAlign w:val="center"/>
          </w:tcPr>
          <w:p w14:paraId="1C4C3DB7">
            <w:pPr>
              <w:widowControl/>
              <w:spacing w:line="360" w:lineRule="auto"/>
              <w:jc w:val="center"/>
              <w:rPr>
                <w:rFonts w:ascii="宋体" w:hAnsi="宋体" w:cs="宋体"/>
                <w:b/>
                <w:bCs/>
                <w:kern w:val="0"/>
                <w:szCs w:val="21"/>
              </w:rPr>
            </w:pPr>
            <w:r>
              <w:rPr>
                <w:rFonts w:hint="eastAsia" w:ascii="宋体" w:hAnsi="宋体" w:cs="宋体"/>
                <w:b/>
                <w:bCs/>
                <w:kern w:val="0"/>
                <w:szCs w:val="21"/>
              </w:rPr>
              <w:t>信息公开</w:t>
            </w:r>
          </w:p>
        </w:tc>
        <w:tc>
          <w:tcPr>
            <w:tcW w:w="3461" w:type="pct"/>
            <w:tcBorders>
              <w:top w:val="single" w:color="auto" w:sz="4" w:space="0"/>
              <w:left w:val="nil"/>
              <w:bottom w:val="single" w:color="auto" w:sz="4" w:space="0"/>
              <w:right w:val="single" w:color="auto" w:sz="4" w:space="0"/>
            </w:tcBorders>
            <w:noWrap/>
            <w:vAlign w:val="center"/>
          </w:tcPr>
          <w:p w14:paraId="64128F95">
            <w:pPr>
              <w:spacing w:line="360" w:lineRule="auto"/>
              <w:rPr>
                <w:rFonts w:ascii="宋体" w:hAnsi="宋体" w:cs="宋体"/>
                <w:szCs w:val="21"/>
              </w:rPr>
            </w:pPr>
            <w:r>
              <w:rPr>
                <w:rFonts w:hint="eastAsia" w:ascii="宋体" w:hAnsi="宋体" w:cs="宋体"/>
                <w:szCs w:val="21"/>
              </w:rPr>
              <w:t>服务管理制度、服务种类、收费标准、服务操作流程、服务时间、服务人员信息（照片、姓名、联系电话）、监督投诉电话等是否在显著位置悬挂。</w:t>
            </w:r>
          </w:p>
        </w:tc>
        <w:tc>
          <w:tcPr>
            <w:tcW w:w="625" w:type="pct"/>
            <w:tcBorders>
              <w:top w:val="single" w:color="auto" w:sz="4" w:space="0"/>
              <w:left w:val="nil"/>
              <w:bottom w:val="single" w:color="auto" w:sz="4" w:space="0"/>
              <w:right w:val="single" w:color="auto" w:sz="4" w:space="0"/>
            </w:tcBorders>
            <w:noWrap/>
            <w:vAlign w:val="center"/>
          </w:tcPr>
          <w:p w14:paraId="11BE1938">
            <w:pPr>
              <w:widowControl/>
              <w:spacing w:line="360" w:lineRule="auto"/>
              <w:jc w:val="center"/>
              <w:rPr>
                <w:rFonts w:ascii="宋体" w:hAnsi="宋体" w:cs="宋体"/>
                <w:b/>
                <w:bCs/>
                <w:kern w:val="0"/>
                <w:szCs w:val="21"/>
              </w:rPr>
            </w:pPr>
            <w:r>
              <w:rPr>
                <w:rFonts w:hint="eastAsia" w:ascii="宋体" w:hAnsi="宋体" w:cs="宋体"/>
                <w:b/>
                <w:bCs/>
                <w:kern w:val="0"/>
                <w:szCs w:val="21"/>
              </w:rPr>
              <w:t>28分</w:t>
            </w:r>
          </w:p>
        </w:tc>
      </w:tr>
      <w:tr w14:paraId="5914BD07">
        <w:tblPrEx>
          <w:tblCellMar>
            <w:top w:w="0" w:type="dxa"/>
            <w:left w:w="108" w:type="dxa"/>
            <w:bottom w:w="0" w:type="dxa"/>
            <w:right w:w="108" w:type="dxa"/>
          </w:tblCellMar>
        </w:tblPrEx>
        <w:trPr>
          <w:trHeight w:val="90" w:hRule="atLeast"/>
          <w:jc w:val="center"/>
        </w:trPr>
        <w:tc>
          <w:tcPr>
            <w:tcW w:w="912" w:type="pct"/>
            <w:tcBorders>
              <w:top w:val="nil"/>
              <w:left w:val="single" w:color="auto" w:sz="4" w:space="0"/>
              <w:bottom w:val="single" w:color="auto" w:sz="4" w:space="0"/>
              <w:right w:val="single" w:color="auto" w:sz="4" w:space="0"/>
            </w:tcBorders>
            <w:noWrap/>
            <w:vAlign w:val="center"/>
          </w:tcPr>
          <w:p w14:paraId="35A12FED">
            <w:pPr>
              <w:widowControl/>
              <w:spacing w:line="360" w:lineRule="auto"/>
              <w:jc w:val="center"/>
              <w:rPr>
                <w:rFonts w:ascii="宋体" w:hAnsi="宋体" w:cs="宋体"/>
                <w:b/>
                <w:bCs/>
                <w:kern w:val="0"/>
                <w:szCs w:val="21"/>
              </w:rPr>
            </w:pPr>
            <w:r>
              <w:rPr>
                <w:rFonts w:hint="eastAsia" w:ascii="宋体" w:hAnsi="宋体" w:cs="宋体"/>
                <w:b/>
                <w:bCs/>
                <w:kern w:val="0"/>
                <w:szCs w:val="21"/>
              </w:rPr>
              <w:t>经营管理</w:t>
            </w:r>
          </w:p>
        </w:tc>
        <w:tc>
          <w:tcPr>
            <w:tcW w:w="3461" w:type="pct"/>
            <w:tcBorders>
              <w:top w:val="nil"/>
              <w:left w:val="nil"/>
              <w:bottom w:val="single" w:color="auto" w:sz="4" w:space="0"/>
              <w:right w:val="single" w:color="auto" w:sz="4" w:space="0"/>
            </w:tcBorders>
            <w:noWrap w:val="0"/>
            <w:vAlign w:val="center"/>
          </w:tcPr>
          <w:p w14:paraId="6152506B">
            <w:pPr>
              <w:spacing w:line="360" w:lineRule="auto"/>
              <w:jc w:val="left"/>
              <w:rPr>
                <w:rFonts w:ascii="宋体" w:hAnsi="宋体" w:cs="宋体"/>
                <w:szCs w:val="21"/>
              </w:rPr>
            </w:pPr>
            <w:r>
              <w:rPr>
                <w:rFonts w:hint="eastAsia" w:ascii="宋体" w:hAnsi="宋体" w:cs="宋体"/>
                <w:szCs w:val="21"/>
              </w:rPr>
              <w:t>1.卫生状况是否良好，场地及设施设备有无积垢、杂物或异味；                                                         2.是否按照卫生及安全要求定期进行卫生消毒；</w:t>
            </w:r>
          </w:p>
          <w:p w14:paraId="19775B23">
            <w:pPr>
              <w:spacing w:line="360" w:lineRule="auto"/>
              <w:jc w:val="left"/>
              <w:rPr>
                <w:rFonts w:ascii="宋体" w:hAnsi="宋体" w:cs="宋体"/>
                <w:szCs w:val="21"/>
              </w:rPr>
            </w:pPr>
            <w:r>
              <w:rPr>
                <w:rFonts w:hint="eastAsia" w:ascii="宋体" w:hAnsi="宋体" w:cs="宋体"/>
                <w:szCs w:val="21"/>
              </w:rPr>
              <w:t>3.设施设备维修更换是否及时；</w:t>
            </w:r>
          </w:p>
          <w:p w14:paraId="513F357E">
            <w:pPr>
              <w:spacing w:line="360" w:lineRule="auto"/>
              <w:jc w:val="left"/>
              <w:rPr>
                <w:rFonts w:ascii="宋体" w:hAnsi="宋体" w:cs="宋体"/>
                <w:szCs w:val="21"/>
              </w:rPr>
            </w:pPr>
            <w:r>
              <w:rPr>
                <w:rFonts w:hint="eastAsia" w:ascii="宋体" w:hAnsi="宋体" w:cs="宋体"/>
                <w:szCs w:val="21"/>
              </w:rPr>
              <w:t>4.是否接到学生投诉或处理学生投诉是否及时；</w:t>
            </w:r>
          </w:p>
          <w:p w14:paraId="457E78CC">
            <w:pPr>
              <w:spacing w:line="360" w:lineRule="auto"/>
              <w:jc w:val="left"/>
              <w:rPr>
                <w:rFonts w:ascii="宋体" w:hAnsi="宋体" w:cs="宋体"/>
                <w:szCs w:val="21"/>
              </w:rPr>
            </w:pPr>
            <w:r>
              <w:rPr>
                <w:rFonts w:hint="eastAsia" w:ascii="宋体" w:hAnsi="宋体" w:cs="宋体"/>
                <w:szCs w:val="21"/>
              </w:rPr>
              <w:t>5.需要采取隐私安全保护的是否采取；</w:t>
            </w:r>
          </w:p>
          <w:p w14:paraId="582A02C7">
            <w:pPr>
              <w:spacing w:line="360" w:lineRule="auto"/>
              <w:jc w:val="left"/>
              <w:rPr>
                <w:rFonts w:ascii="宋体" w:hAnsi="宋体" w:cs="宋体"/>
                <w:szCs w:val="21"/>
              </w:rPr>
            </w:pPr>
            <w:r>
              <w:rPr>
                <w:rFonts w:hint="eastAsia" w:ascii="宋体" w:hAnsi="宋体" w:cs="宋体"/>
                <w:szCs w:val="21"/>
              </w:rPr>
              <w:t>6.因经营服务问题是否造成安全事故；</w:t>
            </w:r>
          </w:p>
          <w:p w14:paraId="46BC6209">
            <w:pPr>
              <w:spacing w:line="360" w:lineRule="auto"/>
              <w:jc w:val="left"/>
              <w:rPr>
                <w:rFonts w:ascii="宋体" w:hAnsi="宋体" w:cs="宋体"/>
                <w:szCs w:val="21"/>
              </w:rPr>
            </w:pPr>
            <w:r>
              <w:rPr>
                <w:rFonts w:hint="eastAsia" w:ascii="宋体" w:hAnsi="宋体" w:cs="宋体"/>
                <w:szCs w:val="21"/>
              </w:rPr>
              <w:t>7.是否按要求落实主管部门整改要求的；</w:t>
            </w:r>
          </w:p>
          <w:p w14:paraId="1D88393E">
            <w:pPr>
              <w:spacing w:line="360" w:lineRule="auto"/>
              <w:jc w:val="left"/>
              <w:rPr>
                <w:rFonts w:ascii="宋体" w:hAnsi="宋体" w:cs="宋体"/>
                <w:szCs w:val="21"/>
              </w:rPr>
            </w:pPr>
            <w:r>
              <w:rPr>
                <w:rFonts w:hint="eastAsia" w:ascii="宋体" w:hAnsi="宋体" w:cs="宋体"/>
                <w:szCs w:val="21"/>
              </w:rPr>
              <w:t xml:space="preserve">8.是否取得营业执照擅自营业；                                                                                                                                      </w:t>
            </w:r>
          </w:p>
        </w:tc>
        <w:tc>
          <w:tcPr>
            <w:tcW w:w="625" w:type="pct"/>
            <w:tcBorders>
              <w:top w:val="nil"/>
              <w:left w:val="nil"/>
              <w:bottom w:val="single" w:color="auto" w:sz="4" w:space="0"/>
              <w:right w:val="single" w:color="auto" w:sz="4" w:space="0"/>
            </w:tcBorders>
            <w:noWrap w:val="0"/>
            <w:vAlign w:val="center"/>
          </w:tcPr>
          <w:p w14:paraId="569B6B5A">
            <w:pPr>
              <w:widowControl/>
              <w:spacing w:line="360" w:lineRule="auto"/>
              <w:jc w:val="center"/>
              <w:rPr>
                <w:rFonts w:ascii="宋体" w:hAnsi="宋体" w:cs="宋体"/>
                <w:b/>
                <w:bCs/>
                <w:kern w:val="0"/>
                <w:szCs w:val="21"/>
              </w:rPr>
            </w:pPr>
            <w:r>
              <w:rPr>
                <w:rFonts w:hint="eastAsia" w:ascii="宋体" w:hAnsi="宋体" w:cs="宋体"/>
                <w:b/>
                <w:bCs/>
                <w:kern w:val="0"/>
                <w:szCs w:val="21"/>
              </w:rPr>
              <w:t>40分</w:t>
            </w:r>
          </w:p>
        </w:tc>
      </w:tr>
    </w:tbl>
    <w:p w14:paraId="51C3509C">
      <w:pPr>
        <w:pStyle w:val="8"/>
        <w:ind w:firstLine="240"/>
        <w:rPr>
          <w:rFonts w:cs="宋体"/>
          <w:sz w:val="24"/>
        </w:rPr>
      </w:pPr>
    </w:p>
    <w:p w14:paraId="2A6724D1">
      <w:pPr>
        <w:pStyle w:val="8"/>
        <w:ind w:firstLine="240"/>
        <w:rPr>
          <w:rFonts w:cs="宋体"/>
          <w:sz w:val="24"/>
        </w:rPr>
      </w:pPr>
    </w:p>
    <w:p w14:paraId="2942A31C">
      <w:pPr>
        <w:pStyle w:val="8"/>
        <w:ind w:firstLine="240"/>
        <w:rPr>
          <w:rFonts w:cs="宋体"/>
          <w:sz w:val="24"/>
        </w:rPr>
      </w:pPr>
    </w:p>
    <w:p w14:paraId="73EB090A">
      <w:pPr>
        <w:spacing w:line="560" w:lineRule="exact"/>
        <w:jc w:val="center"/>
        <w:rPr>
          <w:rFonts w:hint="eastAsia" w:ascii="宋体" w:hAnsi="宋体" w:cs="宋体"/>
          <w:b/>
          <w:bCs/>
          <w:sz w:val="24"/>
          <w:lang w:val="zh-CN"/>
        </w:rPr>
      </w:pPr>
      <w:r>
        <w:rPr>
          <w:rFonts w:hint="eastAsia" w:ascii="宋体" w:hAnsi="宋体" w:cs="宋体"/>
          <w:b/>
          <w:bCs/>
          <w:sz w:val="24"/>
          <w:lang w:val="zh-CN"/>
        </w:rPr>
        <w:br w:type="page"/>
      </w:r>
      <w:r>
        <w:rPr>
          <w:rFonts w:hint="eastAsia" w:ascii="宋体" w:hAnsi="宋体" w:cs="宋体"/>
          <w:b/>
          <w:bCs/>
          <w:sz w:val="24"/>
          <w:lang w:val="zh-CN"/>
        </w:rPr>
        <w:t>安徽理工大学合肥校区饮水、吹风机、洗衣机BOO及洗浴委托管理服务采购项目违约金处罚标准</w:t>
      </w:r>
    </w:p>
    <w:tbl>
      <w:tblPr>
        <w:tblStyle w:val="4"/>
        <w:tblW w:w="83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26"/>
        <w:gridCol w:w="3907"/>
        <w:gridCol w:w="2921"/>
      </w:tblGrid>
      <w:tr w14:paraId="77B742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jc w:val="center"/>
        </w:trPr>
        <w:tc>
          <w:tcPr>
            <w:tcW w:w="1526" w:type="dxa"/>
            <w:noWrap w:val="0"/>
            <w:vAlign w:val="center"/>
          </w:tcPr>
          <w:p w14:paraId="27385491">
            <w:pPr>
              <w:spacing w:line="360" w:lineRule="auto"/>
              <w:jc w:val="center"/>
              <w:rPr>
                <w:rFonts w:ascii="宋体" w:hAnsi="宋体" w:cs="宋体"/>
                <w:b/>
                <w:szCs w:val="21"/>
              </w:rPr>
            </w:pPr>
            <w:r>
              <w:rPr>
                <w:rFonts w:hint="eastAsia" w:ascii="宋体" w:hAnsi="宋体" w:cs="宋体"/>
                <w:b/>
                <w:szCs w:val="21"/>
              </w:rPr>
              <w:t>检查项目</w:t>
            </w:r>
          </w:p>
        </w:tc>
        <w:tc>
          <w:tcPr>
            <w:tcW w:w="3907" w:type="dxa"/>
            <w:noWrap w:val="0"/>
            <w:vAlign w:val="center"/>
          </w:tcPr>
          <w:p w14:paraId="61A4C425">
            <w:pPr>
              <w:spacing w:line="360" w:lineRule="auto"/>
              <w:jc w:val="center"/>
              <w:rPr>
                <w:rFonts w:ascii="宋体" w:hAnsi="宋体" w:cs="宋体"/>
                <w:b/>
                <w:szCs w:val="21"/>
              </w:rPr>
            </w:pPr>
            <w:r>
              <w:rPr>
                <w:rFonts w:hint="eastAsia" w:ascii="宋体" w:hAnsi="宋体" w:cs="宋体"/>
                <w:b/>
                <w:szCs w:val="21"/>
              </w:rPr>
              <w:t>服务要求</w:t>
            </w:r>
          </w:p>
        </w:tc>
        <w:tc>
          <w:tcPr>
            <w:tcW w:w="2921" w:type="dxa"/>
            <w:noWrap w:val="0"/>
            <w:vAlign w:val="center"/>
          </w:tcPr>
          <w:p w14:paraId="5DC3B5DC">
            <w:pPr>
              <w:spacing w:line="360" w:lineRule="auto"/>
              <w:jc w:val="center"/>
              <w:rPr>
                <w:rFonts w:ascii="宋体" w:hAnsi="宋体" w:cs="宋体"/>
                <w:b/>
                <w:szCs w:val="21"/>
              </w:rPr>
            </w:pPr>
            <w:r>
              <w:rPr>
                <w:rFonts w:hint="eastAsia" w:ascii="宋体" w:hAnsi="宋体" w:cs="宋体"/>
                <w:b/>
                <w:szCs w:val="21"/>
              </w:rPr>
              <w:t>违约金处罚标准</w:t>
            </w:r>
          </w:p>
        </w:tc>
      </w:tr>
      <w:tr w14:paraId="764CB7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1526" w:type="dxa"/>
            <w:vMerge w:val="restart"/>
            <w:noWrap w:val="0"/>
            <w:vAlign w:val="center"/>
          </w:tcPr>
          <w:p w14:paraId="15119780">
            <w:pPr>
              <w:widowControl/>
              <w:spacing w:line="360" w:lineRule="auto"/>
              <w:jc w:val="center"/>
              <w:rPr>
                <w:rFonts w:ascii="宋体" w:hAnsi="宋体" w:cs="宋体"/>
                <w:b/>
                <w:bCs/>
                <w:kern w:val="0"/>
                <w:szCs w:val="21"/>
              </w:rPr>
            </w:pPr>
            <w:r>
              <w:rPr>
                <w:rFonts w:hint="eastAsia" w:ascii="宋体" w:hAnsi="宋体" w:cs="宋体"/>
                <w:b/>
                <w:bCs/>
                <w:kern w:val="0"/>
                <w:szCs w:val="21"/>
              </w:rPr>
              <w:t>人员管理</w:t>
            </w:r>
          </w:p>
        </w:tc>
        <w:tc>
          <w:tcPr>
            <w:tcW w:w="3907" w:type="dxa"/>
            <w:noWrap w:val="0"/>
            <w:vAlign w:val="center"/>
          </w:tcPr>
          <w:p w14:paraId="02DC326F">
            <w:pPr>
              <w:spacing w:line="360" w:lineRule="auto"/>
              <w:jc w:val="left"/>
              <w:rPr>
                <w:rFonts w:ascii="宋体" w:hAnsi="宋体" w:cs="宋体"/>
                <w:szCs w:val="21"/>
              </w:rPr>
            </w:pPr>
            <w:r>
              <w:rPr>
                <w:rFonts w:hint="eastAsia" w:ascii="宋体" w:hAnsi="宋体" w:cs="宋体"/>
                <w:szCs w:val="21"/>
              </w:rPr>
              <w:t>项目经理每周进校巡查一次</w:t>
            </w:r>
          </w:p>
        </w:tc>
        <w:tc>
          <w:tcPr>
            <w:tcW w:w="2921" w:type="dxa"/>
            <w:noWrap w:val="0"/>
            <w:vAlign w:val="center"/>
          </w:tcPr>
          <w:p w14:paraId="7F298253">
            <w:pPr>
              <w:spacing w:line="360" w:lineRule="auto"/>
              <w:jc w:val="left"/>
              <w:rPr>
                <w:rFonts w:ascii="宋体" w:hAnsi="宋体" w:cs="宋体"/>
                <w:szCs w:val="21"/>
              </w:rPr>
            </w:pPr>
            <w:r>
              <w:rPr>
                <w:rFonts w:hint="eastAsia" w:ascii="宋体" w:hAnsi="宋体" w:cs="宋体"/>
                <w:szCs w:val="21"/>
              </w:rPr>
              <w:t>检查相关巡查记录，经检查不符合要求，按每缺少一次，扣罚300元，以此类推</w:t>
            </w:r>
          </w:p>
        </w:tc>
      </w:tr>
      <w:tr w14:paraId="013123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jc w:val="center"/>
        </w:trPr>
        <w:tc>
          <w:tcPr>
            <w:tcW w:w="1526" w:type="dxa"/>
            <w:vMerge w:val="continue"/>
            <w:noWrap w:val="0"/>
            <w:vAlign w:val="center"/>
          </w:tcPr>
          <w:p w14:paraId="01956B10">
            <w:pPr>
              <w:widowControl/>
              <w:spacing w:line="360" w:lineRule="auto"/>
              <w:jc w:val="center"/>
              <w:rPr>
                <w:rFonts w:ascii="宋体" w:hAnsi="宋体" w:cs="宋体"/>
                <w:b/>
                <w:bCs/>
                <w:kern w:val="0"/>
                <w:szCs w:val="21"/>
              </w:rPr>
            </w:pPr>
          </w:p>
        </w:tc>
        <w:tc>
          <w:tcPr>
            <w:tcW w:w="3907" w:type="dxa"/>
            <w:noWrap w:val="0"/>
            <w:vAlign w:val="center"/>
          </w:tcPr>
          <w:p w14:paraId="0EE19A89">
            <w:pPr>
              <w:spacing w:line="360" w:lineRule="auto"/>
              <w:jc w:val="left"/>
              <w:rPr>
                <w:rFonts w:ascii="宋体" w:hAnsi="宋体" w:cs="宋体"/>
                <w:szCs w:val="21"/>
              </w:rPr>
            </w:pPr>
            <w:r>
              <w:rPr>
                <w:rFonts w:hint="eastAsia" w:ascii="宋体" w:hAnsi="宋体" w:cs="宋体"/>
                <w:szCs w:val="21"/>
              </w:rPr>
              <w:t>维修、保洁服务人员按要求配置</w:t>
            </w:r>
          </w:p>
        </w:tc>
        <w:tc>
          <w:tcPr>
            <w:tcW w:w="2921" w:type="dxa"/>
            <w:noWrap w:val="0"/>
            <w:vAlign w:val="center"/>
          </w:tcPr>
          <w:p w14:paraId="3225C116">
            <w:pPr>
              <w:spacing w:line="360" w:lineRule="auto"/>
              <w:jc w:val="left"/>
              <w:rPr>
                <w:rFonts w:ascii="宋体" w:hAnsi="宋体" w:cs="宋体"/>
                <w:szCs w:val="21"/>
              </w:rPr>
            </w:pPr>
            <w:r>
              <w:rPr>
                <w:rFonts w:hint="eastAsia" w:ascii="宋体" w:hAnsi="宋体" w:cs="宋体"/>
                <w:szCs w:val="21"/>
              </w:rPr>
              <w:t>经检查不符合要求，按每人每天300元扣罚，以此类推</w:t>
            </w:r>
          </w:p>
        </w:tc>
      </w:tr>
      <w:tr w14:paraId="66448D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2" w:hRule="atLeast"/>
          <w:jc w:val="center"/>
        </w:trPr>
        <w:tc>
          <w:tcPr>
            <w:tcW w:w="1526" w:type="dxa"/>
            <w:noWrap w:val="0"/>
            <w:vAlign w:val="center"/>
          </w:tcPr>
          <w:p w14:paraId="73F133F3">
            <w:pPr>
              <w:widowControl/>
              <w:spacing w:line="360" w:lineRule="auto"/>
              <w:jc w:val="center"/>
              <w:rPr>
                <w:rFonts w:ascii="宋体" w:hAnsi="宋体" w:cs="宋体"/>
                <w:b/>
                <w:bCs/>
                <w:kern w:val="0"/>
                <w:szCs w:val="21"/>
              </w:rPr>
            </w:pPr>
            <w:r>
              <w:rPr>
                <w:rFonts w:hint="eastAsia" w:ascii="宋体" w:hAnsi="宋体" w:cs="宋体"/>
                <w:b/>
                <w:bCs/>
                <w:kern w:val="0"/>
                <w:szCs w:val="21"/>
              </w:rPr>
              <w:t>信息公示要求</w:t>
            </w:r>
          </w:p>
        </w:tc>
        <w:tc>
          <w:tcPr>
            <w:tcW w:w="3907" w:type="dxa"/>
            <w:noWrap w:val="0"/>
            <w:vAlign w:val="center"/>
          </w:tcPr>
          <w:p w14:paraId="4025714A">
            <w:pPr>
              <w:spacing w:line="360" w:lineRule="auto"/>
              <w:jc w:val="left"/>
              <w:rPr>
                <w:rFonts w:ascii="宋体" w:hAnsi="宋体" w:cs="宋体"/>
                <w:szCs w:val="21"/>
              </w:rPr>
            </w:pPr>
            <w:r>
              <w:rPr>
                <w:rFonts w:hint="eastAsia" w:ascii="宋体" w:hAnsi="宋体" w:cs="宋体"/>
                <w:szCs w:val="21"/>
              </w:rPr>
              <w:t>服务种类、收费标准、服务操作流程、服务时间、服务人员信息（照片、姓名、联系电话）、监督投诉电话等未在显著位置悬挂</w:t>
            </w:r>
            <w:r>
              <w:rPr>
                <w:rFonts w:hint="eastAsia" w:ascii="宋体" w:hAnsi="宋体" w:cs="宋体"/>
                <w:kern w:val="0"/>
                <w:szCs w:val="21"/>
              </w:rPr>
              <w:t>。</w:t>
            </w:r>
          </w:p>
        </w:tc>
        <w:tc>
          <w:tcPr>
            <w:tcW w:w="2921" w:type="dxa"/>
            <w:noWrap w:val="0"/>
            <w:vAlign w:val="center"/>
          </w:tcPr>
          <w:p w14:paraId="42CCA036">
            <w:pPr>
              <w:spacing w:line="360" w:lineRule="auto"/>
              <w:jc w:val="left"/>
              <w:rPr>
                <w:rFonts w:ascii="宋体" w:hAnsi="宋体" w:cs="宋体"/>
                <w:szCs w:val="21"/>
              </w:rPr>
            </w:pPr>
            <w:r>
              <w:rPr>
                <w:rFonts w:hint="eastAsia" w:ascii="宋体" w:hAnsi="宋体" w:cs="宋体"/>
                <w:szCs w:val="21"/>
              </w:rPr>
              <w:t>经检查不符合要求，按300元/处缴纳</w:t>
            </w:r>
          </w:p>
        </w:tc>
      </w:tr>
      <w:tr w14:paraId="558050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5" w:hRule="atLeast"/>
          <w:jc w:val="center"/>
        </w:trPr>
        <w:tc>
          <w:tcPr>
            <w:tcW w:w="1526" w:type="dxa"/>
            <w:noWrap w:val="0"/>
            <w:vAlign w:val="center"/>
          </w:tcPr>
          <w:p w14:paraId="594E517B">
            <w:pPr>
              <w:widowControl/>
              <w:spacing w:line="360" w:lineRule="auto"/>
              <w:jc w:val="center"/>
              <w:rPr>
                <w:rFonts w:ascii="宋体" w:hAnsi="宋体" w:cs="宋体"/>
                <w:b/>
                <w:bCs/>
                <w:kern w:val="0"/>
                <w:szCs w:val="21"/>
              </w:rPr>
            </w:pPr>
            <w:r>
              <w:rPr>
                <w:rFonts w:hint="eastAsia" w:ascii="宋体" w:hAnsi="宋体" w:cs="宋体"/>
                <w:b/>
                <w:bCs/>
                <w:kern w:val="0"/>
                <w:szCs w:val="21"/>
              </w:rPr>
              <w:t>制度管理</w:t>
            </w:r>
          </w:p>
        </w:tc>
        <w:tc>
          <w:tcPr>
            <w:tcW w:w="3907" w:type="dxa"/>
            <w:noWrap w:val="0"/>
            <w:vAlign w:val="center"/>
          </w:tcPr>
          <w:p w14:paraId="0EC4FC96">
            <w:pPr>
              <w:spacing w:line="360" w:lineRule="auto"/>
              <w:jc w:val="left"/>
              <w:rPr>
                <w:rFonts w:ascii="宋体" w:hAnsi="宋体" w:cs="宋体"/>
                <w:szCs w:val="21"/>
              </w:rPr>
            </w:pPr>
            <w:r>
              <w:rPr>
                <w:rFonts w:hint="eastAsia" w:ascii="宋体" w:hAnsi="宋体" w:cs="宋体"/>
                <w:szCs w:val="21"/>
              </w:rPr>
              <w:t>无人员管理制度、卫生管理制度、清洗消毒制度、文明服务管理制度、消防管理制度、操作规程、应急处理预案等。</w:t>
            </w:r>
          </w:p>
        </w:tc>
        <w:tc>
          <w:tcPr>
            <w:tcW w:w="2921" w:type="dxa"/>
            <w:noWrap w:val="0"/>
            <w:vAlign w:val="center"/>
          </w:tcPr>
          <w:p w14:paraId="776D5D16">
            <w:pPr>
              <w:spacing w:line="360" w:lineRule="auto"/>
              <w:jc w:val="left"/>
              <w:rPr>
                <w:rFonts w:ascii="宋体" w:hAnsi="宋体" w:cs="宋体"/>
                <w:szCs w:val="21"/>
              </w:rPr>
            </w:pPr>
            <w:r>
              <w:rPr>
                <w:rFonts w:hint="eastAsia" w:ascii="宋体" w:hAnsi="宋体" w:cs="宋体"/>
                <w:szCs w:val="21"/>
              </w:rPr>
              <w:t>未按要求提供的的，按300元/次扣罚</w:t>
            </w:r>
          </w:p>
        </w:tc>
      </w:tr>
      <w:tr w14:paraId="19BEC4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3" w:hRule="atLeast"/>
          <w:jc w:val="center"/>
        </w:trPr>
        <w:tc>
          <w:tcPr>
            <w:tcW w:w="1526" w:type="dxa"/>
            <w:vMerge w:val="restart"/>
            <w:noWrap w:val="0"/>
            <w:vAlign w:val="center"/>
          </w:tcPr>
          <w:p w14:paraId="2CBC7F62">
            <w:pPr>
              <w:widowControl/>
              <w:spacing w:line="360" w:lineRule="auto"/>
              <w:jc w:val="center"/>
              <w:rPr>
                <w:rFonts w:ascii="宋体" w:hAnsi="宋体" w:cs="宋体"/>
                <w:b/>
                <w:bCs/>
                <w:kern w:val="0"/>
                <w:szCs w:val="21"/>
              </w:rPr>
            </w:pPr>
            <w:r>
              <w:rPr>
                <w:rFonts w:hint="eastAsia" w:ascii="宋体" w:hAnsi="宋体" w:cs="宋体"/>
                <w:b/>
                <w:bCs/>
                <w:kern w:val="0"/>
                <w:szCs w:val="21"/>
              </w:rPr>
              <w:t>资费要求</w:t>
            </w:r>
          </w:p>
        </w:tc>
        <w:tc>
          <w:tcPr>
            <w:tcW w:w="3907" w:type="dxa"/>
            <w:noWrap w:val="0"/>
            <w:vAlign w:val="center"/>
          </w:tcPr>
          <w:p w14:paraId="35CD22F0">
            <w:pPr>
              <w:spacing w:line="360" w:lineRule="auto"/>
              <w:jc w:val="left"/>
              <w:rPr>
                <w:rFonts w:ascii="宋体" w:hAnsi="宋体" w:cs="宋体"/>
                <w:szCs w:val="21"/>
              </w:rPr>
            </w:pPr>
            <w:r>
              <w:rPr>
                <w:rFonts w:hint="eastAsia" w:ascii="宋体" w:hAnsi="宋体" w:cs="宋体"/>
                <w:szCs w:val="21"/>
              </w:rPr>
              <w:t>如洗浴及吹风机、洗衣机、饮水价格、计量标准符合要求</w:t>
            </w:r>
          </w:p>
        </w:tc>
        <w:tc>
          <w:tcPr>
            <w:tcW w:w="2921" w:type="dxa"/>
            <w:noWrap w:val="0"/>
            <w:vAlign w:val="center"/>
          </w:tcPr>
          <w:p w14:paraId="7D275654">
            <w:pPr>
              <w:spacing w:line="360" w:lineRule="auto"/>
              <w:jc w:val="left"/>
              <w:rPr>
                <w:rFonts w:ascii="宋体" w:hAnsi="宋体" w:cs="宋体"/>
                <w:szCs w:val="21"/>
              </w:rPr>
            </w:pPr>
            <w:r>
              <w:rPr>
                <w:rFonts w:hint="eastAsia" w:ascii="宋体" w:hAnsi="宋体" w:cs="宋体"/>
                <w:szCs w:val="21"/>
              </w:rPr>
              <w:t>经检查不符合要求，按300元/次扣罚</w:t>
            </w:r>
          </w:p>
        </w:tc>
      </w:tr>
      <w:tr w14:paraId="1913B8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0" w:hRule="atLeast"/>
          <w:jc w:val="center"/>
        </w:trPr>
        <w:tc>
          <w:tcPr>
            <w:tcW w:w="1526" w:type="dxa"/>
            <w:vMerge w:val="continue"/>
            <w:noWrap w:val="0"/>
            <w:vAlign w:val="center"/>
          </w:tcPr>
          <w:p w14:paraId="1FA356C0">
            <w:pPr>
              <w:widowControl/>
              <w:spacing w:line="360" w:lineRule="auto"/>
              <w:jc w:val="center"/>
              <w:rPr>
                <w:rFonts w:ascii="宋体" w:hAnsi="宋体" w:cs="宋体"/>
                <w:b/>
                <w:bCs/>
                <w:kern w:val="0"/>
                <w:szCs w:val="21"/>
              </w:rPr>
            </w:pPr>
          </w:p>
        </w:tc>
        <w:tc>
          <w:tcPr>
            <w:tcW w:w="3907" w:type="dxa"/>
            <w:noWrap w:val="0"/>
            <w:vAlign w:val="center"/>
          </w:tcPr>
          <w:p w14:paraId="0CFBF8DB">
            <w:pPr>
              <w:spacing w:line="360" w:lineRule="auto"/>
              <w:jc w:val="left"/>
              <w:rPr>
                <w:rFonts w:ascii="宋体" w:hAnsi="宋体" w:cs="宋体"/>
                <w:szCs w:val="21"/>
              </w:rPr>
            </w:pPr>
            <w:r>
              <w:rPr>
                <w:rFonts w:hint="eastAsia" w:ascii="宋体" w:hAnsi="宋体" w:cs="宋体"/>
                <w:szCs w:val="21"/>
              </w:rPr>
              <w:t>营收资金是否到达招标人指定账户</w:t>
            </w:r>
          </w:p>
        </w:tc>
        <w:tc>
          <w:tcPr>
            <w:tcW w:w="2921" w:type="dxa"/>
            <w:noWrap w:val="0"/>
            <w:vAlign w:val="center"/>
          </w:tcPr>
          <w:p w14:paraId="2F688C70">
            <w:pPr>
              <w:spacing w:line="360" w:lineRule="auto"/>
              <w:jc w:val="left"/>
              <w:rPr>
                <w:rFonts w:ascii="宋体" w:hAnsi="宋体" w:cs="宋体"/>
                <w:szCs w:val="21"/>
              </w:rPr>
            </w:pPr>
            <w:r>
              <w:rPr>
                <w:rFonts w:hint="eastAsia" w:ascii="宋体" w:hAnsi="宋体" w:cs="宋体"/>
                <w:szCs w:val="21"/>
              </w:rPr>
              <w:t>经检查不符合要求，按3000元/次扣罚</w:t>
            </w:r>
          </w:p>
        </w:tc>
      </w:tr>
      <w:tr w14:paraId="21C633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0" w:hRule="atLeast"/>
          <w:jc w:val="center"/>
        </w:trPr>
        <w:tc>
          <w:tcPr>
            <w:tcW w:w="1526" w:type="dxa"/>
            <w:noWrap w:val="0"/>
            <w:vAlign w:val="center"/>
          </w:tcPr>
          <w:p w14:paraId="70322D49">
            <w:pPr>
              <w:widowControl/>
              <w:spacing w:line="360" w:lineRule="auto"/>
              <w:jc w:val="center"/>
              <w:rPr>
                <w:rFonts w:ascii="宋体" w:hAnsi="宋体" w:cs="宋体"/>
                <w:b/>
                <w:bCs/>
                <w:kern w:val="0"/>
                <w:szCs w:val="21"/>
              </w:rPr>
            </w:pPr>
            <w:r>
              <w:rPr>
                <w:rFonts w:hint="eastAsia" w:ascii="宋体" w:hAnsi="宋体" w:cs="宋体"/>
                <w:b/>
                <w:bCs/>
                <w:kern w:val="0"/>
                <w:szCs w:val="21"/>
              </w:rPr>
              <w:t>投诉处理</w:t>
            </w:r>
          </w:p>
        </w:tc>
        <w:tc>
          <w:tcPr>
            <w:tcW w:w="3907" w:type="dxa"/>
            <w:noWrap w:val="0"/>
            <w:vAlign w:val="center"/>
          </w:tcPr>
          <w:p w14:paraId="184B4F87">
            <w:pPr>
              <w:spacing w:line="360" w:lineRule="auto"/>
              <w:jc w:val="left"/>
              <w:rPr>
                <w:rFonts w:ascii="宋体" w:hAnsi="宋体" w:cs="宋体"/>
                <w:szCs w:val="21"/>
              </w:rPr>
            </w:pPr>
            <w:r>
              <w:rPr>
                <w:rFonts w:hint="eastAsia" w:ascii="宋体" w:hAnsi="宋体" w:cs="宋体"/>
                <w:szCs w:val="21"/>
              </w:rPr>
              <w:t>及时有效处理、反馈学生投诉</w:t>
            </w:r>
          </w:p>
        </w:tc>
        <w:tc>
          <w:tcPr>
            <w:tcW w:w="2921" w:type="dxa"/>
            <w:noWrap w:val="0"/>
            <w:vAlign w:val="center"/>
          </w:tcPr>
          <w:p w14:paraId="53A90269">
            <w:pPr>
              <w:spacing w:line="360" w:lineRule="auto"/>
              <w:jc w:val="left"/>
              <w:rPr>
                <w:rFonts w:ascii="宋体" w:hAnsi="宋体" w:cs="宋体"/>
                <w:szCs w:val="21"/>
              </w:rPr>
            </w:pPr>
            <w:r>
              <w:rPr>
                <w:rFonts w:hint="eastAsia" w:ascii="宋体" w:hAnsi="宋体" w:cs="宋体"/>
                <w:szCs w:val="21"/>
              </w:rPr>
              <w:t>每个合同年内投诉反馈不及时或情节恶劣者，第一次按100元/次扣罚，第二次按200元/次扣罚，第三次按300元/次扣罚，以此类推，最高可达6400元/次扣罚。</w:t>
            </w:r>
          </w:p>
        </w:tc>
      </w:tr>
    </w:tbl>
    <w:p w14:paraId="0141A489">
      <w:bookmarkStart w:id="1" w:name="_GoBack"/>
      <w:bookmarkEnd w:id="1"/>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_GBK">
    <w:altName w:val="微软雅黑"/>
    <w:panose1 w:val="02000000000000000000"/>
    <w:charset w:val="86"/>
    <w:family w:val="script"/>
    <w:pitch w:val="default"/>
    <w:sig w:usb0="00000000" w:usb1="00000000" w:usb2="00082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7"/>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A7C5319"/>
    <w:rsid w:val="7A7C53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Lines="0" w:beforeAutospacing="0" w:afterLines="0" w:afterAutospacing="0" w:line="240" w:lineRule="auto"/>
      <w:jc w:val="center"/>
      <w:outlineLvl w:val="0"/>
    </w:pPr>
    <w:rPr>
      <w:rFonts w:ascii="Times New Roman" w:hAnsi="Times New Roman" w:eastAsia="方正小标宋_GBK"/>
      <w:kern w:val="44"/>
      <w:sz w:val="44"/>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customStyle="1" w:styleId="6">
    <w:name w:val="D&amp;L"/>
    <w:basedOn w:val="3"/>
    <w:qFormat/>
    <w:uiPriority w:val="0"/>
    <w:pPr>
      <w:pBdr>
        <w:bottom w:val="thinThickSmallGap" w:color="auto" w:sz="18" w:space="1"/>
      </w:pBdr>
      <w:adjustRightInd w:val="0"/>
      <w:snapToGrid/>
      <w:spacing w:line="240" w:lineRule="atLeast"/>
      <w:textAlignment w:val="baseline"/>
    </w:pPr>
    <w:rPr>
      <w:kern w:val="0"/>
      <w:sz w:val="24"/>
      <w:szCs w:val="20"/>
    </w:rPr>
  </w:style>
  <w:style w:type="paragraph" w:customStyle="1" w:styleId="7">
    <w:name w:val="xl31"/>
    <w:basedOn w:val="1"/>
    <w:qFormat/>
    <w:uiPriority w:val="0"/>
    <w:pPr>
      <w:widowControl/>
      <w:spacing w:before="100" w:beforeAutospacing="1" w:after="100" w:afterAutospacing="1"/>
      <w:jc w:val="center"/>
    </w:pPr>
    <w:rPr>
      <w:b/>
      <w:bCs/>
      <w:kern w:val="0"/>
      <w:sz w:val="28"/>
      <w:szCs w:val="28"/>
    </w:rPr>
  </w:style>
  <w:style w:type="paragraph" w:customStyle="1" w:styleId="8">
    <w:name w:val="BodyText1I"/>
    <w:basedOn w:val="9"/>
    <w:qFormat/>
    <w:uiPriority w:val="99"/>
    <w:pPr>
      <w:tabs>
        <w:tab w:val="left" w:pos="0"/>
        <w:tab w:val="left" w:pos="993"/>
        <w:tab w:val="left" w:pos="1134"/>
      </w:tabs>
      <w:ind w:firstLine="420" w:firstLineChars="100"/>
    </w:pPr>
    <w:rPr>
      <w:rFonts w:ascii="宋体" w:hAnsi="宋体"/>
      <w:szCs w:val="24"/>
    </w:rPr>
  </w:style>
  <w:style w:type="paragraph" w:customStyle="1" w:styleId="9">
    <w:name w:val="BodyText"/>
    <w:basedOn w:val="1"/>
    <w:next w:val="10"/>
    <w:qFormat/>
    <w:uiPriority w:val="99"/>
    <w:pPr>
      <w:spacing w:after="120"/>
    </w:pPr>
  </w:style>
  <w:style w:type="paragraph" w:customStyle="1" w:styleId="10">
    <w:name w:val="TOC2"/>
    <w:basedOn w:val="1"/>
    <w:next w:val="1"/>
    <w:qFormat/>
    <w:uiPriority w:val="99"/>
    <w:pPr>
      <w:ind w:left="420" w:left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0</Words>
  <Characters>0</Characters>
  <Lines>0</Lines>
  <Paragraphs>0</Paragraphs>
  <TotalTime>0</TotalTime>
  <ScaleCrop>false</ScaleCrop>
  <LinksUpToDate>false</LinksUpToDate>
  <CharactersWithSpaces>0</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2025-07-02T02:18:00Z</dcterms:created>
  <dc:creator>森</dc:creator>
  <cp:lastModifiedBy>森</cp:lastModifiedBy>
  <dcterms:modified xsi:type="dcterms:W3CDTF">2025-07-02T02:19:07Z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E1861F9DFE96435B9663E19B28FA06AB_11</vt:lpwstr>
  </property>
  <property fmtid="{D5CDD505-2E9C-101B-9397-08002B2CF9AE}" pid="4" name="KSOTemplateDocerSaveRecord">
    <vt:lpwstr>eyJoZGlkIjoiOTc3M2Y5NzIzMDFlZjAyY2Q4Njk5ODkyYjFjNzBiNTQiLCJ1c2VySWQiOiI0MzAwMTYzNzkifQ==</vt:lpwstr>
  </property>
</Properties>
</file>