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1D1266">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762913AF">
      <w:pPr>
        <w:wordWrap w:val="0"/>
        <w:spacing w:line="440" w:lineRule="exact"/>
        <w:jc w:val="left"/>
        <w:rPr>
          <w:rFonts w:ascii="宋体" w:hAnsi="宋体" w:eastAsia="宋体"/>
          <w:b/>
          <w:sz w:val="24"/>
        </w:rPr>
      </w:pPr>
      <w:r>
        <w:rPr>
          <w:rFonts w:hint="eastAsia" w:ascii="宋体" w:hAnsi="宋体" w:eastAsia="宋体"/>
          <w:b/>
          <w:sz w:val="24"/>
        </w:rPr>
        <w:t>前注：</w:t>
      </w:r>
    </w:p>
    <w:p w14:paraId="2CB4D77D">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7A6A4EB8">
      <w:pPr>
        <w:wordWrap w:val="0"/>
        <w:spacing w:line="440" w:lineRule="exact"/>
        <w:ind w:firstLine="437"/>
        <w:jc w:val="left"/>
        <w:rPr>
          <w:rFonts w:hint="eastAsia" w:ascii="宋体" w:hAnsi="宋体" w:eastAsia="宋体"/>
          <w:b/>
          <w:bCs/>
          <w:sz w:val="24"/>
        </w:rPr>
      </w:pPr>
      <w:r>
        <w:rPr>
          <w:rFonts w:hint="eastAsia" w:ascii="宋体" w:hAnsi="宋体" w:eastAsia="宋体"/>
          <w:b/>
          <w:bCs/>
          <w:sz w:val="24"/>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04D8A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noWrap w:val="0"/>
            <w:vAlign w:val="center"/>
          </w:tcPr>
          <w:p w14:paraId="457976AB">
            <w:pPr>
              <w:pStyle w:val="6"/>
            </w:pPr>
            <w:r>
              <w:rPr>
                <w:rFonts w:hint="eastAsia"/>
              </w:rPr>
              <w:t>序号</w:t>
            </w:r>
          </w:p>
        </w:tc>
        <w:tc>
          <w:tcPr>
            <w:tcW w:w="2025" w:type="dxa"/>
            <w:noWrap w:val="0"/>
            <w:vAlign w:val="center"/>
          </w:tcPr>
          <w:p w14:paraId="2BABF406">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noWrap w:val="0"/>
            <w:vAlign w:val="center"/>
          </w:tcPr>
          <w:p w14:paraId="1CBBE790">
            <w:pPr>
              <w:pStyle w:val="7"/>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09338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1DE9284">
            <w:pPr>
              <w:pStyle w:val="6"/>
            </w:pPr>
            <w:r>
              <w:rPr>
                <w:rFonts w:hint="eastAsia"/>
              </w:rPr>
              <w:t>1</w:t>
            </w:r>
          </w:p>
        </w:tc>
        <w:tc>
          <w:tcPr>
            <w:tcW w:w="2025" w:type="dxa"/>
            <w:noWrap w:val="0"/>
            <w:vAlign w:val="center"/>
          </w:tcPr>
          <w:p w14:paraId="79F500B4">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noWrap w:val="0"/>
            <w:vAlign w:val="center"/>
          </w:tcPr>
          <w:p w14:paraId="4C694EA1">
            <w:pPr>
              <w:pStyle w:val="2"/>
              <w:spacing w:line="360" w:lineRule="auto"/>
              <w:jc w:val="both"/>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费用结算以完成项目加工包内容为准，项目实施完成，验收合格后，据实结算。</w:t>
            </w:r>
            <w:r>
              <w:rPr>
                <w:rFonts w:hint="eastAsia" w:ascii="宋体" w:hAnsi="宋体" w:eastAsia="宋体" w:cs="宋体"/>
                <w:b w:val="0"/>
                <w:bCs w:val="0"/>
                <w:kern w:val="2"/>
                <w:sz w:val="24"/>
                <w:szCs w:val="24"/>
                <w:lang w:val="en-US" w:eastAsia="zh-CN" w:bidi="ar-SA"/>
              </w:rPr>
              <w:br w:type="page"/>
            </w:r>
          </w:p>
        </w:tc>
      </w:tr>
      <w:tr w14:paraId="2B552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1C2A57D">
            <w:pPr>
              <w:pStyle w:val="6"/>
            </w:pPr>
            <w:r>
              <w:rPr>
                <w:rFonts w:hint="eastAsia"/>
              </w:rPr>
              <w:t>2</w:t>
            </w:r>
          </w:p>
        </w:tc>
        <w:tc>
          <w:tcPr>
            <w:tcW w:w="2025" w:type="dxa"/>
            <w:noWrap w:val="0"/>
            <w:vAlign w:val="center"/>
          </w:tcPr>
          <w:p w14:paraId="69C1D083">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noWrap w:val="0"/>
            <w:vAlign w:val="center"/>
          </w:tcPr>
          <w:p w14:paraId="69CDF051">
            <w:pPr>
              <w:pStyle w:val="7"/>
              <w:widowControl w:val="0"/>
              <w:spacing w:before="0" w:beforeAutospacing="0" w:after="0" w:afterAutospacing="0" w:line="360" w:lineRule="auto"/>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安徽理工大学或采购人指定地点。</w:t>
            </w:r>
          </w:p>
        </w:tc>
      </w:tr>
      <w:tr w14:paraId="6EB5F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E4F6825">
            <w:pPr>
              <w:pStyle w:val="6"/>
            </w:pPr>
            <w:r>
              <w:rPr>
                <w:rFonts w:hint="eastAsia"/>
              </w:rPr>
              <w:t>3</w:t>
            </w:r>
          </w:p>
        </w:tc>
        <w:tc>
          <w:tcPr>
            <w:tcW w:w="2025" w:type="dxa"/>
            <w:noWrap w:val="0"/>
            <w:vAlign w:val="center"/>
          </w:tcPr>
          <w:p w14:paraId="5510AC45">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noWrap w:val="0"/>
            <w:vAlign w:val="center"/>
          </w:tcPr>
          <w:p w14:paraId="63A3E83B">
            <w:pPr>
              <w:pStyle w:val="2"/>
              <w:spacing w:line="360" w:lineRule="auto"/>
              <w:jc w:val="both"/>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合同签订后5个月内完成服务内容</w:t>
            </w:r>
          </w:p>
        </w:tc>
      </w:tr>
    </w:tbl>
    <w:p w14:paraId="5EE476F8">
      <w:pPr>
        <w:spacing w:line="500" w:lineRule="exact"/>
        <w:rPr>
          <w:rFonts w:hint="eastAsia" w:ascii="宋体" w:hAnsi="宋体" w:eastAsia="宋体" w:cs="宋体"/>
          <w:b/>
          <w:bCs/>
          <w:sz w:val="24"/>
          <w:szCs w:val="24"/>
        </w:rPr>
      </w:pPr>
      <w:bookmarkStart w:id="0" w:name="_Hlk16461016"/>
      <w:r>
        <w:rPr>
          <w:rFonts w:hint="eastAsia" w:ascii="宋体" w:hAnsi="宋体" w:eastAsia="宋体"/>
          <w:b/>
          <w:bCs/>
          <w:sz w:val="24"/>
        </w:rPr>
        <w:t>二、</w:t>
      </w:r>
      <w:bookmarkEnd w:id="0"/>
      <w:r>
        <w:rPr>
          <w:rFonts w:hint="eastAsia" w:ascii="宋体" w:hAnsi="宋体" w:eastAsia="宋体" w:cs="宋体"/>
          <w:b/>
          <w:bCs/>
          <w:sz w:val="24"/>
          <w:szCs w:val="24"/>
        </w:rPr>
        <w:t>项目概况</w:t>
      </w:r>
    </w:p>
    <w:p w14:paraId="1A134A9D">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sz w:val="24"/>
          <w:szCs w:val="24"/>
        </w:rPr>
        <w:t>1．</w:t>
      </w:r>
      <w:r>
        <w:rPr>
          <w:rFonts w:hint="eastAsia" w:ascii="宋体" w:hAnsi="宋体" w:eastAsia="宋体" w:cs="宋体"/>
          <w:color w:val="000000"/>
          <w:sz w:val="24"/>
          <w:szCs w:val="24"/>
        </w:rPr>
        <w:t>研究生学位档案；声像照片档案、2024年至今形成的增量学籍档案等共计50万页（详见表1），扫描后将数据挂接到我校档案综合管理软件对应条目中。</w:t>
      </w:r>
    </w:p>
    <w:p w14:paraId="0739BFC9">
      <w:pPr>
        <w:spacing w:line="500" w:lineRule="exact"/>
        <w:ind w:left="449" w:leftChars="214"/>
        <w:rPr>
          <w:rFonts w:hint="eastAsia" w:ascii="宋体" w:hAnsi="宋体" w:eastAsia="宋体" w:cs="宋体"/>
          <w:b/>
          <w:color w:val="000000"/>
          <w:sz w:val="24"/>
          <w:szCs w:val="24"/>
        </w:rPr>
      </w:pPr>
      <w:r>
        <w:rPr>
          <w:rFonts w:hint="eastAsia" w:ascii="宋体" w:hAnsi="宋体" w:eastAsia="宋体" w:cs="宋体"/>
          <w:b/>
          <w:color w:val="000000"/>
          <w:sz w:val="24"/>
          <w:szCs w:val="24"/>
        </w:rPr>
        <w:t>表1安徽理工大学安徽理工大学馆藏档案数字化（三期）化详细采购表</w:t>
      </w:r>
    </w:p>
    <w:tbl>
      <w:tblPr>
        <w:tblStyle w:val="4"/>
        <w:tblW w:w="838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809"/>
        <w:gridCol w:w="3829"/>
        <w:gridCol w:w="3748"/>
      </w:tblGrid>
      <w:tr w14:paraId="0FFE62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7" w:hRule="atLeast"/>
        </w:trPr>
        <w:tc>
          <w:tcPr>
            <w:tcW w:w="805" w:type="dxa"/>
            <w:noWrap w:val="0"/>
            <w:vAlign w:val="center"/>
          </w:tcPr>
          <w:p w14:paraId="445F148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序号</w:t>
            </w:r>
          </w:p>
        </w:tc>
        <w:tc>
          <w:tcPr>
            <w:tcW w:w="3831" w:type="dxa"/>
            <w:noWrap w:val="0"/>
            <w:vAlign w:val="center"/>
          </w:tcPr>
          <w:p w14:paraId="0F263F3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项目内容</w:t>
            </w:r>
          </w:p>
        </w:tc>
        <w:tc>
          <w:tcPr>
            <w:tcW w:w="3750" w:type="dxa"/>
            <w:noWrap w:val="0"/>
            <w:vAlign w:val="center"/>
          </w:tcPr>
          <w:p w14:paraId="7225DEA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数量</w:t>
            </w:r>
          </w:p>
        </w:tc>
      </w:tr>
      <w:tr w14:paraId="7845AA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42" w:hRule="atLeast"/>
        </w:trPr>
        <w:tc>
          <w:tcPr>
            <w:tcW w:w="805" w:type="dxa"/>
            <w:shd w:val="clear" w:color="auto" w:fill="FFFFFF"/>
            <w:noWrap w:val="0"/>
            <w:vAlign w:val="center"/>
          </w:tcPr>
          <w:p w14:paraId="40DDA2D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3831" w:type="dxa"/>
            <w:shd w:val="clear" w:color="auto" w:fill="FFFFFF"/>
            <w:noWrap w:val="0"/>
            <w:vAlign w:val="center"/>
          </w:tcPr>
          <w:p w14:paraId="4E759F7D">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A4</w:t>
            </w:r>
          </w:p>
        </w:tc>
        <w:tc>
          <w:tcPr>
            <w:tcW w:w="3750" w:type="dxa"/>
            <w:shd w:val="clear" w:color="auto" w:fill="FFFFFF"/>
            <w:noWrap w:val="0"/>
            <w:vAlign w:val="center"/>
          </w:tcPr>
          <w:p w14:paraId="06560968">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45万页</w:t>
            </w:r>
          </w:p>
        </w:tc>
      </w:tr>
      <w:tr w14:paraId="196A1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56" w:hRule="atLeast"/>
        </w:trPr>
        <w:tc>
          <w:tcPr>
            <w:tcW w:w="805" w:type="dxa"/>
            <w:tcBorders>
              <w:right w:val="single" w:color="auto" w:sz="4" w:space="0"/>
            </w:tcBorders>
            <w:shd w:val="clear" w:color="auto" w:fill="FFFFFF"/>
            <w:noWrap w:val="0"/>
            <w:vAlign w:val="center"/>
          </w:tcPr>
          <w:p w14:paraId="4D18D12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3831" w:type="dxa"/>
            <w:tcBorders>
              <w:left w:val="single" w:color="auto" w:sz="4" w:space="0"/>
              <w:right w:val="single" w:color="auto" w:sz="4" w:space="0"/>
            </w:tcBorders>
            <w:shd w:val="clear" w:color="auto" w:fill="FFFFFF"/>
            <w:noWrap w:val="0"/>
            <w:vAlign w:val="center"/>
          </w:tcPr>
          <w:p w14:paraId="7857007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条目著录</w:t>
            </w:r>
          </w:p>
        </w:tc>
        <w:tc>
          <w:tcPr>
            <w:tcW w:w="3750" w:type="dxa"/>
            <w:tcBorders>
              <w:left w:val="single" w:color="auto" w:sz="4" w:space="0"/>
            </w:tcBorders>
            <w:shd w:val="clear" w:color="auto" w:fill="FFFFFF"/>
            <w:noWrap w:val="0"/>
            <w:vAlign w:val="center"/>
          </w:tcPr>
          <w:p w14:paraId="21E45A7C">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5万条</w:t>
            </w:r>
          </w:p>
        </w:tc>
      </w:tr>
      <w:tr w14:paraId="79118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7" w:hRule="atLeast"/>
        </w:trPr>
        <w:tc>
          <w:tcPr>
            <w:tcW w:w="810" w:type="dxa"/>
            <w:tcBorders>
              <w:right w:val="single" w:color="auto" w:sz="4" w:space="0"/>
            </w:tcBorders>
            <w:shd w:val="clear" w:color="auto" w:fill="FFFFFF"/>
            <w:noWrap w:val="0"/>
            <w:vAlign w:val="center"/>
          </w:tcPr>
          <w:p w14:paraId="5F200648">
            <w:pPr>
              <w:widowControl/>
              <w:jc w:val="center"/>
              <w:textAlignment w:val="center"/>
              <w:rPr>
                <w:rFonts w:hint="eastAsia" w:ascii="宋体" w:hAnsi="宋体" w:eastAsia="宋体" w:cs="宋体"/>
                <w:kern w:val="0"/>
                <w:sz w:val="24"/>
                <w:szCs w:val="24"/>
                <w:lang w:bidi="ar"/>
              </w:rPr>
            </w:pPr>
            <w:r>
              <w:rPr>
                <w:rFonts w:hint="eastAsia" w:ascii="宋体" w:hAnsi="宋体" w:eastAsia="宋体" w:cs="宋体"/>
                <w:kern w:val="0"/>
                <w:sz w:val="24"/>
                <w:szCs w:val="24"/>
                <w:lang w:bidi="ar"/>
              </w:rPr>
              <w:t>3</w:t>
            </w:r>
          </w:p>
        </w:tc>
        <w:tc>
          <w:tcPr>
            <w:tcW w:w="3831" w:type="dxa"/>
            <w:tcBorders>
              <w:left w:val="single" w:color="auto" w:sz="4" w:space="0"/>
              <w:right w:val="single" w:color="auto" w:sz="4" w:space="0"/>
            </w:tcBorders>
            <w:shd w:val="clear" w:color="auto" w:fill="FFFFFF"/>
            <w:noWrap w:val="0"/>
            <w:vAlign w:val="center"/>
          </w:tcPr>
          <w:p w14:paraId="5DF4E098">
            <w:pPr>
              <w:widowControl/>
              <w:jc w:val="center"/>
              <w:textAlignment w:val="center"/>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声像档案</w:t>
            </w:r>
          </w:p>
        </w:tc>
        <w:tc>
          <w:tcPr>
            <w:tcW w:w="3745" w:type="dxa"/>
            <w:tcBorders>
              <w:left w:val="single" w:color="auto" w:sz="4" w:space="0"/>
            </w:tcBorders>
            <w:shd w:val="clear" w:color="auto" w:fill="FFFFFF"/>
            <w:noWrap w:val="0"/>
            <w:vAlign w:val="center"/>
          </w:tcPr>
          <w:p w14:paraId="4F94048C">
            <w:pPr>
              <w:widowControl/>
              <w:jc w:val="center"/>
              <w:textAlignment w:val="center"/>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声像250盘；照片220张</w:t>
            </w:r>
          </w:p>
        </w:tc>
      </w:tr>
      <w:tr w14:paraId="01FF51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77" w:hRule="atLeast"/>
        </w:trPr>
        <w:tc>
          <w:tcPr>
            <w:tcW w:w="8386" w:type="dxa"/>
            <w:gridSpan w:val="3"/>
            <w:shd w:val="clear" w:color="auto" w:fill="FFFFFF"/>
            <w:noWrap w:val="0"/>
            <w:vAlign w:val="center"/>
          </w:tcPr>
          <w:p w14:paraId="5796B058">
            <w:pPr>
              <w:widowControl/>
              <w:jc w:val="right"/>
              <w:textAlignment w:val="center"/>
              <w:rPr>
                <w:rFonts w:hint="eastAsia" w:ascii="宋体" w:hAnsi="宋体" w:eastAsia="宋体" w:cs="宋体"/>
                <w:kern w:val="0"/>
                <w:sz w:val="24"/>
                <w:szCs w:val="24"/>
                <w:lang w:bidi="ar"/>
              </w:rPr>
            </w:pPr>
            <w:r>
              <w:rPr>
                <w:rFonts w:hint="eastAsia" w:ascii="宋体" w:hAnsi="宋体" w:eastAsia="宋体" w:cs="宋体"/>
                <w:kern w:val="0"/>
                <w:sz w:val="24"/>
                <w:szCs w:val="24"/>
                <w:lang w:bidi="ar"/>
              </w:rPr>
              <w:t>预计总金额：18万元</w:t>
            </w:r>
          </w:p>
        </w:tc>
      </w:tr>
    </w:tbl>
    <w:p w14:paraId="5B193186">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sz w:val="24"/>
          <w:szCs w:val="24"/>
        </w:rPr>
        <w:t>2.档案扫描加工数量计算方法：扫描幅面小于等于A4的，单面按1页计算，双面按2页计算；幅面大于A4且小于等于A3的，单面按2页计算，双面按4页计算，其他大幅面纸张按此方法折算成A4幅面数量计算；</w:t>
      </w:r>
      <w:r>
        <w:rPr>
          <w:rFonts w:hint="eastAsia" w:ascii="宋体" w:hAnsi="宋体" w:eastAsia="宋体" w:cs="宋体"/>
          <w:color w:val="000000"/>
          <w:sz w:val="24"/>
          <w:szCs w:val="24"/>
        </w:rPr>
        <w:t>新录入的档案目录中，人名著录条数以每5个人名折算成一条目录计算。</w:t>
      </w:r>
    </w:p>
    <w:p w14:paraId="0415B579">
      <w:pPr>
        <w:spacing w:line="500" w:lineRule="exact"/>
        <w:rPr>
          <w:rFonts w:hint="eastAsia" w:ascii="宋体" w:hAnsi="宋体" w:eastAsia="宋体" w:cs="宋体"/>
          <w:b/>
          <w:bCs/>
          <w:sz w:val="24"/>
          <w:szCs w:val="24"/>
        </w:rPr>
      </w:pPr>
      <w:r>
        <w:rPr>
          <w:rFonts w:hint="eastAsia" w:ascii="宋体" w:hAnsi="宋体" w:eastAsia="宋体" w:cs="宋体"/>
          <w:b/>
          <w:bCs/>
          <w:sz w:val="24"/>
          <w:szCs w:val="24"/>
        </w:rPr>
        <w:t>三、技术需求和技术规模</w:t>
      </w:r>
    </w:p>
    <w:p w14:paraId="4A1A35E8">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1.项目概述</w:t>
      </w:r>
    </w:p>
    <w:p w14:paraId="55A3BD9B">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1.1.为适应新形势下档案工作的要求，进一步规范安徽理工大学档案工作，有效开发利用档案信息资源，根据《中华人民共和国档案法》、《安徽省档案条例》，全面提高安徽理工大学档案工作信息化水平，开展档案信息化建设，实现档案数字化，提高档案综合利用效率和科学化管理水平。</w:t>
      </w:r>
    </w:p>
    <w:p w14:paraId="2244278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1.2.本项目不得以任何形式进行转包及分包。</w:t>
      </w:r>
    </w:p>
    <w:p w14:paraId="62620CA6">
      <w:pPr>
        <w:spacing w:line="5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2、技术规格要求</w:t>
      </w:r>
    </w:p>
    <w:p w14:paraId="2ED42F63">
      <w:pPr>
        <w:spacing w:line="500" w:lineRule="exact"/>
        <w:ind w:firstLine="480" w:firstLineChars="200"/>
        <w:rPr>
          <w:rFonts w:hint="eastAsia" w:ascii="宋体" w:hAnsi="宋体" w:eastAsia="宋体" w:cs="宋体"/>
          <w:color w:val="FF0000"/>
          <w:sz w:val="24"/>
          <w:szCs w:val="24"/>
        </w:rPr>
      </w:pPr>
      <w:r>
        <w:rPr>
          <w:rFonts w:hint="eastAsia" w:ascii="宋体" w:hAnsi="宋体" w:eastAsia="宋体" w:cs="宋体"/>
          <w:sz w:val="24"/>
          <w:szCs w:val="24"/>
        </w:rPr>
        <w:t>为适应新形势下安徽省档案工作发展要求，进一步提高安徽理工大学档案工作整体建设水平，根据《安徽省机关档案工作目标管理考核办法》建设安徽理工大学档案信息化。</w:t>
      </w:r>
    </w:p>
    <w:p w14:paraId="072C8C75">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(1)设计原则和要求</w:t>
      </w:r>
    </w:p>
    <w:p w14:paraId="6A1334B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按照“统一规划、分步实施、数据准确、资源共享、确保安全”的原则，立足业务管理和资源服务的宗旨，即按省局档案的管理规则，运用计算机技术方便、高效、可靠地采集和管理档案信息资源；简便、高效、稳定查阅利用档案资源；提供快速、准确、强大的档案行政监督、业务指导工作管理工具。</w:t>
      </w:r>
    </w:p>
    <w:p w14:paraId="7AA9DE52">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(2)技术标准及规范</w:t>
      </w:r>
    </w:p>
    <w:p w14:paraId="16AE9322">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2.1.安全性标准规范</w:t>
      </w:r>
    </w:p>
    <w:p w14:paraId="49B8273B">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本项目建设遵循档案法规、档案工作标准、信息安全标准、信息化建设标准以及各种地方标准，参照标准如下：</w:t>
      </w:r>
    </w:p>
    <w:p w14:paraId="36FC97C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《中华人民共和国档案法》2020修订版；</w:t>
      </w:r>
    </w:p>
    <w:p w14:paraId="5129E5C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《中华人民共和国档案法实施办法》；</w:t>
      </w:r>
    </w:p>
    <w:p w14:paraId="276B5423">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《中华人民共和国保守国家秘密法》；</w:t>
      </w:r>
    </w:p>
    <w:p w14:paraId="26E1ABF0">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"https://www.saac.gov.cn/daj/hybz/202410/79d6bc3062a944ca815b384336a7f2f8.shtml" \o "DA/T 99-2024 档案数字资源备份实施规范" \t "https://www.saac.gov.cn/daj/hybz/_blank" </w:instrText>
      </w:r>
      <w:r>
        <w:rPr>
          <w:rFonts w:hint="eastAsia" w:ascii="宋体" w:hAnsi="宋体" w:eastAsia="宋体" w:cs="宋体"/>
          <w:sz w:val="24"/>
          <w:szCs w:val="24"/>
        </w:rPr>
        <w:fldChar w:fldCharType="separate"/>
      </w:r>
      <w:r>
        <w:rPr>
          <w:rFonts w:hint="eastAsia" w:ascii="宋体" w:hAnsi="宋体" w:eastAsia="宋体" w:cs="宋体"/>
          <w:sz w:val="24"/>
          <w:szCs w:val="24"/>
        </w:rPr>
        <w:t>档案数字资源备份实施规范</w:t>
      </w:r>
      <w:r>
        <w:rPr>
          <w:rFonts w:hint="eastAsia" w:ascii="宋体" w:hAnsi="宋体" w:eastAsia="宋体" w:cs="宋体"/>
          <w:sz w:val="24"/>
          <w:szCs w:val="24"/>
        </w:rPr>
        <w:fldChar w:fldCharType="end"/>
      </w:r>
      <w:r>
        <w:rPr>
          <w:rFonts w:hint="eastAsia" w:ascii="宋体" w:hAnsi="宋体" w:eastAsia="宋体" w:cs="宋体"/>
          <w:sz w:val="24"/>
          <w:szCs w:val="24"/>
        </w:rPr>
        <w:t>》（DA/T 99-2024 ）；</w:t>
      </w:r>
    </w:p>
    <w:p w14:paraId="19905983">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《国家行政机关公文处理办法》国发〔2000〕23号；</w:t>
      </w:r>
    </w:p>
    <w:p w14:paraId="3EBD738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《机关文件材料归档范围和文书档案保管期限规定》；</w:t>
      </w:r>
    </w:p>
    <w:p w14:paraId="4C1743F5">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《各级各类档案馆收集档案范围的规定》（国家档案馆9号令）；</w:t>
      </w:r>
    </w:p>
    <w:p w14:paraId="01A22812">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《电子文件存储与交换格式文书类版式文档》；</w:t>
      </w:r>
    </w:p>
    <w:p w14:paraId="48B718D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《电子文件元数据基本集》；</w:t>
      </w:r>
    </w:p>
    <w:p w14:paraId="257E65F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《档号编制规则》（DA/T13-2022）；</w:t>
      </w:r>
    </w:p>
    <w:p w14:paraId="39B27283">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《档案著录规则》（DA/T18-2022）；</w:t>
      </w:r>
    </w:p>
    <w:p w14:paraId="74643DC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《档案工作基本术语》（DA/T1-2000）；</w:t>
      </w:r>
    </w:p>
    <w:p w14:paraId="615961D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"https://www.saac.gov.cn/daj/hybz/201912/5b3adc136d6c4428bca60517658ac8e9.shtml" \o "DA/T 78—2019 录音录像档案管理规范" \t "https://www.saac.gov.cn/daj/hybz/_blank" </w:instrText>
      </w:r>
      <w:r>
        <w:rPr>
          <w:rFonts w:hint="eastAsia" w:ascii="宋体" w:hAnsi="宋体" w:eastAsia="宋体" w:cs="宋体"/>
          <w:sz w:val="24"/>
          <w:szCs w:val="24"/>
        </w:rPr>
        <w:fldChar w:fldCharType="separate"/>
      </w:r>
      <w:r>
        <w:rPr>
          <w:rFonts w:hint="eastAsia" w:ascii="宋体" w:hAnsi="宋体" w:eastAsia="宋体" w:cs="宋体"/>
          <w:sz w:val="24"/>
          <w:szCs w:val="24"/>
        </w:rPr>
        <w:t>录音录像档案管理规范</w:t>
      </w:r>
      <w:r>
        <w:rPr>
          <w:rFonts w:hint="eastAsia" w:ascii="宋体" w:hAnsi="宋体" w:eastAsia="宋体" w:cs="宋体"/>
          <w:sz w:val="24"/>
          <w:szCs w:val="24"/>
        </w:rPr>
        <w:fldChar w:fldCharType="end"/>
      </w:r>
      <w:r>
        <w:rPr>
          <w:rFonts w:hint="eastAsia" w:ascii="宋体" w:hAnsi="宋体" w:eastAsia="宋体" w:cs="宋体"/>
          <w:sz w:val="24"/>
          <w:szCs w:val="24"/>
        </w:rPr>
        <w:t>》（DA/T 78—2019 ）</w:t>
      </w:r>
    </w:p>
    <w:p w14:paraId="5510B6A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"https://www.saac.gov.cn/daj/hybz/201912/f23f3a8beee442afa49b511d892797d2.shtml" \o "DA/T 77-2019 纸质档案数字复制件光学字符识别（OCR）工作规范" \t "https://www.saac.gov.cn/daj/hybz/_blank" </w:instrText>
      </w:r>
      <w:r>
        <w:rPr>
          <w:rFonts w:hint="eastAsia" w:ascii="宋体" w:hAnsi="宋体" w:eastAsia="宋体" w:cs="宋体"/>
          <w:sz w:val="24"/>
          <w:szCs w:val="24"/>
        </w:rPr>
        <w:fldChar w:fldCharType="separate"/>
      </w:r>
      <w:r>
        <w:rPr>
          <w:rFonts w:hint="eastAsia" w:ascii="宋体" w:hAnsi="宋体" w:eastAsia="宋体" w:cs="宋体"/>
          <w:sz w:val="24"/>
          <w:szCs w:val="24"/>
        </w:rPr>
        <w:t>《纸质档案数字复制件光学字符识别（OCR）工作规范》</w:t>
      </w:r>
      <w:r>
        <w:rPr>
          <w:rFonts w:hint="eastAsia" w:ascii="宋体" w:hAnsi="宋体" w:eastAsia="宋体" w:cs="宋体"/>
          <w:sz w:val="24"/>
          <w:szCs w:val="24"/>
        </w:rPr>
        <w:fldChar w:fldCharType="end"/>
      </w:r>
      <w:r>
        <w:rPr>
          <w:rFonts w:hint="eastAsia" w:ascii="宋体" w:hAnsi="宋体" w:eastAsia="宋体" w:cs="宋体"/>
          <w:sz w:val="24"/>
          <w:szCs w:val="24"/>
        </w:rPr>
        <w:t>（DA/T 77-2019）</w:t>
      </w:r>
    </w:p>
    <w:p w14:paraId="65B1CE7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"https://www.saac.gov.cn/daj/hybz/201806/48c3ea1491c349ab86b56bb514b88904/files/57cec20f13bb4486bfe6d0310922b1b4.pdf" \o "DA/T 69-2018 纸质归档文件装订规范" \t "https://www.saac.gov.cn/daj/hybz/_blank" </w:instrText>
      </w:r>
      <w:r>
        <w:rPr>
          <w:rFonts w:hint="eastAsia" w:ascii="宋体" w:hAnsi="宋体" w:eastAsia="宋体" w:cs="宋体"/>
          <w:sz w:val="24"/>
          <w:szCs w:val="24"/>
        </w:rPr>
        <w:fldChar w:fldCharType="separate"/>
      </w:r>
      <w:r>
        <w:rPr>
          <w:rFonts w:hint="eastAsia" w:ascii="宋体" w:hAnsi="宋体" w:eastAsia="宋体" w:cs="宋体"/>
          <w:sz w:val="24"/>
          <w:szCs w:val="24"/>
        </w:rPr>
        <w:t>《纸质归档文件装订规范》</w:t>
      </w:r>
      <w:r>
        <w:rPr>
          <w:rFonts w:hint="eastAsia" w:ascii="宋体" w:hAnsi="宋体" w:eastAsia="宋体" w:cs="宋体"/>
          <w:sz w:val="24"/>
          <w:szCs w:val="24"/>
        </w:rPr>
        <w:fldChar w:fldCharType="end"/>
      </w:r>
      <w:r>
        <w:rPr>
          <w:rFonts w:hint="eastAsia" w:ascii="宋体" w:hAnsi="宋体" w:eastAsia="宋体" w:cs="宋体"/>
          <w:sz w:val="24"/>
          <w:szCs w:val="24"/>
        </w:rPr>
        <w:t>（DA/T 69-2018）</w:t>
      </w:r>
    </w:p>
    <w:p w14:paraId="2BF49255">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《纸质档案数字化规范》（DA-T31-2017）；</w:t>
      </w:r>
    </w:p>
    <w:p w14:paraId="3AAF1EB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"https://www.saac.gov.cn/daj/hybz/201806/9d13ff4963f146ce861527917def163c/files/47f8ce35645147398656f798434f154b.pdf" \o "DA/T 62-2017 录音录像档案数字化规范" \t "https://www.saac.gov.cn/daj/hybz/_blank" </w:instrText>
      </w:r>
      <w:r>
        <w:rPr>
          <w:rFonts w:hint="eastAsia" w:ascii="宋体" w:hAnsi="宋体" w:eastAsia="宋体" w:cs="宋体"/>
          <w:sz w:val="24"/>
          <w:szCs w:val="24"/>
        </w:rPr>
        <w:fldChar w:fldCharType="separate"/>
      </w:r>
      <w:r>
        <w:rPr>
          <w:rFonts w:hint="eastAsia" w:ascii="宋体" w:hAnsi="宋体" w:eastAsia="宋体" w:cs="宋体"/>
          <w:sz w:val="24"/>
          <w:szCs w:val="24"/>
        </w:rPr>
        <w:t>录音录像档案数字化规范</w:t>
      </w:r>
      <w:r>
        <w:rPr>
          <w:rFonts w:hint="eastAsia" w:ascii="宋体" w:hAnsi="宋体" w:eastAsia="宋体" w:cs="宋体"/>
          <w:sz w:val="24"/>
          <w:szCs w:val="24"/>
        </w:rPr>
        <w:fldChar w:fldCharType="end"/>
      </w:r>
      <w:r>
        <w:rPr>
          <w:rFonts w:hint="eastAsia" w:ascii="宋体" w:hAnsi="宋体" w:eastAsia="宋体" w:cs="宋体"/>
          <w:sz w:val="24"/>
          <w:szCs w:val="24"/>
        </w:rPr>
        <w:t>》（DA/T 62-2017 ）</w:t>
      </w:r>
    </w:p>
    <w:p w14:paraId="4863EF00">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《归档文件整理规则》（DA/T 22-2015）；</w:t>
      </w:r>
    </w:p>
    <w:p w14:paraId="0CD520D3">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《全宗卷规范》（DA/T12-2012）；</w:t>
      </w:r>
    </w:p>
    <w:p w14:paraId="0064DA3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《数码照片归档与管理规范》（DA/T50-2014）；</w:t>
      </w:r>
    </w:p>
    <w:p w14:paraId="120436D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《照片类电子档案元数据方案》（DA/T54-2014）；</w:t>
      </w:r>
    </w:p>
    <w:p w14:paraId="04F77A3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国家版式文档格式规范(OFD)标准；</w:t>
      </w:r>
    </w:p>
    <w:p w14:paraId="3E965AB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《档案服务外包工作规范》DA/T68.1-2020；</w:t>
      </w:r>
    </w:p>
    <w:p w14:paraId="0BB24DB2">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《档案服务外包工作规范》DA/T68.2-2020。</w:t>
      </w:r>
    </w:p>
    <w:p w14:paraId="3412CE5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《档案服务外包工作规范》DA/T68.3-2020。</w:t>
      </w:r>
    </w:p>
    <w:p w14:paraId="718A4A4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《档案服务外包工作规范》DA/T68.4-2022。</w:t>
      </w:r>
    </w:p>
    <w:p w14:paraId="3AB6A0F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注：如有最新标准，按最新标准执行。</w:t>
      </w:r>
    </w:p>
    <w:p w14:paraId="671B5AF0">
      <w:pPr>
        <w:spacing w:line="500" w:lineRule="exact"/>
        <w:rPr>
          <w:rFonts w:hint="eastAsia" w:ascii="宋体" w:hAnsi="宋体" w:eastAsia="宋体" w:cs="宋体"/>
          <w:sz w:val="24"/>
          <w:szCs w:val="24"/>
        </w:rPr>
      </w:pPr>
      <w:r>
        <w:rPr>
          <w:rFonts w:hint="eastAsia" w:ascii="宋体" w:hAnsi="宋体" w:eastAsia="宋体" w:cs="宋体"/>
          <w:b/>
          <w:bCs/>
          <w:sz w:val="24"/>
          <w:szCs w:val="24"/>
        </w:rPr>
        <w:t>四、档案数字化加工服务要求</w:t>
      </w:r>
    </w:p>
    <w:p w14:paraId="615306B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工作环节主要包括：目录录入、扫描前处理、档案扫描、图像处理、图像质检、图像存储、数据挂接、档案还原、数据质检、档案入库、数据备份等工作，在整个实施过程中确保档案实体及信息的安全保密。</w:t>
      </w:r>
    </w:p>
    <w:p w14:paraId="615C747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目录录入：要求根据档案实体对电子目录进行逐条录入，录入完成后进行核对，发现有缺少或不完整的电子目录及时进行补录和完善，确保实体档案与目录的一一对应。重点检查档号（包括各组成部分）、题名、保管期限、成文日期、责任者、密级等必录项的内容是否完整、准确、规范。</w:t>
      </w:r>
    </w:p>
    <w:p w14:paraId="514C4231">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成交供应商需根据采购人目录数据库录入的要求进行目录数据录入，要求目录与档案原件目录一致、准确完整。目录录入关键字段（题名、文号、责任者、日期、保管期限、页数等）准确率为100%，部分全宗中文书档案字体为潦草的手写体、草体、繁体，要求在录入的过程中仔细、认真辨认并与档案管理人员进一步核对，正确率达到99%，如有不清楚的地方，可咨询采购人档案管理人员，相互配合完成。对于某些特定档案，如人员名册等，需根据采购人要求，逐页逐人进行目录录入，便于后期档案的查询利用。</w:t>
      </w:r>
    </w:p>
    <w:p w14:paraId="1A00436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扫描前处理：（1）清点核对：逐卷、逐件、逐页核对档案排序、档案数量、档案编号、清点页数，并在目录中添加每件应扫描页数；（对于原页码错编或漏编的档案，需根据档案实体的情况重新编页号，并根据更正后的页号打印新的卷内目录以替换原有的卷内目录。）（2）清除档案积尘：对粉尘进行处理，对霉变档案进行去霉处理；（3）档案修补展平：对开裂档案进行简易修补，对褶皱档案进行展平处理，并在案卷备考表中添加档案原件修复处理信息。</w:t>
      </w:r>
    </w:p>
    <w:p w14:paraId="7E3A798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4.档案扫描：按照《中华人民共和国行业标准（DA/T31—2017）纸质档案数字化规范》，采用专业文件扫描仪、A0大幅面扫描仪、照片扫描仪相互配合进行扫描加工。</w:t>
      </w:r>
    </w:p>
    <w:p w14:paraId="63FE6FD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要求在扫描过程中不对档案原件造成破坏，确保档案扫描图像与原件一致、整洁、清晰；对纸张脆化、较古老、超薄的和不可拆卷的档案需要采用专业不拆卷非接触冷光源扫描仪进行扫描，不得涂改和损坏原始档案。</w:t>
      </w:r>
    </w:p>
    <w:p w14:paraId="60BF631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图像处理：图像处理后保证图像信息与原档案内容完全一致，不删除页面任何有用信息，包括正文内容、页眉、页脚、手写注释和印鉴等。扫描的页面内容基本居中显示，不出现明显偏左或偏右现象。不准出现页面内容残缺或将其它页面信息扫入本页的现象。</w:t>
      </w:r>
    </w:p>
    <w:p w14:paraId="02747510">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每页影像左右端正度控制在1度以内，视觉上基本无偏差。对方向不正确的图像进行旋转还原，以符合阅读习惯。</w:t>
      </w:r>
    </w:p>
    <w:p w14:paraId="01CC864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去污：在保证文件内容完整的前提下，影像页无扫描过程中带来的污斑，无黑边，外观达到清晰、平直、干净。对图像页面中出现的影响图像质量的杂质如黑点、黑线、黑框、黑边等进行去污处理。处理过程中应遵循在不影响可读性和可理解性的前提下展现档案原貌的原则，由于档案本身因陈旧、破损或不洁等造成页面上有污点的，如果在页面视图下无法看清，或该污点嵌在文本行中无法清除，可不予清除。</w:t>
      </w:r>
    </w:p>
    <w:p w14:paraId="7BE727CB">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保证扫描图像字迹清晰、颜色恰当，不宜过浅或过深，不出现字迹笔画残缺或字迹笔画叠合而影响阅读的情况，档案原件存在斑迹变质、颜色过浅、过深或深浅不一致，保证档案原件能辨认的扫描图像也必须可以辨认。</w:t>
      </w:r>
    </w:p>
    <w:p w14:paraId="32D5E575">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纸张太薄或字体颜色过浓，扫描时倒映反面文字，文字上的污点无法去污时，保证正文文字可以看清楚。</w:t>
      </w:r>
    </w:p>
    <w:p w14:paraId="7F9E423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图像质检：逐件、逐页检查扫描文件。（1）检查图像完整性、偏斜度、清晰度、失真度、图像畸变等；（2）检查档案漏扫、多扫等情况；（3）检查图像文件排列顺序与档案原件是否一致；（4）检查图像文件命名是否规范；（5）检查图像数据与实际目录信息是否相符；（6）根据质检情况填写质检记录单，跟踪并监督质检记录单的处理情况。</w:t>
      </w:r>
    </w:p>
    <w:p w14:paraId="67EB582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7.图像存储：图像文件命名格式以采购人需求为准。</w:t>
      </w:r>
    </w:p>
    <w:p w14:paraId="328D661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8.数据挂接：数字化加工过程中形成的图像数据，通过影像质检确认“合格”后，以纸质档案目录数据库为依据，将每一份纸质档案文件扫描所得的一个或多个图像存储为一份图像文件。使用专门程序或软件，通过每一份图像文件的文件名与档案目录数据库中该份文件的档号的一致性和唯一性，建立起一一对应的关联关系，以实现档案目录数据库与图像文件的批量挂接。保证目录数据库与图像文件的一一对应关系，不得错挂、漏挂，确保挂接准确率达到100%。</w:t>
      </w:r>
    </w:p>
    <w:p w14:paraId="669F1E1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9.档案还原：（1）认真核对档案页码总数是否正确，核对文件排列顺序是否正确，发现错误的地方及时纠正，不能处理的上报管理人员；（2）经核对无误的档案，以文件左边沿和下边（底边）沿为准，依次整理整齐，夹上卷封装订成册；（3）对原来已打孔装订的档案，在装订时尽可能利用原孔装订，不能按原孔而需重新打孔的档案，打孔时严格按照规定沿档案文件左边适当处打孔，确保三点一线，既不漏页也不损害文件字符；（4）系线时要按照标准方法操作，线不可太长或太短，系线松紧适度；（5）装订成册的档案必须保证每页都装订成功，不可有漏装掉页情况出现。</w:t>
      </w:r>
    </w:p>
    <w:p w14:paraId="15B2D83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10.数据质检：为保证项目的总体实施质量，要求加工方对数字化各环节进行全面检查，具体质检目标如下：</w:t>
      </w:r>
    </w:p>
    <w:p w14:paraId="53ABA37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档案装订：检查所有档案的装订还原情况，差错率控制在万分之二以内。</w:t>
      </w:r>
    </w:p>
    <w:p w14:paraId="1BB88EA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扫描图像检查：漏扫率控制为零。</w:t>
      </w:r>
    </w:p>
    <w:p w14:paraId="5BDF5711">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图像质量检查：检查所有图像的质量情况，优质率达到98%以上。</w:t>
      </w:r>
    </w:p>
    <w:p w14:paraId="2E4ADDFD">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目录核对：以案卷（文件）为单位，关键字段正确率100%，其余字段录入错误率≤1‰。</w:t>
      </w:r>
    </w:p>
    <w:p w14:paraId="776E0A3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条目与图像挂接检查：挂接正确率达到100%。</w:t>
      </w:r>
    </w:p>
    <w:p w14:paraId="69CB523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档案原始材料：100%不缺失。</w:t>
      </w:r>
    </w:p>
    <w:p w14:paraId="3F344AE1">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11.档案入库：质检完成后要及时归还档案。成交供应商要保持档案原件的排列顺序，不缺少、缺漏档案原件，保证档案原件完好完整，与采购人项目管理人员办理书面归还手续，档案清点合格率达100%。</w:t>
      </w:r>
    </w:p>
    <w:p w14:paraId="00514B4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12.数据备份：数据验收合格后，成交供应商须一式三份提交给采购人，包括无压缩JPG格式和多页双层PDF格式，以光盘和移动硬盘双套存储格式向采购人移交。备份数据也应进行检验，备份数据的检验的内容主要包括备份数据能否打开、数据信息是否完整、文件数量是否准确等，数据备份后应在相应的备份介质上做好标签，以便查找和管理。</w:t>
      </w:r>
    </w:p>
    <w:p w14:paraId="0784EF4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13.数字化加工验收</w:t>
      </w:r>
    </w:p>
    <w:p w14:paraId="1F29F48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档案实体验收。逐卷（件）交接档案实体，核对档案数量。如发生档案损毁或丢失，采购人将根据合同和相关法规向成交供应商要求赔偿并追究法律责任。检查档案还原质量是否合格，要求档案拆卷后需按原位置装订。保证卷内顺序按原页码排列，页面无损毁，涂改、破损、丢失。档案还原如有问题，成交供应商应及时返工进行补救。</w:t>
      </w:r>
    </w:p>
    <w:p w14:paraId="1699185B">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（2）样品数据验收：成交供应商应先期完成100卷且不少于2万页档案数字化加工样品，并将样品数据交由采购人预检，验收合格后，所有档案数字化加工成品均应符合样品标准。</w:t>
      </w:r>
    </w:p>
    <w:p w14:paraId="3218D3FA">
      <w:pPr>
        <w:spacing w:line="50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（3）数据抽检：以抽检的方式检查已完成数字化转换的所有数据，包括目录数据库、图像文件及数据挂接的总体质量。一个全宗的档案，数据验收时抽检的比率不得低于10%。</w:t>
      </w:r>
    </w:p>
    <w:p w14:paraId="7CC3712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成交供应商应拥有档案数字化加工质检管理软件，并提供用户质检报告。每月定期向采购人提供数字化情况进展报告和费用使用及结余情况。</w:t>
      </w:r>
    </w:p>
    <w:p w14:paraId="28646B7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验收指标：目录数据库与图像文件挂接错误，不完全对应，或目录数据库、图像文件之一出现不完整、不清晰、有错误等质量问题时，都视为不合格产品。</w:t>
      </w:r>
    </w:p>
    <w:p w14:paraId="767D7E1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档案装订：检查所有档案的装订还原情况，差错率小于等于万分之一。</w:t>
      </w:r>
    </w:p>
    <w:p w14:paraId="0DA280BD">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扫描图像：漏扫率为零。</w:t>
      </w:r>
    </w:p>
    <w:p w14:paraId="61D2B06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图像质量：图像质量情况优质率99%。</w:t>
      </w:r>
    </w:p>
    <w:p w14:paraId="1B9CA1B5">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目录核对：以案卷（文件）为单位，关键字段正确率100%，其余字段录入错误率≤1‰。</w:t>
      </w:r>
    </w:p>
    <w:p w14:paraId="327B97E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条目与图像挂接：挂接正确率100%。</w:t>
      </w:r>
    </w:p>
    <w:p w14:paraId="5A8BDBDD">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档案原始材料：100%不缺失，不损坏。</w:t>
      </w:r>
    </w:p>
    <w:p w14:paraId="3A1BF86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验收审核:数据验收以全检方式进行。提交验收数据不论涉及验收标准哪一条，不合格的，全部发回成交供应商重新加工；</w:t>
      </w:r>
    </w:p>
    <w:p w14:paraId="00BC492D">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在验收中检出的错误，成交供应商及时、无偿予以纠正并再次提交采购人验收；</w:t>
      </w:r>
    </w:p>
    <w:p w14:paraId="2D1BBBF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全部档案验收合格后，须经分管领导审核、签字后方有效；</w:t>
      </w:r>
    </w:p>
    <w:p w14:paraId="3579496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如全部档案完成后不能通过验收的，视为产品加工方违约；</w:t>
      </w:r>
    </w:p>
    <w:p w14:paraId="7356A78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数据验收合格后，加工方须一式三份提交给采购人，包括无压缩JPG格式和多页双层PDF格式，以光盘和移动硬盘双套存储格式向采购人移交。</w:t>
      </w:r>
    </w:p>
    <w:p w14:paraId="02C6B15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14.其他要求</w:t>
      </w:r>
    </w:p>
    <w:p w14:paraId="5464C0D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（1）对部分特殊装订的档案，成交供应商经采购人许可后可进行拆卷扫描；</w:t>
      </w:r>
    </w:p>
    <w:p w14:paraId="5C558212">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（2）档案中如有内容被装订物遮挡，须进行拆卷扫描，拆卷后进行恢复性、规范性整理装订；</w:t>
      </w:r>
    </w:p>
    <w:p w14:paraId="2221FD1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（3）档案重新装订前必须安排专人专机对扫描文档进行100%检查，并按规定做好检查记录。</w:t>
      </w:r>
    </w:p>
    <w:p w14:paraId="7692BB5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纸质档案扫描严格按照国家标准《纸质档案数字化规范》要求执行；声像档案的转换与数字化采集，严格按照《录音录像档案数字化规范》要求执行，形成一套蓝光档案级光盘存储和档案管理软件挂接双存储。</w:t>
      </w:r>
    </w:p>
    <w:p w14:paraId="1315CDA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（5）采用彩色单页jpg的存储格式，扫描分辨率不得</w:t>
      </w:r>
      <w:r>
        <w:rPr>
          <w:rFonts w:hint="eastAsia" w:ascii="宋体" w:hAnsi="宋体" w:eastAsia="宋体" w:cs="宋体"/>
          <w:color w:val="000000"/>
          <w:sz w:val="24"/>
          <w:szCs w:val="24"/>
        </w:rPr>
        <w:t>低于300dpi，图片文件成品数据为≥24bit真彩JPG压缩格式，并合成多页双层PDF文件；同时，</w:t>
      </w:r>
      <w:r>
        <w:rPr>
          <w:rFonts w:hint="eastAsia" w:ascii="宋体" w:hAnsi="宋体" w:eastAsia="宋体" w:cs="宋体"/>
          <w:sz w:val="24"/>
          <w:szCs w:val="24"/>
        </w:rPr>
        <w:t>对于照片档案扫描分辨率不得低于600dpi，如实际效果不理想则须适时提高分辨率，直达到清晰为止。</w:t>
      </w:r>
    </w:p>
    <w:p w14:paraId="391486F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（6）电子图片的倾斜度不得超出1度，不允许有折叠或缺损，保持图像的完整，图片端正、无扭曲。</w:t>
      </w:r>
    </w:p>
    <w:p w14:paraId="52BF357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（7）采用平板扫描方式，不得损坏纸质档案；确保在扫描过程中不对档案原件造成二次损伤；保证档案扫描图像与原件一致、整洁、清晰。</w:t>
      </w:r>
    </w:p>
    <w:p w14:paraId="0A177C0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（8）对扫描的图片进行加工裁减、去边、去污等技术处理，不留文字版面外的暗影、无干扰信息，应遵循在不影响可懂度的前提下展现档案原貌的原则；</w:t>
      </w:r>
    </w:p>
    <w:p w14:paraId="35B9666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（9）为了保证档案内容与档案载体的绝对安全，成交供应商必须具有国家秘密载体印制或复制资质证书，确保加工过程中档案不得丢失、泄密、损坏，并提交相应电子数据的光盘备份；</w:t>
      </w:r>
    </w:p>
    <w:p w14:paraId="54B65C5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10）成交供应商必须具有自主知识产权的数字化加工加密软件、档案整理归档软件、数字化成果检测软件以及相应数字化在线质检与验收软件，确保本次数字化全过程规范、安全、保密，数字化成果验收准确、高效、便捷。</w:t>
      </w:r>
    </w:p>
    <w:p w14:paraId="617B61D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（11）负责本项目实施组的项目经理和项目现场负责人必须是在成交供应商有3年以上工作经验，需提供用户项目验收报告等证明文件。</w:t>
      </w:r>
    </w:p>
    <w:p w14:paraId="287860A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（12）数字化加工必须在采购人指定工作场所进行，加工过程中所有耗材均有成交供应商提供。</w:t>
      </w:r>
    </w:p>
    <w:p w14:paraId="5E009F61">
      <w:pPr>
        <w:spacing w:line="500" w:lineRule="exact"/>
        <w:rPr>
          <w:rFonts w:hint="eastAsia" w:ascii="宋体" w:hAnsi="宋体" w:eastAsia="宋体" w:cs="宋体"/>
          <w:b/>
          <w:bCs/>
          <w:sz w:val="24"/>
          <w:szCs w:val="24"/>
        </w:rPr>
      </w:pPr>
      <w:r>
        <w:rPr>
          <w:rFonts w:hint="eastAsia" w:ascii="宋体" w:hAnsi="宋体" w:eastAsia="宋体" w:cs="宋体"/>
          <w:b/>
          <w:bCs/>
          <w:sz w:val="24"/>
          <w:szCs w:val="24"/>
        </w:rPr>
        <w:t>五、管理要求</w:t>
      </w:r>
    </w:p>
    <w:p w14:paraId="26E589F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1.服务要求</w:t>
      </w:r>
    </w:p>
    <w:p w14:paraId="072C5F5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（1）服务供应商需遵守档案业务性标准规范，档案业务技术性标准规范，以及软件工程标准规范，数字化流程应各环节应清晰可控，质量安全控制点合理有效。</w:t>
      </w:r>
    </w:p>
    <w:p w14:paraId="73653F2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（2）服务供应商有完整的售后服务方案。</w:t>
      </w:r>
    </w:p>
    <w:p w14:paraId="15B3E49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（3）服务供应商所提供的档案数字化成品应符合安徽省档案局和安徽理工大学标准同时能够满足导入现有档案管理软件的要求。</w:t>
      </w:r>
    </w:p>
    <w:p w14:paraId="644975FF">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2.质保要求</w:t>
      </w:r>
    </w:p>
    <w:p w14:paraId="409B7E7D">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须提供从项目整体验收合格之日起，两年的免费质保期服务。无论在质保期内还是质保期满后，成交供应商负责对其实施的项目提供24小时不间断技术支持服务，提供电话、传真、电子邮件、现场多种方式技术支持服务，全方位响应需求。能2小时内响应，并最迟在第2个工作日内排除错误，2个工作日内不能解决的，必须采取临时应急等措施，最大可能地保证安徽理工大学档案电子数据的正常使用。</w:t>
      </w:r>
    </w:p>
    <w:p w14:paraId="06ABEAE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3.建设周期、服务、实施地点、实施时间和质保期</w:t>
      </w:r>
    </w:p>
    <w:p w14:paraId="66B990BA">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（1）建设周期：该投标项目合同执行工期为5个月。</w:t>
      </w:r>
    </w:p>
    <w:p w14:paraId="6BD32DF3">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（2）服务：所有服务全部由成交供应商承担，采购人不支付任何费用。</w:t>
      </w:r>
    </w:p>
    <w:p w14:paraId="00B31D5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（3）实施地点：安徽理工大学。</w:t>
      </w:r>
    </w:p>
    <w:p w14:paraId="7C4F118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（4）实施时间：以采购人工作时间为准。</w:t>
      </w:r>
    </w:p>
    <w:p w14:paraId="275B4AB6">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（5）质保期：验收合格后两年的免费维保期。</w:t>
      </w:r>
    </w:p>
    <w:p w14:paraId="02D5B5E6">
      <w:pPr>
        <w:spacing w:line="500" w:lineRule="exact"/>
        <w:rPr>
          <w:rFonts w:hint="eastAsia" w:ascii="宋体" w:hAnsi="宋体" w:eastAsia="宋体" w:cs="宋体"/>
          <w:sz w:val="24"/>
          <w:szCs w:val="24"/>
        </w:rPr>
      </w:pPr>
      <w:r>
        <w:rPr>
          <w:rFonts w:hint="eastAsia" w:ascii="宋体" w:hAnsi="宋体" w:eastAsia="宋体" w:cs="宋体"/>
          <w:b/>
          <w:bCs/>
          <w:sz w:val="24"/>
          <w:szCs w:val="24"/>
        </w:rPr>
        <w:t>六、安全保密要求</w:t>
      </w:r>
    </w:p>
    <w:p w14:paraId="3A0E530D">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1.保密措施</w:t>
      </w:r>
    </w:p>
    <w:p w14:paraId="0FAAD9F9">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（1）供应商必须有严格保密制度。</w:t>
      </w:r>
    </w:p>
    <w:p w14:paraId="29709630">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（2）供应商在响应文件中必须详细描述保密措施。</w:t>
      </w:r>
    </w:p>
    <w:p w14:paraId="22834E90">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（3）所有工作人员上岗前必须签订保密责任书。</w:t>
      </w:r>
    </w:p>
    <w:p w14:paraId="06AA4555">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（4）企业承诺不含外资背景，所有人员不含外籍人员。不允许加工方转包成交项目，一经发现立即终止合同。现场需要数字化加工单位安装监控设备，符合相关数字化加工场地安全保密要求。</w:t>
      </w:r>
    </w:p>
    <w:p w14:paraId="0875A7C3">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（5）配置数字化加工管理软件，封USB口，对存储介质进行有效控制。</w:t>
      </w:r>
    </w:p>
    <w:p w14:paraId="3172896E">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2.保密责任：在档案数字化加工过程中造成的泄密事故，由供应商承担全部责任。</w:t>
      </w:r>
    </w:p>
    <w:p w14:paraId="2D7777EB">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3.信息安全</w:t>
      </w:r>
    </w:p>
    <w:p w14:paraId="2207780C">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严格遵守有关保密、档案法律法规和安徽理工大学的有关规定。数字化加工工作必须在指定的场所内进行，确保场所正常秩序和安全。不得遗失、损坏档案，如有违反有关法律法规的，将追究相关责任人责任。</w:t>
      </w:r>
    </w:p>
    <w:p w14:paraId="3A4EEFA4">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加工单位在签订合同时成立项目组，由加工单位和委托单位人员组成。双方指定专人负责该项目，加工单位项目负责人必须为加工单位公司级负责人，并列出具体的项目操作标准及流程、项目实施计划、人员及保证措施。</w:t>
      </w:r>
    </w:p>
    <w:p w14:paraId="70BA9BE0">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（3）项目工作人员必须具备一定的档案业务知识和档案整理操作能力及档案数字化加工的实际操作经验。</w:t>
      </w:r>
    </w:p>
    <w:p w14:paraId="04CDB08D">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（4）签订保密协议，加强对工作人员的保密教育。加工产品单位须在合同中进行责任约定（签订安全保密责任书）；在工作期间必须遵守安徽理工大学相关保密制度。</w:t>
      </w:r>
    </w:p>
    <w:p w14:paraId="58B7A5A5">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建立严格的保密制度，加强管理，杜绝工作人员对档案及档案信息的私自复制行为。工作人员不得以任何形式将各项档案资料带出指定工作现场，工作人员不得携带手机进入现场不得以任何形式进行泄漏、传播档案信息，不得无故查看、讨论档案内容。</w:t>
      </w:r>
    </w:p>
    <w:p w14:paraId="5B01E108">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（6）扫描加工场地要做好安全及保密，具备保密设施，保证档案原件的安全和保密。</w:t>
      </w:r>
    </w:p>
    <w:p w14:paraId="05888117">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加工现场不允许私自使用有移动存储设备，任何加工数据不能私自带出工作区域，加工设备不允许接入互联网。数字化加工公司在合同期内必须使用固定的存储设备并如实记录使用的移动存储设备，定期向安徽理工大学移交加工后的产品。</w:t>
      </w:r>
    </w:p>
    <w:p w14:paraId="0921EE48">
      <w:pPr>
        <w:wordWrap w:val="0"/>
        <w:spacing w:line="440" w:lineRule="exact"/>
        <w:ind w:firstLine="437"/>
        <w:jc w:val="left"/>
        <w:rPr>
          <w:rFonts w:hint="eastAsia" w:ascii="宋体" w:hAnsi="宋体" w:eastAsia="宋体" w:cs="宋体"/>
          <w:b/>
          <w:sz w:val="24"/>
          <w:szCs w:val="24"/>
        </w:rPr>
      </w:pPr>
      <w:r>
        <w:rPr>
          <w:rFonts w:hint="eastAsia" w:ascii="宋体" w:hAnsi="宋体" w:eastAsia="宋体" w:cs="宋体"/>
          <w:sz w:val="24"/>
          <w:szCs w:val="24"/>
        </w:rPr>
        <w:t>（8）加工过程中的废弃纸张不得自行销毁，提交安徽理工大学在指定地点处理。项目完成经验收后，加工操作终端上的数据必须在委托方项目负责人的现场监督下销毁，所有硬盘必须提交给委托方，设备经检验确认后才能撤回。</w:t>
      </w:r>
    </w:p>
    <w:p w14:paraId="53B395FC">
      <w:pPr>
        <w:wordWrap w:val="0"/>
        <w:spacing w:line="440" w:lineRule="exact"/>
        <w:ind w:firstLine="437"/>
        <w:jc w:val="left"/>
        <w:rPr>
          <w:rFonts w:hint="eastAsia" w:ascii="宋体" w:hAnsi="宋体" w:eastAsia="宋体"/>
          <w:b/>
          <w:sz w:val="24"/>
        </w:rPr>
      </w:pPr>
      <w:r>
        <w:rPr>
          <w:rFonts w:hint="eastAsia" w:ascii="宋体" w:hAnsi="宋体" w:eastAsia="宋体"/>
          <w:b/>
          <w:sz w:val="24"/>
        </w:rPr>
        <w:t>七、报价要求</w:t>
      </w:r>
    </w:p>
    <w:p w14:paraId="02780B35">
      <w:r>
        <w:rPr>
          <w:rFonts w:hint="eastAsia" w:ascii="宋体" w:hAnsi="宋体" w:eastAsia="宋体"/>
          <w:b/>
          <w:color w:val="0000FF"/>
          <w:sz w:val="24"/>
        </w:rPr>
        <w:t>本项目同时报总价和各分项单价</w:t>
      </w:r>
      <w:r>
        <w:rPr>
          <w:rFonts w:hint="eastAsia" w:ascii="宋体" w:hAnsi="宋体" w:eastAsia="宋体"/>
          <w:bCs/>
          <w:sz w:val="24"/>
        </w:rPr>
        <w:t>。总价作为价格分评审依据，总价包含完成本项目所需的全部费用，成交后采购人不再增加任何费用。供应商对上述档案类型进行分项报价，费用结算以完成项目加工包内容为准，且价格不超过总体预算。</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A43B96"/>
    <w:rsid w:val="2CA43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宋体" w:hAnsi="宋体" w:eastAsia="宋体"/>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none" w:color="auto" w:sz="0" w:space="0"/>
      </w:pBdr>
      <w:wordWrap w:val="0"/>
      <w:snapToGrid/>
      <w:spacing w:line="360" w:lineRule="auto"/>
    </w:pPr>
    <w:rPr>
      <w:rFonts w:ascii="宋体" w:hAnsi="宋体" w:eastAsia="宋体"/>
      <w:bCs/>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2025-06-27T02:07:00Z</dcterms:created>
  <dc:creator>森</dc:creator>
  <cp:lastModifiedBy>森</cp:lastModifiedBy>
  <dcterms:modified xsi:type="dcterms:W3CDTF">2025-06-27T02:07:15Z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49D4E21DB4B64F73B764AF32EEA80D3F_11</vt:lpwstr>
  </property>
  <property fmtid="{D5CDD505-2E9C-101B-9397-08002B2CF9AE}" pid="4" name="KSOTemplateDocerSaveRecord">
    <vt:lpwstr>eyJoZGlkIjoiOTc3M2Y5NzIzMDFlZjAyY2Q4Njk5ODkyYjFjNzBiNTQiLCJ1c2VySWQiOiI0MzAwMTYzNzkifQ==</vt:lpwstr>
  </property>
</Properties>
</file>