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129851">
      <w:pPr>
        <w:wordWrap w:val="0"/>
        <w:spacing w:line="360" w:lineRule="auto"/>
        <w:jc w:val="center"/>
        <w:outlineLvl w:val="1"/>
        <w:rPr>
          <w:rFonts w:hint="eastAsia" w:ascii="华文中宋" w:hAnsi="华文中宋" w:eastAsia="华文中宋" w:cs="Times New Roman"/>
          <w:b/>
          <w:bCs/>
          <w:kern w:val="44"/>
          <w:sz w:val="44"/>
          <w:szCs w:val="44"/>
        </w:rPr>
      </w:pPr>
      <w:bookmarkStart w:id="0" w:name="_Toc24964"/>
      <w:r>
        <w:rPr>
          <w:rFonts w:hint="eastAsia" w:ascii="华文中宋" w:hAnsi="华文中宋" w:eastAsia="华文中宋" w:cs="Times New Roman"/>
          <w:b/>
          <w:bCs/>
          <w:kern w:val="44"/>
          <w:sz w:val="44"/>
          <w:szCs w:val="44"/>
        </w:rPr>
        <w:t>第三章  采购需求</w:t>
      </w:r>
      <w:bookmarkEnd w:id="0"/>
    </w:p>
    <w:p w14:paraId="55BD70D9">
      <w:pPr>
        <w:wordWrap w:val="0"/>
        <w:spacing w:line="360" w:lineRule="auto"/>
        <w:rPr>
          <w:rFonts w:ascii="宋体" w:hAnsi="宋体" w:eastAsia="宋体"/>
          <w:b/>
          <w:sz w:val="24"/>
        </w:rPr>
      </w:pPr>
      <w:r>
        <w:rPr>
          <w:rFonts w:hint="eastAsia" w:ascii="宋体" w:hAnsi="宋体" w:eastAsia="宋体"/>
          <w:b/>
          <w:sz w:val="24"/>
        </w:rPr>
        <w:t>前注：</w:t>
      </w:r>
    </w:p>
    <w:p w14:paraId="19EA615C">
      <w:pPr>
        <w:wordWrap w:val="0"/>
        <w:spacing w:line="360" w:lineRule="auto"/>
        <w:ind w:firstLine="437"/>
        <w:rPr>
          <w:rFonts w:ascii="宋体" w:hAnsi="宋体" w:eastAsia="宋体"/>
          <w:sz w:val="24"/>
          <w:szCs w:val="18"/>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w:t>
      </w:r>
      <w:r>
        <w:rPr>
          <w:rFonts w:hint="eastAsia" w:ascii="宋体" w:hAnsi="宋体" w:eastAsia="宋体"/>
          <w:sz w:val="24"/>
        </w:rPr>
        <w:t>谈判</w:t>
      </w:r>
      <w:r>
        <w:rPr>
          <w:rFonts w:ascii="宋体" w:hAnsi="宋体" w:eastAsia="宋体"/>
          <w:sz w:val="24"/>
        </w:rPr>
        <w:t>小组评审认可</w:t>
      </w:r>
      <w:r>
        <w:rPr>
          <w:rFonts w:hint="eastAsia" w:ascii="宋体" w:hAnsi="宋体" w:eastAsia="宋体"/>
          <w:sz w:val="24"/>
        </w:rPr>
        <w:t>。</w:t>
      </w:r>
    </w:p>
    <w:p w14:paraId="0ADAEFBA">
      <w:pPr>
        <w:wordWrap w:val="0"/>
        <w:spacing w:line="360" w:lineRule="auto"/>
        <w:ind w:firstLine="437"/>
        <w:rPr>
          <w:rFonts w:ascii="宋体" w:hAnsi="宋体" w:eastAsia="宋体"/>
          <w:b/>
          <w:sz w:val="28"/>
          <w:szCs w:val="28"/>
        </w:rPr>
      </w:pPr>
      <w:r>
        <w:rPr>
          <w:rFonts w:hint="eastAsia" w:ascii="宋体" w:hAnsi="宋体" w:eastAsia="宋体"/>
          <w:b/>
          <w:sz w:val="28"/>
          <w:szCs w:val="28"/>
        </w:rPr>
        <w:t>一、采购需求前附表</w:t>
      </w:r>
      <w:bookmarkStart w:id="2" w:name="_GoBack"/>
      <w:bookmarkEnd w:id="2"/>
    </w:p>
    <w:tbl>
      <w:tblPr>
        <w:tblStyle w:val="2"/>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7CD92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ign w:val="center"/>
          </w:tcPr>
          <w:p w14:paraId="437DB564">
            <w:pPr>
              <w:jc w:val="center"/>
              <w:rPr>
                <w:rFonts w:ascii="宋体" w:hAnsi="宋体" w:eastAsia="宋体" w:cs="Times New Roman"/>
                <w:b/>
                <w:sz w:val="24"/>
              </w:rPr>
            </w:pPr>
            <w:r>
              <w:rPr>
                <w:rFonts w:hint="eastAsia" w:ascii="宋体" w:hAnsi="宋体" w:eastAsia="宋体" w:cs="Times New Roman"/>
                <w:b/>
                <w:sz w:val="24"/>
              </w:rPr>
              <w:t>序号</w:t>
            </w:r>
          </w:p>
        </w:tc>
        <w:tc>
          <w:tcPr>
            <w:tcW w:w="2025" w:type="dxa"/>
            <w:noWrap/>
            <w:vAlign w:val="center"/>
          </w:tcPr>
          <w:p w14:paraId="098C1609">
            <w:pPr>
              <w:spacing w:line="360" w:lineRule="auto"/>
              <w:jc w:val="center"/>
              <w:rPr>
                <w:rFonts w:ascii="宋体" w:hAnsi="宋体" w:eastAsia="宋体" w:cs="Times New Roman"/>
                <w:b/>
                <w:kern w:val="0"/>
                <w:sz w:val="24"/>
                <w:szCs w:val="28"/>
              </w:rPr>
            </w:pPr>
            <w:r>
              <w:rPr>
                <w:rFonts w:hint="eastAsia" w:ascii="宋体" w:hAnsi="宋体" w:eastAsia="宋体" w:cs="Times New Roman"/>
                <w:b/>
                <w:kern w:val="0"/>
                <w:sz w:val="24"/>
                <w:szCs w:val="28"/>
              </w:rPr>
              <w:t>内容</w:t>
            </w:r>
          </w:p>
        </w:tc>
        <w:tc>
          <w:tcPr>
            <w:tcW w:w="5466" w:type="dxa"/>
            <w:noWrap/>
            <w:vAlign w:val="center"/>
          </w:tcPr>
          <w:p w14:paraId="2AA1DD6C">
            <w:pPr>
              <w:spacing w:line="360" w:lineRule="auto"/>
              <w:jc w:val="center"/>
              <w:rPr>
                <w:rFonts w:ascii="宋体" w:hAnsi="宋体" w:eastAsia="宋体" w:cs="Times New Roman"/>
                <w:b/>
                <w:kern w:val="0"/>
                <w:sz w:val="24"/>
                <w:szCs w:val="28"/>
              </w:rPr>
            </w:pPr>
            <w:r>
              <w:rPr>
                <w:rFonts w:hint="eastAsia" w:ascii="宋体" w:hAnsi="宋体" w:eastAsia="宋体" w:cs="Times New Roman"/>
                <w:b/>
                <w:kern w:val="0"/>
                <w:sz w:val="24"/>
                <w:szCs w:val="28"/>
              </w:rPr>
              <w:t>说明与要求</w:t>
            </w:r>
          </w:p>
        </w:tc>
      </w:tr>
      <w:tr w14:paraId="34F90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ign w:val="center"/>
          </w:tcPr>
          <w:p w14:paraId="193B8F82">
            <w:pPr>
              <w:jc w:val="center"/>
              <w:rPr>
                <w:rFonts w:ascii="宋体" w:hAnsi="宋体" w:eastAsia="宋体" w:cs="Times New Roman"/>
                <w:bCs/>
                <w:sz w:val="24"/>
              </w:rPr>
            </w:pPr>
            <w:r>
              <w:rPr>
                <w:rFonts w:hint="eastAsia" w:ascii="宋体" w:hAnsi="宋体" w:eastAsia="宋体" w:cs="Times New Roman"/>
                <w:bCs/>
                <w:sz w:val="24"/>
              </w:rPr>
              <w:t>1</w:t>
            </w:r>
          </w:p>
        </w:tc>
        <w:tc>
          <w:tcPr>
            <w:tcW w:w="2025" w:type="dxa"/>
            <w:noWrap/>
            <w:vAlign w:val="center"/>
          </w:tcPr>
          <w:p w14:paraId="5990C901">
            <w:pPr>
              <w:spacing w:line="360" w:lineRule="auto"/>
              <w:jc w:val="center"/>
              <w:rPr>
                <w:rFonts w:ascii="宋体" w:hAnsi="宋体" w:eastAsia="宋体" w:cs="Times New Roman"/>
                <w:bCs/>
                <w:kern w:val="0"/>
                <w:sz w:val="24"/>
                <w:szCs w:val="28"/>
              </w:rPr>
            </w:pPr>
            <w:r>
              <w:rPr>
                <w:rFonts w:hint="eastAsia" w:ascii="宋体" w:hAnsi="宋体" w:eastAsia="宋体" w:cs="Times New Roman"/>
                <w:bCs/>
                <w:kern w:val="0"/>
                <w:sz w:val="24"/>
                <w:szCs w:val="28"/>
              </w:rPr>
              <w:t>付款方式</w:t>
            </w:r>
          </w:p>
        </w:tc>
        <w:tc>
          <w:tcPr>
            <w:tcW w:w="5466" w:type="dxa"/>
            <w:noWrap/>
            <w:vAlign w:val="center"/>
          </w:tcPr>
          <w:p w14:paraId="55E4B279">
            <w:pPr>
              <w:spacing w:line="360" w:lineRule="auto"/>
              <w:rPr>
                <w:rFonts w:hint="eastAsia" w:ascii="宋体" w:hAnsi="宋体" w:eastAsia="宋体" w:cs="Times New Roman"/>
                <w:bCs/>
                <w:kern w:val="0"/>
                <w:sz w:val="24"/>
                <w:szCs w:val="28"/>
                <w:lang w:val="zh-CN"/>
              </w:rPr>
            </w:pPr>
            <w:r>
              <w:rPr>
                <w:rFonts w:hint="eastAsia" w:ascii="宋体" w:hAnsi="宋体" w:eastAsia="宋体" w:cs="Times New Roman"/>
                <w:bCs/>
                <w:kern w:val="0"/>
                <w:sz w:val="24"/>
                <w:szCs w:val="28"/>
                <w:lang w:val="zh-CN"/>
              </w:rPr>
              <w:t>付款方式：</w:t>
            </w:r>
            <w:r>
              <w:rPr>
                <w:rFonts w:hint="eastAsia" w:ascii="宋体" w:hAnsi="宋体" w:eastAsia="宋体" w:cs="Times New Roman"/>
                <w:bCs/>
                <w:kern w:val="0"/>
                <w:sz w:val="24"/>
                <w:szCs w:val="28"/>
              </w:rPr>
              <w:t>项目完成且验收合格后一次性付清。</w:t>
            </w:r>
          </w:p>
          <w:p w14:paraId="3273337C">
            <w:pPr>
              <w:spacing w:line="360" w:lineRule="auto"/>
              <w:jc w:val="left"/>
              <w:rPr>
                <w:rFonts w:hint="eastAsia" w:ascii="宋体" w:hAnsi="宋体" w:eastAsia="宋体" w:cs="Times New Roman"/>
                <w:bCs/>
                <w:kern w:val="0"/>
                <w:sz w:val="24"/>
                <w:szCs w:val="28"/>
              </w:rPr>
            </w:pPr>
            <w:bookmarkStart w:id="1" w:name="OLE_LINK4"/>
            <w:r>
              <w:rPr>
                <w:rFonts w:hint="eastAsia" w:ascii="宋体" w:hAnsi="宋体" w:eastAsia="宋体" w:cs="Times New Roman"/>
                <w:b/>
                <w:kern w:val="0"/>
                <w:sz w:val="24"/>
                <w:szCs w:val="28"/>
              </w:rPr>
              <w:t>供应商提交的响应文件中如有关于付款条件的表述与采购文件规定不符，将被视为实质性不响应，将导致响应无效。</w:t>
            </w:r>
            <w:bookmarkEnd w:id="1"/>
          </w:p>
        </w:tc>
      </w:tr>
      <w:tr w14:paraId="3CA90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ign w:val="center"/>
          </w:tcPr>
          <w:p w14:paraId="44C97030">
            <w:pPr>
              <w:jc w:val="center"/>
              <w:rPr>
                <w:rFonts w:ascii="宋体" w:hAnsi="宋体" w:eastAsia="宋体" w:cs="Times New Roman"/>
                <w:bCs/>
                <w:sz w:val="24"/>
              </w:rPr>
            </w:pPr>
            <w:r>
              <w:rPr>
                <w:rFonts w:hint="eastAsia" w:ascii="宋体" w:hAnsi="宋体" w:eastAsia="宋体" w:cs="Times New Roman"/>
                <w:bCs/>
                <w:sz w:val="24"/>
              </w:rPr>
              <w:t>2</w:t>
            </w:r>
          </w:p>
        </w:tc>
        <w:tc>
          <w:tcPr>
            <w:tcW w:w="2025" w:type="dxa"/>
            <w:noWrap/>
            <w:vAlign w:val="center"/>
          </w:tcPr>
          <w:p w14:paraId="19FD4FBE">
            <w:pPr>
              <w:adjustRightInd w:val="0"/>
              <w:snapToGrid w:val="0"/>
              <w:spacing w:line="400" w:lineRule="exact"/>
              <w:jc w:val="center"/>
              <w:outlineLvl w:val="1"/>
              <w:rPr>
                <w:rFonts w:ascii="宋体" w:hAnsi="宋体" w:eastAsia="宋体" w:cs="Times New Roman"/>
                <w:bCs/>
                <w:kern w:val="0"/>
                <w:sz w:val="24"/>
                <w:szCs w:val="28"/>
              </w:rPr>
            </w:pPr>
            <w:r>
              <w:rPr>
                <w:rFonts w:hint="eastAsia" w:ascii="宋体" w:hAnsi="宋体" w:eastAsia="宋体" w:cs="Times New Roman"/>
                <w:bCs/>
                <w:kern w:val="0"/>
                <w:sz w:val="24"/>
                <w:szCs w:val="28"/>
              </w:rPr>
              <w:t>服务期限</w:t>
            </w:r>
          </w:p>
        </w:tc>
        <w:tc>
          <w:tcPr>
            <w:tcW w:w="5466" w:type="dxa"/>
            <w:noWrap/>
            <w:vAlign w:val="center"/>
          </w:tcPr>
          <w:p w14:paraId="3C08EBF2">
            <w:pPr>
              <w:spacing w:line="360" w:lineRule="auto"/>
              <w:jc w:val="left"/>
              <w:rPr>
                <w:rFonts w:ascii="宋体" w:hAnsi="宋体" w:eastAsia="宋体" w:cs="Times New Roman"/>
                <w:bCs/>
                <w:kern w:val="0"/>
                <w:sz w:val="24"/>
                <w:szCs w:val="28"/>
                <w:lang w:val="zh-CN"/>
              </w:rPr>
            </w:pPr>
            <w:r>
              <w:rPr>
                <w:rFonts w:hint="eastAsia" w:ascii="宋体" w:hAnsi="宋体" w:eastAsia="宋体" w:cs="Times New Roman"/>
                <w:bCs/>
                <w:kern w:val="0"/>
                <w:sz w:val="24"/>
                <w:szCs w:val="28"/>
              </w:rPr>
              <w:t>自合同签订生效之日起1年。</w:t>
            </w:r>
          </w:p>
        </w:tc>
      </w:tr>
      <w:tr w14:paraId="3D657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ign w:val="center"/>
          </w:tcPr>
          <w:p w14:paraId="45A5FFA1">
            <w:pPr>
              <w:jc w:val="center"/>
              <w:rPr>
                <w:rFonts w:ascii="宋体" w:hAnsi="宋体" w:eastAsia="宋体" w:cs="Times New Roman"/>
                <w:bCs/>
                <w:sz w:val="24"/>
              </w:rPr>
            </w:pPr>
            <w:r>
              <w:rPr>
                <w:rFonts w:hint="eastAsia" w:ascii="宋体" w:hAnsi="宋体" w:eastAsia="宋体" w:cs="Times New Roman"/>
                <w:bCs/>
                <w:sz w:val="24"/>
              </w:rPr>
              <w:t>3</w:t>
            </w:r>
          </w:p>
        </w:tc>
        <w:tc>
          <w:tcPr>
            <w:tcW w:w="2025" w:type="dxa"/>
            <w:noWrap/>
            <w:vAlign w:val="center"/>
          </w:tcPr>
          <w:p w14:paraId="312D53FA">
            <w:pPr>
              <w:spacing w:line="360" w:lineRule="auto"/>
              <w:jc w:val="center"/>
              <w:rPr>
                <w:rFonts w:ascii="宋体" w:hAnsi="宋体" w:eastAsia="宋体" w:cs="Times New Roman"/>
                <w:bCs/>
                <w:kern w:val="0"/>
                <w:sz w:val="24"/>
                <w:szCs w:val="28"/>
              </w:rPr>
            </w:pPr>
            <w:r>
              <w:rPr>
                <w:rFonts w:hint="eastAsia" w:ascii="宋体" w:hAnsi="宋体" w:eastAsia="宋体" w:cs="Times New Roman"/>
                <w:bCs/>
                <w:kern w:val="0"/>
                <w:sz w:val="24"/>
                <w:szCs w:val="28"/>
              </w:rPr>
              <w:t>服务地点</w:t>
            </w:r>
          </w:p>
        </w:tc>
        <w:tc>
          <w:tcPr>
            <w:tcW w:w="5466" w:type="dxa"/>
            <w:noWrap/>
            <w:vAlign w:val="center"/>
          </w:tcPr>
          <w:p w14:paraId="0D693A67">
            <w:pPr>
              <w:spacing w:line="360" w:lineRule="auto"/>
              <w:rPr>
                <w:rFonts w:ascii="宋体" w:hAnsi="宋体" w:eastAsia="宋体" w:cs="Times New Roman"/>
                <w:bCs/>
                <w:kern w:val="0"/>
                <w:sz w:val="24"/>
                <w:szCs w:val="28"/>
              </w:rPr>
            </w:pPr>
            <w:r>
              <w:rPr>
                <w:rFonts w:hint="eastAsia" w:ascii="宋体" w:hAnsi="宋体" w:eastAsia="宋体" w:cs="Times New Roman"/>
                <w:bCs/>
                <w:kern w:val="0"/>
                <w:sz w:val="24"/>
                <w:szCs w:val="28"/>
              </w:rPr>
              <w:t>安徽中医药大学或采购人指定地点</w:t>
            </w:r>
          </w:p>
        </w:tc>
      </w:tr>
    </w:tbl>
    <w:p w14:paraId="7C1EC6AE">
      <w:pPr>
        <w:wordWrap w:val="0"/>
        <w:spacing w:line="360" w:lineRule="auto"/>
        <w:ind w:firstLine="437"/>
        <w:rPr>
          <w:rFonts w:ascii="宋体" w:hAnsi="宋体" w:eastAsia="宋体"/>
          <w:b/>
          <w:sz w:val="28"/>
          <w:szCs w:val="28"/>
        </w:rPr>
      </w:pPr>
      <w:r>
        <w:rPr>
          <w:rFonts w:hint="eastAsia" w:ascii="宋体" w:hAnsi="宋体" w:eastAsia="宋体"/>
          <w:b/>
          <w:sz w:val="28"/>
          <w:szCs w:val="28"/>
        </w:rPr>
        <w:t>二、项目概况</w:t>
      </w:r>
    </w:p>
    <w:p w14:paraId="082E6F68">
      <w:pPr>
        <w:wordWrap w:val="0"/>
        <w:spacing w:line="360" w:lineRule="auto"/>
        <w:ind w:firstLine="437"/>
        <w:rPr>
          <w:rFonts w:hint="eastAsia" w:ascii="宋体" w:hAnsi="宋体" w:eastAsia="宋体"/>
          <w:b/>
          <w:bCs/>
          <w:sz w:val="24"/>
        </w:rPr>
      </w:pPr>
      <w:r>
        <w:rPr>
          <w:rFonts w:hint="eastAsia" w:ascii="宋体" w:hAnsi="宋体" w:eastAsia="宋体"/>
          <w:sz w:val="24"/>
        </w:rPr>
        <w:t>本项目主要为安徽中医药大学少荃湖校区和梅山路校区两处机房的UPS电源系统采购硬件质保服务，包含硬件及人工服务，</w:t>
      </w:r>
      <w:r>
        <w:rPr>
          <w:rFonts w:hint="eastAsia" w:ascii="宋体" w:hAnsi="宋体" w:eastAsia="宋体"/>
          <w:b/>
          <w:bCs/>
          <w:sz w:val="24"/>
        </w:rPr>
        <w:t>并出具所采购设备生产厂商检测报告。</w:t>
      </w:r>
    </w:p>
    <w:p w14:paraId="7E8C272F">
      <w:pPr>
        <w:wordWrap w:val="0"/>
        <w:spacing w:line="360" w:lineRule="auto"/>
        <w:ind w:firstLine="437"/>
        <w:rPr>
          <w:rFonts w:hint="eastAsia" w:ascii="宋体" w:hAnsi="宋体" w:eastAsia="宋体"/>
          <w:b/>
          <w:sz w:val="28"/>
          <w:szCs w:val="28"/>
        </w:rPr>
      </w:pPr>
      <w:r>
        <w:rPr>
          <w:rFonts w:hint="eastAsia" w:ascii="宋体" w:hAnsi="宋体" w:eastAsia="宋体"/>
          <w:b/>
          <w:sz w:val="28"/>
          <w:szCs w:val="28"/>
          <w:lang w:val="en-US" w:eastAsia="zh-CN"/>
        </w:rPr>
        <w:t>三、</w:t>
      </w:r>
      <w:r>
        <w:rPr>
          <w:rFonts w:hint="eastAsia" w:ascii="宋体" w:hAnsi="宋体" w:eastAsia="宋体"/>
          <w:b/>
          <w:sz w:val="28"/>
          <w:szCs w:val="28"/>
        </w:rPr>
        <w:t>服务需求</w:t>
      </w:r>
    </w:p>
    <w:p w14:paraId="287D3F01">
      <w:pPr>
        <w:spacing w:line="360" w:lineRule="auto"/>
        <w:ind w:firstLine="720" w:firstLineChars="300"/>
        <w:rPr>
          <w:rFonts w:hint="eastAsia" w:ascii="宋体" w:hAnsi="宋体" w:eastAsia="宋体" w:cs="宋体"/>
          <w:bCs/>
          <w:sz w:val="24"/>
          <w:szCs w:val="24"/>
        </w:rPr>
      </w:pPr>
      <w:r>
        <w:rPr>
          <w:rFonts w:hint="eastAsia" w:ascii="宋体" w:hAnsi="宋体" w:eastAsia="宋体" w:cs="宋体"/>
          <w:bCs/>
          <w:sz w:val="24"/>
          <w:szCs w:val="24"/>
        </w:rPr>
        <w:t>服务需求说明</w:t>
      </w:r>
    </w:p>
    <w:tbl>
      <w:tblPr>
        <w:tblStyle w:val="2"/>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58"/>
        <w:gridCol w:w="5751"/>
      </w:tblGrid>
      <w:tr w14:paraId="35B6C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6552F186">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标识重要性</w:t>
            </w:r>
          </w:p>
        </w:tc>
        <w:tc>
          <w:tcPr>
            <w:tcW w:w="1258" w:type="dxa"/>
            <w:noWrap w:val="0"/>
            <w:vAlign w:val="center"/>
          </w:tcPr>
          <w:p w14:paraId="1427F947">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标识符号</w:t>
            </w:r>
          </w:p>
        </w:tc>
        <w:tc>
          <w:tcPr>
            <w:tcW w:w="5751" w:type="dxa"/>
            <w:noWrap w:val="0"/>
            <w:vAlign w:val="center"/>
          </w:tcPr>
          <w:p w14:paraId="1AA1A5E5">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代表意思</w:t>
            </w:r>
          </w:p>
        </w:tc>
      </w:tr>
      <w:tr w14:paraId="2F8F4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744BBFDE">
            <w:pPr>
              <w:spacing w:line="360" w:lineRule="exact"/>
              <w:jc w:val="center"/>
              <w:rPr>
                <w:rFonts w:ascii="Times New Roman" w:hAnsi="Times New Roman" w:eastAsia="宋体" w:cs="Times New Roman"/>
                <w:b/>
                <w:bCs/>
                <w:sz w:val="24"/>
              </w:rPr>
            </w:pPr>
            <w:r>
              <w:rPr>
                <w:rFonts w:hint="eastAsia" w:ascii="宋体" w:hAnsi="宋体" w:eastAsia="宋体" w:cs="宋体"/>
                <w:b/>
                <w:bCs/>
                <w:sz w:val="24"/>
              </w:rPr>
              <w:t>核心指标项</w:t>
            </w:r>
          </w:p>
        </w:tc>
        <w:tc>
          <w:tcPr>
            <w:tcW w:w="1258" w:type="dxa"/>
            <w:noWrap w:val="0"/>
            <w:vAlign w:val="center"/>
          </w:tcPr>
          <w:p w14:paraId="51480EE8">
            <w:pPr>
              <w:spacing w:line="360" w:lineRule="exact"/>
              <w:jc w:val="center"/>
              <w:rPr>
                <w:rFonts w:ascii="Times New Roman" w:hAnsi="Times New Roman" w:eastAsia="宋体" w:cs="Times New Roman"/>
                <w:b/>
                <w:bCs/>
                <w:sz w:val="28"/>
                <w:szCs w:val="28"/>
              </w:rPr>
            </w:pPr>
            <w:r>
              <w:rPr>
                <w:rFonts w:hint="eastAsia" w:ascii="宋体" w:hAnsi="宋体" w:eastAsia="宋体" w:cs="宋体"/>
                <w:b/>
                <w:bCs/>
                <w:sz w:val="24"/>
              </w:rPr>
              <w:t>★</w:t>
            </w:r>
          </w:p>
        </w:tc>
        <w:tc>
          <w:tcPr>
            <w:tcW w:w="5751" w:type="dxa"/>
            <w:noWrap w:val="0"/>
            <w:vAlign w:val="center"/>
          </w:tcPr>
          <w:p w14:paraId="21ACD58B">
            <w:pPr>
              <w:pStyle w:val="4"/>
              <w:widowControl w:val="0"/>
              <w:spacing w:before="0" w:beforeAutospacing="0" w:after="0" w:afterAutospacing="0" w:line="360" w:lineRule="auto"/>
              <w:jc w:val="both"/>
              <w:rPr>
                <w:rFonts w:ascii="Times New Roman" w:hAnsi="Times New Roman" w:eastAsia="宋体" w:cs="Times New Roman"/>
                <w:sz w:val="24"/>
                <w:szCs w:val="22"/>
              </w:rPr>
            </w:pPr>
            <w:r>
              <w:rPr>
                <w:rFonts w:hint="eastAsia" w:ascii="Times New Roman" w:hAnsi="Times New Roman" w:eastAsia="宋体" w:cs="Times New Roman"/>
                <w:sz w:val="24"/>
                <w:szCs w:val="22"/>
              </w:rPr>
              <w:t>作为实质性要求，负偏离（或未响应），将导致</w:t>
            </w:r>
            <w:r>
              <w:rPr>
                <w:rFonts w:hint="eastAsia" w:ascii="Times New Roman" w:hAnsi="Times New Roman" w:eastAsia="宋体" w:cs="Times New Roman"/>
                <w:sz w:val="24"/>
                <w:szCs w:val="22"/>
                <w:lang w:val="en-US" w:eastAsia="zh-CN"/>
              </w:rPr>
              <w:t>响应</w:t>
            </w:r>
            <w:r>
              <w:rPr>
                <w:rFonts w:hint="eastAsia" w:ascii="Times New Roman" w:hAnsi="Times New Roman" w:eastAsia="宋体" w:cs="Times New Roman"/>
                <w:sz w:val="24"/>
                <w:szCs w:val="22"/>
              </w:rPr>
              <w:t>无效。</w:t>
            </w:r>
          </w:p>
        </w:tc>
      </w:tr>
      <w:tr w14:paraId="3F102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3243899C">
            <w:pPr>
              <w:spacing w:line="360" w:lineRule="exact"/>
              <w:jc w:val="center"/>
              <w:rPr>
                <w:rFonts w:hint="eastAsia" w:ascii="宋体" w:hAnsi="宋体" w:eastAsia="宋体" w:cs="宋体"/>
                <w:b/>
                <w:bCs/>
                <w:sz w:val="24"/>
                <w:szCs w:val="24"/>
              </w:rPr>
            </w:pPr>
            <w:r>
              <w:rPr>
                <w:rFonts w:hint="eastAsia" w:ascii="宋体" w:hAnsi="宋体" w:eastAsia="宋体" w:cs="宋体"/>
                <w:b/>
                <w:bCs/>
                <w:sz w:val="24"/>
              </w:rPr>
              <w:t>一般技术指标（无标识项）</w:t>
            </w:r>
          </w:p>
        </w:tc>
        <w:tc>
          <w:tcPr>
            <w:tcW w:w="1258" w:type="dxa"/>
            <w:noWrap w:val="0"/>
            <w:vAlign w:val="center"/>
          </w:tcPr>
          <w:p w14:paraId="0D0F0909">
            <w:pPr>
              <w:spacing w:line="360" w:lineRule="exact"/>
              <w:jc w:val="center"/>
              <w:rPr>
                <w:rFonts w:hint="eastAsia" w:ascii="宋体" w:hAnsi="宋体" w:eastAsia="宋体" w:cs="宋体"/>
                <w:b/>
                <w:bCs/>
                <w:sz w:val="24"/>
                <w:szCs w:val="24"/>
              </w:rPr>
            </w:pPr>
            <w:r>
              <w:rPr>
                <w:rFonts w:hint="eastAsia" w:ascii="宋体" w:hAnsi="宋体" w:eastAsia="宋体" w:cs="宋体"/>
                <w:b/>
                <w:bCs/>
                <w:sz w:val="24"/>
              </w:rPr>
              <w:t>无</w:t>
            </w:r>
          </w:p>
        </w:tc>
        <w:tc>
          <w:tcPr>
            <w:tcW w:w="5751" w:type="dxa"/>
            <w:noWrap w:val="0"/>
            <w:vAlign w:val="center"/>
          </w:tcPr>
          <w:p w14:paraId="43002856">
            <w:pPr>
              <w:spacing w:line="360" w:lineRule="auto"/>
              <w:jc w:val="left"/>
              <w:rPr>
                <w:rFonts w:hint="eastAsia" w:ascii="宋体" w:hAnsi="宋体" w:eastAsia="宋体" w:cs="宋体"/>
                <w:sz w:val="24"/>
                <w:szCs w:val="18"/>
              </w:rPr>
            </w:pPr>
            <w:r>
              <w:rPr>
                <w:rFonts w:ascii="宋体" w:hAnsi="宋体" w:eastAsia="宋体" w:cs="宋体"/>
                <w:b/>
                <w:kern w:val="0"/>
                <w:sz w:val="24"/>
                <w:szCs w:val="24"/>
              </w:rPr>
              <w:t>作为基础指标，</w:t>
            </w:r>
            <w:r>
              <w:rPr>
                <w:rFonts w:hint="eastAsia" w:ascii="宋体" w:hAnsi="宋体" w:eastAsia="宋体" w:cs="宋体"/>
                <w:b/>
                <w:kern w:val="0"/>
                <w:sz w:val="24"/>
                <w:szCs w:val="24"/>
                <w:lang w:val="en-US" w:eastAsia="zh-CN"/>
              </w:rPr>
              <w:t>最大偏离数量为3项，</w:t>
            </w:r>
            <w:r>
              <w:rPr>
                <w:rFonts w:hint="eastAsia" w:ascii="宋体" w:hAnsi="宋体" w:eastAsia="宋体" w:cs="宋体"/>
                <w:b/>
                <w:bCs w:val="0"/>
                <w:kern w:val="0"/>
                <w:sz w:val="24"/>
                <w:szCs w:val="24"/>
                <w:lang w:val="en-US" w:eastAsia="zh-CN"/>
              </w:rPr>
              <w:t>超过3项（不含3项）以上</w:t>
            </w:r>
            <w:r>
              <w:rPr>
                <w:rFonts w:hint="eastAsia" w:ascii="Times New Roman" w:hAnsi="Times New Roman" w:eastAsia="宋体" w:cs="Times New Roman"/>
                <w:b/>
                <w:bCs w:val="0"/>
                <w:sz w:val="24"/>
                <w:szCs w:val="22"/>
              </w:rPr>
              <w:t>负偏离（或未响应）</w:t>
            </w:r>
            <w:r>
              <w:rPr>
                <w:rFonts w:hint="eastAsia" w:ascii="Times New Roman" w:hAnsi="Times New Roman" w:eastAsia="宋体" w:cs="Times New Roman"/>
                <w:b/>
                <w:bCs w:val="0"/>
                <w:sz w:val="24"/>
                <w:szCs w:val="22"/>
                <w:lang w:eastAsia="zh-CN"/>
              </w:rPr>
              <w:t>，</w:t>
            </w:r>
            <w:r>
              <w:rPr>
                <w:rFonts w:hint="eastAsia" w:ascii="Times New Roman" w:hAnsi="Times New Roman" w:eastAsia="宋体" w:cs="Times New Roman"/>
                <w:b/>
                <w:bCs w:val="0"/>
                <w:sz w:val="24"/>
                <w:szCs w:val="22"/>
              </w:rPr>
              <w:t>将导致</w:t>
            </w:r>
            <w:r>
              <w:rPr>
                <w:rFonts w:hint="eastAsia" w:ascii="Times New Roman" w:hAnsi="Times New Roman" w:eastAsia="宋体" w:cs="Times New Roman"/>
                <w:b/>
                <w:bCs w:val="0"/>
                <w:sz w:val="24"/>
                <w:szCs w:val="22"/>
                <w:lang w:val="en-US" w:eastAsia="zh-CN"/>
              </w:rPr>
              <w:t>响应</w:t>
            </w:r>
            <w:r>
              <w:rPr>
                <w:rFonts w:hint="eastAsia" w:ascii="Times New Roman" w:hAnsi="Times New Roman" w:eastAsia="宋体" w:cs="Times New Roman"/>
                <w:b/>
                <w:bCs w:val="0"/>
                <w:sz w:val="24"/>
                <w:szCs w:val="22"/>
              </w:rPr>
              <w:t>无效。</w:t>
            </w:r>
          </w:p>
        </w:tc>
      </w:tr>
      <w:tr w14:paraId="5D8FB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0" w:type="dxa"/>
            <w:gridSpan w:val="3"/>
            <w:noWrap w:val="0"/>
            <w:vAlign w:val="center"/>
          </w:tcPr>
          <w:p w14:paraId="1068A49E">
            <w:pPr>
              <w:spacing w:line="360" w:lineRule="auto"/>
              <w:jc w:val="left"/>
              <w:rPr>
                <w:rFonts w:ascii="Times New Roman" w:hAnsi="Times New Roman" w:eastAsia="宋体" w:cs="Times New Roman"/>
                <w:sz w:val="24"/>
              </w:rPr>
            </w:pPr>
            <w:r>
              <w:rPr>
                <w:rFonts w:hint="eastAsia" w:ascii="宋体" w:hAnsi="宋体" w:eastAsia="宋体" w:cs="宋体"/>
                <w:b/>
                <w:kern w:val="0"/>
                <w:sz w:val="24"/>
                <w:szCs w:val="24"/>
              </w:rPr>
              <w:t>注：以</w:t>
            </w:r>
            <w:r>
              <w:rPr>
                <w:rFonts w:hint="eastAsia" w:ascii="宋体" w:hAnsi="宋体" w:eastAsia="宋体" w:cs="宋体"/>
                <w:b/>
                <w:kern w:val="0"/>
                <w:sz w:val="24"/>
                <w:szCs w:val="24"/>
                <w:lang w:val="en-US" w:eastAsia="zh-CN"/>
              </w:rPr>
              <w:t>谈判</w:t>
            </w:r>
            <w:r>
              <w:rPr>
                <w:rFonts w:hint="eastAsia" w:ascii="宋体" w:hAnsi="宋体" w:eastAsia="宋体" w:cs="宋体"/>
                <w:b/>
                <w:kern w:val="0"/>
                <w:sz w:val="24"/>
                <w:szCs w:val="24"/>
              </w:rPr>
              <w:t>响应表及采购需求中要求提供的证明材料作为评审依据。</w:t>
            </w:r>
          </w:p>
        </w:tc>
      </w:tr>
    </w:tbl>
    <w:p w14:paraId="18308A0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（一）服务范围</w:t>
      </w:r>
    </w:p>
    <w:tbl>
      <w:tblPr>
        <w:tblStyle w:val="2"/>
        <w:tblW w:w="8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9"/>
        <w:gridCol w:w="1116"/>
        <w:gridCol w:w="797"/>
        <w:gridCol w:w="4997"/>
        <w:gridCol w:w="956"/>
      </w:tblGrid>
      <w:tr w14:paraId="7B061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jc w:val="center"/>
        </w:trPr>
        <w:tc>
          <w:tcPr>
            <w:tcW w:w="709" w:type="dxa"/>
            <w:shd w:val="clear" w:color="auto" w:fill="C0C0C0"/>
            <w:noWrap w:val="0"/>
            <w:tcMar>
              <w:top w:w="15" w:type="dxa"/>
              <w:left w:w="15" w:type="dxa"/>
              <w:bottom w:w="0" w:type="dxa"/>
              <w:right w:w="15" w:type="dxa"/>
            </w:tcMar>
            <w:vAlign w:val="center"/>
          </w:tcPr>
          <w:p w14:paraId="578B85DA">
            <w:pPr>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序号</w:t>
            </w:r>
          </w:p>
        </w:tc>
        <w:tc>
          <w:tcPr>
            <w:tcW w:w="1116" w:type="dxa"/>
            <w:shd w:val="clear" w:color="auto" w:fill="C0C0C0"/>
            <w:noWrap w:val="0"/>
            <w:tcMar>
              <w:top w:w="15" w:type="dxa"/>
              <w:left w:w="15" w:type="dxa"/>
              <w:bottom w:w="0" w:type="dxa"/>
              <w:right w:w="15" w:type="dxa"/>
            </w:tcMar>
            <w:vAlign w:val="center"/>
          </w:tcPr>
          <w:p w14:paraId="1C96E9FB">
            <w:pPr>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名称</w:t>
            </w:r>
          </w:p>
        </w:tc>
        <w:tc>
          <w:tcPr>
            <w:tcW w:w="797" w:type="dxa"/>
            <w:shd w:val="clear" w:color="auto" w:fill="C0C0C0"/>
            <w:noWrap w:val="0"/>
            <w:tcMar>
              <w:top w:w="15" w:type="dxa"/>
              <w:left w:w="15" w:type="dxa"/>
              <w:bottom w:w="0" w:type="dxa"/>
              <w:right w:w="15" w:type="dxa"/>
            </w:tcMar>
            <w:vAlign w:val="center"/>
          </w:tcPr>
          <w:p w14:paraId="732AB5AA">
            <w:pPr>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数量</w:t>
            </w:r>
          </w:p>
        </w:tc>
        <w:tc>
          <w:tcPr>
            <w:tcW w:w="4997" w:type="dxa"/>
            <w:shd w:val="clear" w:color="auto" w:fill="C0C0C0"/>
            <w:noWrap w:val="0"/>
            <w:tcMar>
              <w:top w:w="15" w:type="dxa"/>
              <w:left w:w="15" w:type="dxa"/>
              <w:bottom w:w="0" w:type="dxa"/>
              <w:right w:w="15" w:type="dxa"/>
            </w:tcMar>
            <w:vAlign w:val="center"/>
          </w:tcPr>
          <w:p w14:paraId="7162B9D3">
            <w:pPr>
              <w:spacing w:line="360" w:lineRule="auto"/>
              <w:ind w:firstLine="241" w:firstLineChars="100"/>
              <w:jc w:val="center"/>
              <w:rPr>
                <w:rFonts w:hint="eastAsia" w:ascii="宋体" w:hAnsi="宋体" w:eastAsia="宋体" w:cs="宋体"/>
                <w:b/>
                <w:sz w:val="24"/>
              </w:rPr>
            </w:pPr>
            <w:r>
              <w:rPr>
                <w:rFonts w:hint="eastAsia" w:ascii="宋体" w:hAnsi="宋体" w:eastAsia="宋体" w:cs="宋体"/>
                <w:b/>
                <w:sz w:val="24"/>
              </w:rPr>
              <w:t>服务内容</w:t>
            </w:r>
          </w:p>
        </w:tc>
        <w:tc>
          <w:tcPr>
            <w:tcW w:w="956" w:type="dxa"/>
            <w:shd w:val="clear" w:color="auto" w:fill="C0C0C0"/>
            <w:noWrap w:val="0"/>
            <w:vAlign w:val="center"/>
          </w:tcPr>
          <w:p w14:paraId="3FE16335">
            <w:pPr>
              <w:spacing w:line="360" w:lineRule="auto"/>
              <w:jc w:val="center"/>
              <w:rPr>
                <w:rFonts w:hint="eastAsia" w:ascii="宋体" w:hAnsi="宋体" w:eastAsia="宋体" w:cs="宋体"/>
                <w:b/>
                <w:sz w:val="24"/>
              </w:rPr>
            </w:pPr>
            <w:r>
              <w:rPr>
                <w:rFonts w:hint="eastAsia" w:ascii="宋体" w:hAnsi="宋体" w:eastAsia="宋体" w:cs="宋体"/>
                <w:b/>
                <w:color w:val="000000"/>
                <w:sz w:val="24"/>
              </w:rPr>
              <w:t>服务期</w:t>
            </w:r>
          </w:p>
        </w:tc>
      </w:tr>
      <w:tr w14:paraId="787C7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9" w:hRule="atLeast"/>
          <w:jc w:val="center"/>
        </w:trPr>
        <w:tc>
          <w:tcPr>
            <w:tcW w:w="709" w:type="dxa"/>
            <w:noWrap w:val="0"/>
            <w:tcMar>
              <w:top w:w="15" w:type="dxa"/>
              <w:left w:w="15" w:type="dxa"/>
              <w:bottom w:w="0" w:type="dxa"/>
              <w:right w:w="15" w:type="dxa"/>
            </w:tcMar>
            <w:vAlign w:val="center"/>
          </w:tcPr>
          <w:p w14:paraId="084A1BCA">
            <w:pPr>
              <w:spacing w:line="360" w:lineRule="auto"/>
              <w:jc w:val="center"/>
              <w:rPr>
                <w:rFonts w:hint="eastAsia" w:ascii="宋体" w:hAnsi="宋体" w:eastAsia="宋体" w:cs="宋体"/>
                <w:sz w:val="24"/>
              </w:rPr>
            </w:pPr>
            <w:r>
              <w:rPr>
                <w:rFonts w:hint="eastAsia" w:ascii="宋体" w:hAnsi="宋体" w:eastAsia="宋体" w:cs="宋体"/>
                <w:sz w:val="24"/>
              </w:rPr>
              <w:t>1</w:t>
            </w:r>
          </w:p>
        </w:tc>
        <w:tc>
          <w:tcPr>
            <w:tcW w:w="1116" w:type="dxa"/>
            <w:noWrap w:val="0"/>
            <w:tcMar>
              <w:top w:w="15" w:type="dxa"/>
              <w:left w:w="15" w:type="dxa"/>
              <w:bottom w:w="0" w:type="dxa"/>
              <w:right w:w="15" w:type="dxa"/>
            </w:tcMar>
            <w:vAlign w:val="center"/>
          </w:tcPr>
          <w:p w14:paraId="2C8C6492">
            <w:pPr>
              <w:spacing w:line="360" w:lineRule="auto"/>
              <w:jc w:val="center"/>
              <w:rPr>
                <w:rFonts w:hint="eastAsia" w:ascii="宋体" w:hAnsi="宋体" w:eastAsia="宋体" w:cs="宋体"/>
                <w:sz w:val="24"/>
              </w:rPr>
            </w:pPr>
            <w:r>
              <w:rPr>
                <w:rFonts w:hint="eastAsia" w:ascii="宋体" w:hAnsi="宋体" w:eastAsia="宋体" w:cs="宋体"/>
                <w:sz w:val="24"/>
              </w:rPr>
              <w:t>UPS1维保</w:t>
            </w:r>
          </w:p>
        </w:tc>
        <w:tc>
          <w:tcPr>
            <w:tcW w:w="797" w:type="dxa"/>
            <w:noWrap w:val="0"/>
            <w:tcMar>
              <w:top w:w="15" w:type="dxa"/>
              <w:left w:w="15" w:type="dxa"/>
              <w:bottom w:w="0" w:type="dxa"/>
              <w:right w:w="15" w:type="dxa"/>
            </w:tcMar>
            <w:vAlign w:val="center"/>
          </w:tcPr>
          <w:p w14:paraId="2FE2E2C4">
            <w:pPr>
              <w:spacing w:line="360" w:lineRule="auto"/>
              <w:jc w:val="center"/>
              <w:rPr>
                <w:rFonts w:hint="eastAsia" w:ascii="宋体" w:hAnsi="宋体" w:eastAsia="宋体" w:cs="宋体"/>
                <w:sz w:val="24"/>
              </w:rPr>
            </w:pPr>
            <w:r>
              <w:rPr>
                <w:rFonts w:hint="eastAsia" w:ascii="宋体" w:hAnsi="宋体" w:eastAsia="宋体" w:cs="宋体"/>
                <w:sz w:val="24"/>
              </w:rPr>
              <w:t>1台</w:t>
            </w:r>
          </w:p>
        </w:tc>
        <w:tc>
          <w:tcPr>
            <w:tcW w:w="4997" w:type="dxa"/>
            <w:noWrap w:val="0"/>
            <w:tcMar>
              <w:top w:w="15" w:type="dxa"/>
              <w:left w:w="15" w:type="dxa"/>
              <w:bottom w:w="0" w:type="dxa"/>
              <w:right w:w="15" w:type="dxa"/>
            </w:tcMar>
            <w:vAlign w:val="center"/>
          </w:tcPr>
          <w:p w14:paraId="700BB9D2">
            <w:pPr>
              <w:spacing w:line="360" w:lineRule="auto"/>
              <w:rPr>
                <w:rFonts w:hint="eastAsia" w:ascii="宋体" w:hAnsi="宋体" w:eastAsia="宋体" w:cs="宋体"/>
                <w:sz w:val="24"/>
              </w:rPr>
            </w:pPr>
            <w:r>
              <w:rPr>
                <w:rFonts w:hint="eastAsia" w:ascii="宋体" w:hAnsi="宋体" w:eastAsia="宋体" w:cs="宋体"/>
                <w:sz w:val="24"/>
              </w:rPr>
              <w:t>设备型号数量： Symmetra LX 16KVA一套</w:t>
            </w:r>
          </w:p>
          <w:p w14:paraId="3819DEE3">
            <w:pPr>
              <w:spacing w:line="360" w:lineRule="auto"/>
              <w:rPr>
                <w:rFonts w:hint="eastAsia" w:ascii="宋体" w:hAnsi="宋体" w:eastAsia="宋体" w:cs="宋体"/>
                <w:sz w:val="24"/>
              </w:rPr>
            </w:pPr>
            <w:r>
              <w:rPr>
                <w:rFonts w:hint="eastAsia" w:ascii="宋体" w:hAnsi="宋体" w:eastAsia="宋体" w:cs="宋体"/>
                <w:sz w:val="24"/>
              </w:rPr>
              <w:t>1、提供原厂商5x8小时现场响应服务。</w:t>
            </w:r>
          </w:p>
          <w:p w14:paraId="01FA720A">
            <w:pPr>
              <w:spacing w:line="360" w:lineRule="auto"/>
              <w:rPr>
                <w:rFonts w:hint="eastAsia" w:ascii="宋体" w:hAnsi="宋体" w:eastAsia="宋体" w:cs="宋体"/>
                <w:sz w:val="24"/>
              </w:rPr>
            </w:pPr>
            <w:r>
              <w:rPr>
                <w:rFonts w:hint="eastAsia" w:ascii="宋体" w:hAnsi="宋体" w:eastAsia="宋体" w:cs="宋体"/>
                <w:sz w:val="24"/>
              </w:rPr>
              <w:t>2、提供原厂商7x24电话技术支持服务。</w:t>
            </w:r>
          </w:p>
          <w:p w14:paraId="183CA6EF">
            <w:pPr>
              <w:spacing w:line="360" w:lineRule="auto"/>
              <w:rPr>
                <w:rFonts w:hint="eastAsia" w:ascii="宋体" w:hAnsi="宋体" w:eastAsia="宋体" w:cs="宋体"/>
                <w:sz w:val="24"/>
              </w:rPr>
            </w:pPr>
            <w:r>
              <w:rPr>
                <w:rFonts w:hint="eastAsia" w:ascii="宋体" w:hAnsi="宋体" w:eastAsia="宋体" w:cs="宋体"/>
                <w:sz w:val="24"/>
              </w:rPr>
              <w:t>3、提供原厂商维保年度内1次定期巡检服务。</w:t>
            </w:r>
          </w:p>
          <w:p w14:paraId="6ABF360D">
            <w:pPr>
              <w:spacing w:line="360" w:lineRule="auto"/>
              <w:rPr>
                <w:rFonts w:hint="eastAsia" w:ascii="宋体" w:hAnsi="宋体" w:eastAsia="宋体" w:cs="宋体"/>
                <w:sz w:val="24"/>
              </w:rPr>
            </w:pPr>
            <w:r>
              <w:rPr>
                <w:rFonts w:hint="eastAsia" w:ascii="宋体" w:hAnsi="宋体" w:eastAsia="宋体" w:cs="宋体"/>
                <w:sz w:val="24"/>
              </w:rPr>
              <w:t>★4、合同期内，设备更换备件（电池除外）以及其他一切费用均包含在合同金额内。</w:t>
            </w:r>
          </w:p>
          <w:p w14:paraId="3EAB0957">
            <w:pPr>
              <w:spacing w:line="360" w:lineRule="auto"/>
              <w:rPr>
                <w:rFonts w:hint="eastAsia" w:ascii="宋体" w:hAnsi="宋体" w:eastAsia="宋体" w:cs="宋体"/>
                <w:sz w:val="24"/>
              </w:rPr>
            </w:pPr>
            <w:r>
              <w:rPr>
                <w:rFonts w:hint="eastAsia" w:ascii="宋体" w:hAnsi="宋体" w:eastAsia="宋体" w:cs="宋体"/>
                <w:sz w:val="24"/>
              </w:rPr>
              <w:t>★5、若供应商提供的模块化 UPS 核心部件维保服务工作验收不合格或维保服务质量采购人不予认可，须由供应商邀请原厂工程师就验收不合格部分(或维保服务质量采购人不认可部分)提供维保服务，所有费用由供应商自行承担(模块化 UPS 核心部件包括:控制模块、功率模块、 静态开关模块、电源模块)。</w:t>
            </w:r>
          </w:p>
          <w:p w14:paraId="04101299">
            <w:pPr>
              <w:spacing w:line="360" w:lineRule="auto"/>
              <w:rPr>
                <w:rFonts w:hint="eastAsia" w:ascii="宋体" w:hAnsi="宋体" w:eastAsia="宋体" w:cs="宋体"/>
                <w:sz w:val="24"/>
              </w:rPr>
            </w:pPr>
            <w:r>
              <w:rPr>
                <w:rFonts w:hint="eastAsia" w:ascii="宋体" w:hAnsi="宋体" w:eastAsia="宋体" w:cs="宋体"/>
                <w:sz w:val="24"/>
              </w:rPr>
              <w:t>★6、合同签订后一周可通过设备官网或者官方热线查询设备的维保信息。</w:t>
            </w:r>
          </w:p>
        </w:tc>
        <w:tc>
          <w:tcPr>
            <w:tcW w:w="956" w:type="dxa"/>
            <w:noWrap w:val="0"/>
            <w:vAlign w:val="center"/>
          </w:tcPr>
          <w:p w14:paraId="4EF17891">
            <w:pPr>
              <w:spacing w:line="360" w:lineRule="auto"/>
              <w:jc w:val="center"/>
              <w:rPr>
                <w:rFonts w:hint="eastAsia" w:ascii="宋体" w:hAnsi="宋体" w:eastAsia="宋体" w:cs="宋体"/>
                <w:sz w:val="24"/>
              </w:rPr>
            </w:pPr>
            <w:r>
              <w:rPr>
                <w:rFonts w:hint="eastAsia" w:ascii="宋体" w:hAnsi="宋体" w:eastAsia="宋体" w:cs="宋体"/>
                <w:sz w:val="24"/>
              </w:rPr>
              <w:t>1年</w:t>
            </w:r>
          </w:p>
        </w:tc>
      </w:tr>
      <w:tr w14:paraId="41159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2" w:hRule="atLeast"/>
          <w:jc w:val="center"/>
        </w:trPr>
        <w:tc>
          <w:tcPr>
            <w:tcW w:w="709" w:type="dxa"/>
            <w:noWrap w:val="0"/>
            <w:tcMar>
              <w:top w:w="15" w:type="dxa"/>
              <w:left w:w="15" w:type="dxa"/>
              <w:bottom w:w="0" w:type="dxa"/>
              <w:right w:w="15" w:type="dxa"/>
            </w:tcMar>
            <w:vAlign w:val="center"/>
          </w:tcPr>
          <w:p w14:paraId="018FD54D">
            <w:pPr>
              <w:spacing w:line="360" w:lineRule="auto"/>
              <w:jc w:val="center"/>
              <w:rPr>
                <w:rFonts w:hint="eastAsia" w:ascii="宋体" w:hAnsi="宋体" w:eastAsia="宋体" w:cs="宋体"/>
                <w:sz w:val="24"/>
              </w:rPr>
            </w:pPr>
            <w:r>
              <w:rPr>
                <w:rFonts w:hint="eastAsia" w:ascii="宋体" w:hAnsi="宋体" w:eastAsia="宋体" w:cs="宋体"/>
                <w:sz w:val="24"/>
              </w:rPr>
              <w:t>2</w:t>
            </w:r>
          </w:p>
        </w:tc>
        <w:tc>
          <w:tcPr>
            <w:tcW w:w="1116" w:type="dxa"/>
            <w:noWrap w:val="0"/>
            <w:tcMar>
              <w:top w:w="15" w:type="dxa"/>
              <w:left w:w="15" w:type="dxa"/>
              <w:bottom w:w="0" w:type="dxa"/>
              <w:right w:w="15" w:type="dxa"/>
            </w:tcMar>
            <w:vAlign w:val="center"/>
          </w:tcPr>
          <w:p w14:paraId="1D6E6AD2">
            <w:pPr>
              <w:spacing w:line="360" w:lineRule="auto"/>
              <w:jc w:val="center"/>
              <w:rPr>
                <w:rFonts w:hint="eastAsia" w:ascii="宋体" w:hAnsi="宋体" w:eastAsia="宋体" w:cs="宋体"/>
                <w:sz w:val="24"/>
              </w:rPr>
            </w:pPr>
            <w:r>
              <w:rPr>
                <w:rFonts w:hint="eastAsia" w:ascii="宋体" w:hAnsi="宋体" w:eastAsia="宋体" w:cs="宋体"/>
                <w:sz w:val="24"/>
              </w:rPr>
              <w:t>UPS2维保</w:t>
            </w:r>
          </w:p>
        </w:tc>
        <w:tc>
          <w:tcPr>
            <w:tcW w:w="797" w:type="dxa"/>
            <w:noWrap w:val="0"/>
            <w:tcMar>
              <w:top w:w="15" w:type="dxa"/>
              <w:left w:w="15" w:type="dxa"/>
              <w:bottom w:w="0" w:type="dxa"/>
              <w:right w:w="15" w:type="dxa"/>
            </w:tcMar>
            <w:vAlign w:val="center"/>
          </w:tcPr>
          <w:p w14:paraId="3CC4FB20">
            <w:pPr>
              <w:spacing w:line="360" w:lineRule="auto"/>
              <w:jc w:val="center"/>
              <w:rPr>
                <w:rFonts w:hint="eastAsia" w:ascii="宋体" w:hAnsi="宋体" w:eastAsia="宋体" w:cs="宋体"/>
                <w:sz w:val="24"/>
              </w:rPr>
            </w:pPr>
            <w:r>
              <w:rPr>
                <w:rFonts w:hint="eastAsia" w:ascii="宋体" w:hAnsi="宋体" w:eastAsia="宋体" w:cs="宋体"/>
                <w:sz w:val="24"/>
              </w:rPr>
              <w:t>1台</w:t>
            </w:r>
          </w:p>
        </w:tc>
        <w:tc>
          <w:tcPr>
            <w:tcW w:w="4997" w:type="dxa"/>
            <w:noWrap w:val="0"/>
            <w:tcMar>
              <w:top w:w="15" w:type="dxa"/>
              <w:left w:w="15" w:type="dxa"/>
              <w:bottom w:w="0" w:type="dxa"/>
              <w:right w:w="15" w:type="dxa"/>
            </w:tcMar>
            <w:vAlign w:val="center"/>
          </w:tcPr>
          <w:p w14:paraId="23542D37">
            <w:pPr>
              <w:spacing w:line="360" w:lineRule="auto"/>
              <w:rPr>
                <w:rFonts w:hint="eastAsia" w:ascii="宋体" w:hAnsi="宋体" w:eastAsia="宋体" w:cs="宋体"/>
                <w:sz w:val="24"/>
              </w:rPr>
            </w:pPr>
            <w:r>
              <w:rPr>
                <w:rFonts w:hint="eastAsia" w:ascii="宋体" w:hAnsi="宋体" w:eastAsia="宋体" w:cs="宋体"/>
                <w:sz w:val="24"/>
              </w:rPr>
              <w:t>设备型号数量：Symmetra PX 160KVA  UPS一套</w:t>
            </w:r>
          </w:p>
          <w:p w14:paraId="1DD13F05">
            <w:pPr>
              <w:spacing w:line="360" w:lineRule="auto"/>
              <w:rPr>
                <w:rFonts w:hint="eastAsia" w:ascii="宋体" w:hAnsi="宋体" w:eastAsia="宋体" w:cs="宋体"/>
                <w:sz w:val="24"/>
              </w:rPr>
            </w:pPr>
            <w:r>
              <w:rPr>
                <w:rFonts w:hint="eastAsia" w:ascii="宋体" w:hAnsi="宋体" w:eastAsia="宋体" w:cs="宋体"/>
                <w:sz w:val="24"/>
              </w:rPr>
              <w:t>1、提供原厂商5x8小时现场响应服务。</w:t>
            </w:r>
          </w:p>
          <w:p w14:paraId="2E78D7AB">
            <w:pPr>
              <w:spacing w:line="360" w:lineRule="auto"/>
              <w:rPr>
                <w:rFonts w:hint="eastAsia" w:ascii="宋体" w:hAnsi="宋体" w:eastAsia="宋体" w:cs="宋体"/>
                <w:sz w:val="24"/>
              </w:rPr>
            </w:pPr>
            <w:r>
              <w:rPr>
                <w:rFonts w:hint="eastAsia" w:ascii="宋体" w:hAnsi="宋体" w:eastAsia="宋体" w:cs="宋体"/>
                <w:sz w:val="24"/>
              </w:rPr>
              <w:t>2、提供原厂商7x24电话技术支持服务。</w:t>
            </w:r>
          </w:p>
          <w:p w14:paraId="3FED73E2">
            <w:pPr>
              <w:spacing w:line="360" w:lineRule="auto"/>
              <w:rPr>
                <w:rFonts w:hint="eastAsia" w:ascii="宋体" w:hAnsi="宋体" w:eastAsia="宋体" w:cs="宋体"/>
                <w:sz w:val="24"/>
              </w:rPr>
            </w:pPr>
            <w:r>
              <w:rPr>
                <w:rFonts w:hint="eastAsia" w:ascii="宋体" w:hAnsi="宋体" w:eastAsia="宋体" w:cs="宋体"/>
                <w:sz w:val="24"/>
              </w:rPr>
              <w:t>3、提供原厂商维保年度内1次定期巡检服务。</w:t>
            </w:r>
          </w:p>
          <w:p w14:paraId="37F21751">
            <w:pPr>
              <w:spacing w:line="360" w:lineRule="auto"/>
              <w:rPr>
                <w:rFonts w:hint="eastAsia" w:ascii="宋体" w:hAnsi="宋体" w:eastAsia="宋体" w:cs="宋体"/>
                <w:sz w:val="24"/>
              </w:rPr>
            </w:pPr>
            <w:r>
              <w:rPr>
                <w:rFonts w:hint="eastAsia" w:ascii="宋体" w:hAnsi="宋体" w:eastAsia="宋体" w:cs="宋体"/>
                <w:sz w:val="24"/>
              </w:rPr>
              <w:t>★4、合同期内，设备更换备件（电池除外）以及其他一切费用均包含在合同金额内。</w:t>
            </w:r>
          </w:p>
          <w:p w14:paraId="1663C27A">
            <w:pPr>
              <w:spacing w:line="360" w:lineRule="auto"/>
              <w:rPr>
                <w:rFonts w:hint="eastAsia" w:ascii="宋体" w:hAnsi="宋体" w:eastAsia="宋体" w:cs="宋体"/>
                <w:sz w:val="24"/>
              </w:rPr>
            </w:pPr>
            <w:r>
              <w:rPr>
                <w:rFonts w:hint="eastAsia" w:ascii="宋体" w:hAnsi="宋体" w:eastAsia="宋体" w:cs="宋体"/>
                <w:sz w:val="24"/>
              </w:rPr>
              <w:t>★5、若供应商提供的模块化 UPS 核心部件维保服务工作验收不合格或维保服务质量采购人不予认可，须由供应商邀请原厂工程师就验收不合格部分(或维保服务质量采购人不认可部分)提供维保服务，所有费用由供应商自行承担(模块化 UPS 核心部件包括:控制模块、功率模块、 静态开关模块、电源模块)。</w:t>
            </w:r>
          </w:p>
          <w:p w14:paraId="6956D244">
            <w:pPr>
              <w:spacing w:line="360" w:lineRule="auto"/>
              <w:rPr>
                <w:rFonts w:hint="eastAsia" w:ascii="宋体" w:hAnsi="宋体" w:eastAsia="宋体" w:cs="宋体"/>
                <w:sz w:val="24"/>
              </w:rPr>
            </w:pPr>
            <w:r>
              <w:rPr>
                <w:rFonts w:hint="eastAsia" w:ascii="宋体" w:hAnsi="宋体" w:eastAsia="宋体" w:cs="宋体"/>
                <w:sz w:val="24"/>
              </w:rPr>
              <w:t>★6、合同签订一周后，提供UPS固件软件升级服务，现场作业工程师须提供员工证，确定为原厂工程师身份后实施升级服务工作。</w:t>
            </w:r>
          </w:p>
          <w:p w14:paraId="635CFDB6">
            <w:pPr>
              <w:spacing w:line="360" w:lineRule="auto"/>
              <w:rPr>
                <w:rFonts w:hint="eastAsia" w:ascii="宋体" w:hAnsi="宋体" w:eastAsia="宋体" w:cs="宋体"/>
                <w:sz w:val="24"/>
              </w:rPr>
            </w:pPr>
            <w:r>
              <w:rPr>
                <w:rFonts w:hint="eastAsia" w:ascii="宋体" w:hAnsi="宋体" w:eastAsia="宋体" w:cs="宋体"/>
                <w:sz w:val="24"/>
              </w:rPr>
              <w:t>★7、合同签订后一周可通过设备官网或者官方热线查询设备的维保信息。</w:t>
            </w:r>
          </w:p>
        </w:tc>
        <w:tc>
          <w:tcPr>
            <w:tcW w:w="956" w:type="dxa"/>
            <w:noWrap w:val="0"/>
            <w:vAlign w:val="center"/>
          </w:tcPr>
          <w:p w14:paraId="55151AB9">
            <w:pPr>
              <w:spacing w:line="360" w:lineRule="auto"/>
              <w:jc w:val="center"/>
              <w:rPr>
                <w:rFonts w:hint="eastAsia" w:ascii="宋体" w:hAnsi="宋体" w:eastAsia="宋体" w:cs="宋体"/>
                <w:sz w:val="24"/>
              </w:rPr>
            </w:pPr>
            <w:r>
              <w:rPr>
                <w:rFonts w:hint="eastAsia" w:ascii="宋体" w:hAnsi="宋体" w:eastAsia="宋体" w:cs="宋体"/>
                <w:sz w:val="24"/>
              </w:rPr>
              <w:t>1年</w:t>
            </w:r>
          </w:p>
        </w:tc>
      </w:tr>
      <w:tr w14:paraId="51D5F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2" w:hRule="atLeast"/>
          <w:jc w:val="center"/>
        </w:trPr>
        <w:tc>
          <w:tcPr>
            <w:tcW w:w="709" w:type="dxa"/>
            <w:noWrap w:val="0"/>
            <w:tcMar>
              <w:top w:w="15" w:type="dxa"/>
              <w:left w:w="15" w:type="dxa"/>
              <w:bottom w:w="0" w:type="dxa"/>
              <w:right w:w="15" w:type="dxa"/>
            </w:tcMar>
            <w:vAlign w:val="center"/>
          </w:tcPr>
          <w:p w14:paraId="7FB4A750">
            <w:pPr>
              <w:spacing w:line="360" w:lineRule="auto"/>
              <w:jc w:val="center"/>
              <w:rPr>
                <w:rFonts w:hint="eastAsia" w:ascii="宋体" w:hAnsi="宋体" w:eastAsia="宋体" w:cs="宋体"/>
                <w:sz w:val="24"/>
              </w:rPr>
            </w:pPr>
            <w:r>
              <w:rPr>
                <w:rFonts w:hint="eastAsia" w:ascii="宋体" w:hAnsi="宋体" w:eastAsia="宋体" w:cs="宋体"/>
                <w:sz w:val="24"/>
              </w:rPr>
              <w:t>3</w:t>
            </w:r>
          </w:p>
        </w:tc>
        <w:tc>
          <w:tcPr>
            <w:tcW w:w="1116" w:type="dxa"/>
            <w:noWrap w:val="0"/>
            <w:tcMar>
              <w:top w:w="15" w:type="dxa"/>
              <w:left w:w="15" w:type="dxa"/>
              <w:bottom w:w="0" w:type="dxa"/>
              <w:right w:w="15" w:type="dxa"/>
            </w:tcMar>
            <w:vAlign w:val="center"/>
          </w:tcPr>
          <w:p w14:paraId="4B623594">
            <w:pPr>
              <w:spacing w:line="360" w:lineRule="auto"/>
              <w:jc w:val="center"/>
              <w:rPr>
                <w:rFonts w:hint="eastAsia" w:ascii="宋体" w:hAnsi="宋体" w:eastAsia="宋体" w:cs="宋体"/>
                <w:sz w:val="24"/>
              </w:rPr>
            </w:pPr>
            <w:r>
              <w:rPr>
                <w:rFonts w:hint="eastAsia" w:ascii="宋体" w:hAnsi="宋体" w:eastAsia="宋体" w:cs="宋体"/>
                <w:sz w:val="24"/>
              </w:rPr>
              <w:t>UPS3维保</w:t>
            </w:r>
          </w:p>
        </w:tc>
        <w:tc>
          <w:tcPr>
            <w:tcW w:w="797" w:type="dxa"/>
            <w:noWrap w:val="0"/>
            <w:tcMar>
              <w:top w:w="15" w:type="dxa"/>
              <w:left w:w="15" w:type="dxa"/>
              <w:bottom w:w="0" w:type="dxa"/>
              <w:right w:w="15" w:type="dxa"/>
            </w:tcMar>
            <w:vAlign w:val="center"/>
          </w:tcPr>
          <w:p w14:paraId="0153199D">
            <w:pPr>
              <w:spacing w:line="360" w:lineRule="auto"/>
              <w:jc w:val="center"/>
              <w:rPr>
                <w:rFonts w:hint="eastAsia" w:ascii="宋体" w:hAnsi="宋体" w:eastAsia="宋体" w:cs="宋体"/>
                <w:sz w:val="24"/>
              </w:rPr>
            </w:pPr>
            <w:r>
              <w:rPr>
                <w:rFonts w:hint="eastAsia" w:ascii="宋体" w:hAnsi="宋体" w:eastAsia="宋体" w:cs="宋体"/>
                <w:sz w:val="24"/>
              </w:rPr>
              <w:t>1台</w:t>
            </w:r>
          </w:p>
        </w:tc>
        <w:tc>
          <w:tcPr>
            <w:tcW w:w="4997" w:type="dxa"/>
            <w:noWrap w:val="0"/>
            <w:tcMar>
              <w:top w:w="15" w:type="dxa"/>
              <w:left w:w="15" w:type="dxa"/>
              <w:bottom w:w="0" w:type="dxa"/>
              <w:right w:w="15" w:type="dxa"/>
            </w:tcMar>
            <w:vAlign w:val="center"/>
          </w:tcPr>
          <w:p w14:paraId="2777305C">
            <w:pPr>
              <w:spacing w:line="360" w:lineRule="auto"/>
              <w:rPr>
                <w:rFonts w:hint="eastAsia" w:ascii="宋体" w:hAnsi="宋体" w:eastAsia="宋体" w:cs="宋体"/>
                <w:sz w:val="24"/>
              </w:rPr>
            </w:pPr>
            <w:r>
              <w:rPr>
                <w:rFonts w:hint="eastAsia" w:ascii="宋体" w:hAnsi="宋体" w:eastAsia="宋体" w:cs="宋体"/>
                <w:sz w:val="24"/>
              </w:rPr>
              <w:t>设备型号数量：Easy 40KVA UPS一套</w:t>
            </w:r>
          </w:p>
          <w:p w14:paraId="222FD6EB">
            <w:pPr>
              <w:spacing w:line="360" w:lineRule="auto"/>
              <w:rPr>
                <w:rFonts w:hint="eastAsia" w:ascii="宋体" w:hAnsi="宋体" w:eastAsia="宋体" w:cs="宋体"/>
                <w:sz w:val="24"/>
              </w:rPr>
            </w:pPr>
            <w:r>
              <w:rPr>
                <w:rFonts w:hint="eastAsia" w:ascii="宋体" w:hAnsi="宋体" w:eastAsia="宋体" w:cs="宋体"/>
                <w:sz w:val="24"/>
              </w:rPr>
              <w:t>1、提供原厂商5x8小时现场响应服务。</w:t>
            </w:r>
          </w:p>
          <w:p w14:paraId="40C80066">
            <w:pPr>
              <w:spacing w:line="360" w:lineRule="auto"/>
              <w:rPr>
                <w:rFonts w:hint="eastAsia" w:ascii="宋体" w:hAnsi="宋体" w:eastAsia="宋体" w:cs="宋体"/>
                <w:sz w:val="24"/>
              </w:rPr>
            </w:pPr>
            <w:r>
              <w:rPr>
                <w:rFonts w:hint="eastAsia" w:ascii="宋体" w:hAnsi="宋体" w:eastAsia="宋体" w:cs="宋体"/>
                <w:sz w:val="24"/>
              </w:rPr>
              <w:t>2、提供原厂商7x24电话技术支持服务。</w:t>
            </w:r>
          </w:p>
          <w:p w14:paraId="3FEDB83C">
            <w:pPr>
              <w:spacing w:line="360" w:lineRule="auto"/>
              <w:rPr>
                <w:rFonts w:hint="eastAsia" w:ascii="宋体" w:hAnsi="宋体" w:eastAsia="宋体" w:cs="宋体"/>
                <w:sz w:val="24"/>
              </w:rPr>
            </w:pPr>
            <w:r>
              <w:rPr>
                <w:rFonts w:hint="eastAsia" w:ascii="宋体" w:hAnsi="宋体" w:eastAsia="宋体" w:cs="宋体"/>
                <w:sz w:val="24"/>
              </w:rPr>
              <w:t>3、提供原厂商维保年度内1次定期巡检服务。</w:t>
            </w:r>
          </w:p>
          <w:p w14:paraId="0AD35B8D">
            <w:pPr>
              <w:spacing w:line="360" w:lineRule="auto"/>
              <w:rPr>
                <w:rFonts w:hint="eastAsia" w:ascii="宋体" w:hAnsi="宋体" w:eastAsia="宋体" w:cs="宋体"/>
                <w:sz w:val="24"/>
              </w:rPr>
            </w:pPr>
            <w:r>
              <w:rPr>
                <w:rFonts w:hint="eastAsia" w:ascii="宋体" w:hAnsi="宋体" w:eastAsia="宋体" w:cs="宋体"/>
                <w:sz w:val="24"/>
              </w:rPr>
              <w:t>★4、合同期内，设备更换备件（电池除外）以及其他一切费用均包含在合同金额内。</w:t>
            </w:r>
          </w:p>
          <w:p w14:paraId="5E7E56E8">
            <w:pPr>
              <w:spacing w:line="360" w:lineRule="auto"/>
              <w:rPr>
                <w:rFonts w:hint="eastAsia" w:ascii="宋体" w:hAnsi="宋体" w:eastAsia="宋体" w:cs="宋体"/>
                <w:sz w:val="24"/>
              </w:rPr>
            </w:pPr>
            <w:r>
              <w:rPr>
                <w:rFonts w:hint="eastAsia" w:ascii="宋体" w:hAnsi="宋体" w:eastAsia="宋体" w:cs="宋体"/>
                <w:sz w:val="24"/>
              </w:rPr>
              <w:t>★5、若供应商提供的 UPS 核心部件维保服务工作验收不合格或维保服务质量采购人不予认可，须由供应商邀请原厂工程师就验收不合格部分(或维保服务质量采购人不认可部分)提供维保服务，所有费用由供应商自行承担( UPS 核心部件包括:整流模块、逆变模块、 静态开关模块、电源模块、充电器)。</w:t>
            </w:r>
          </w:p>
          <w:p w14:paraId="77F0B3BC">
            <w:pPr>
              <w:spacing w:line="360" w:lineRule="auto"/>
              <w:rPr>
                <w:rFonts w:hint="eastAsia" w:ascii="宋体" w:hAnsi="宋体" w:eastAsia="宋体" w:cs="宋体"/>
                <w:sz w:val="24"/>
              </w:rPr>
            </w:pPr>
            <w:r>
              <w:rPr>
                <w:rFonts w:hint="eastAsia" w:ascii="宋体" w:hAnsi="宋体" w:eastAsia="宋体" w:cs="宋体"/>
                <w:sz w:val="24"/>
              </w:rPr>
              <w:t>★6、合同签订一周后，提供UPS固件软件升级服务，现场作业工程师须提供员工证，确定为原厂工程师身份后实施升级服务工作。</w:t>
            </w:r>
          </w:p>
          <w:p w14:paraId="69092221">
            <w:pPr>
              <w:spacing w:line="360" w:lineRule="auto"/>
              <w:rPr>
                <w:rFonts w:hint="eastAsia" w:ascii="宋体" w:hAnsi="宋体" w:eastAsia="宋体" w:cs="宋体"/>
                <w:sz w:val="24"/>
              </w:rPr>
            </w:pPr>
            <w:r>
              <w:rPr>
                <w:rFonts w:hint="eastAsia" w:ascii="宋体" w:hAnsi="宋体" w:eastAsia="宋体" w:cs="宋体"/>
                <w:sz w:val="24"/>
              </w:rPr>
              <w:t>★7、合同签订后一周可通过设备官网或者官方热线查询设备的维保信息。</w:t>
            </w:r>
          </w:p>
        </w:tc>
        <w:tc>
          <w:tcPr>
            <w:tcW w:w="956" w:type="dxa"/>
            <w:noWrap w:val="0"/>
            <w:vAlign w:val="center"/>
          </w:tcPr>
          <w:p w14:paraId="55D8486D">
            <w:pPr>
              <w:spacing w:line="360" w:lineRule="auto"/>
              <w:jc w:val="center"/>
              <w:rPr>
                <w:rFonts w:hint="eastAsia" w:ascii="宋体" w:hAnsi="宋体" w:eastAsia="宋体" w:cs="宋体"/>
                <w:sz w:val="24"/>
              </w:rPr>
            </w:pPr>
            <w:r>
              <w:rPr>
                <w:rFonts w:hint="eastAsia" w:ascii="宋体" w:hAnsi="宋体" w:eastAsia="宋体" w:cs="宋体"/>
                <w:sz w:val="24"/>
              </w:rPr>
              <w:t>1年</w:t>
            </w:r>
          </w:p>
        </w:tc>
      </w:tr>
    </w:tbl>
    <w:p w14:paraId="6A992359">
      <w:pPr>
        <w:wordWrap w:val="0"/>
        <w:spacing w:line="360" w:lineRule="auto"/>
        <w:ind w:firstLine="437"/>
        <w:rPr>
          <w:rFonts w:hint="eastAsia" w:ascii="宋体" w:hAnsi="宋体" w:eastAsia="宋体"/>
          <w:b/>
          <w:sz w:val="28"/>
          <w:szCs w:val="28"/>
        </w:rPr>
      </w:pPr>
      <w:r>
        <w:rPr>
          <w:rFonts w:hint="eastAsia" w:ascii="宋体" w:hAnsi="宋体" w:eastAsia="宋体"/>
          <w:b/>
          <w:sz w:val="28"/>
          <w:szCs w:val="28"/>
        </w:rPr>
        <w:t>四、其他要求</w:t>
      </w:r>
    </w:p>
    <w:p w14:paraId="2A979BF8">
      <w:pPr>
        <w:wordWrap w:val="0"/>
        <w:spacing w:line="360" w:lineRule="auto"/>
        <w:ind w:firstLine="437"/>
        <w:rPr>
          <w:rFonts w:hint="eastAsia" w:ascii="宋体" w:hAnsi="宋体" w:eastAsia="宋体"/>
          <w:sz w:val="24"/>
        </w:rPr>
      </w:pPr>
      <w:r>
        <w:rPr>
          <w:rFonts w:hint="eastAsia" w:ascii="宋体" w:hAnsi="宋体" w:eastAsia="宋体"/>
          <w:b/>
          <w:bCs/>
          <w:color w:val="FF0000"/>
          <w:sz w:val="24"/>
        </w:rPr>
        <w:t>本项目服务范围及内容清单中设备需要提供设备生产厂商（施耐德电气信息技术服务（中国）有限公司）的运维检测服务，针对前述内容供应商须在响应文件中提供相应承诺（承诺函格式自拟），否则响应无效。</w:t>
      </w:r>
      <w:r>
        <w:rPr>
          <w:rFonts w:hint="eastAsia" w:ascii="宋体" w:hAnsi="宋体" w:eastAsia="宋体"/>
          <w:b/>
          <w:bCs/>
          <w:sz w:val="24"/>
        </w:rPr>
        <w:t>合同签订后七个日历日内，服务实施前，供应商需要向采购人提交购买原厂运维检测服务的相关证明材料。</w:t>
      </w:r>
      <w:r>
        <w:rPr>
          <w:rFonts w:hint="eastAsia" w:ascii="宋体" w:hAnsi="宋体" w:eastAsia="宋体"/>
          <w:sz w:val="24"/>
        </w:rPr>
        <w:t>若成交供应商虚假响应，后期不能实现采购需求中要求的原厂运维检测服务，采购人有权单方面解除合同，同时将上报政府采购监督管理部门从严处理，由此造成的损失由成交供应商自行承担。</w:t>
      </w:r>
    </w:p>
    <w:p w14:paraId="3FE9A1D5">
      <w:pPr>
        <w:wordWrap w:val="0"/>
        <w:spacing w:line="360" w:lineRule="auto"/>
        <w:ind w:firstLine="437"/>
        <w:rPr>
          <w:rFonts w:hint="eastAsia" w:ascii="宋体" w:hAnsi="宋体" w:eastAsia="宋体"/>
          <w:b/>
          <w:sz w:val="28"/>
          <w:szCs w:val="28"/>
        </w:rPr>
      </w:pPr>
      <w:r>
        <w:rPr>
          <w:rFonts w:hint="eastAsia" w:ascii="宋体" w:hAnsi="宋体" w:eastAsia="宋体"/>
          <w:b/>
          <w:sz w:val="28"/>
          <w:szCs w:val="28"/>
        </w:rPr>
        <w:t>五、报价要求</w:t>
      </w:r>
    </w:p>
    <w:p w14:paraId="6B5EBA8F">
      <w:r>
        <w:rPr>
          <w:rFonts w:hint="eastAsia" w:ascii="宋体" w:hAnsi="宋体" w:eastAsia="宋体"/>
          <w:sz w:val="24"/>
        </w:rPr>
        <w:t>本包报价报总价，报价包含完成本项目所需的全部费用。报价不得超过本包预算。成交后采购人不再另行追加任何费用，供应商应自行考虑报价风险。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171BE4"/>
    <w:rsid w:val="20171B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2025-06-27T02:58:00Z</dcterms:created>
  <dc:creator>森</dc:creator>
  <cp:lastModifiedBy>森</cp:lastModifiedBy>
  <dcterms:modified xsi:type="dcterms:W3CDTF">2025-06-27T02:59:02Z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DFCD5C7002804B75AED0BAB1627071CF_11</vt:lpwstr>
  </property>
  <property fmtid="{D5CDD505-2E9C-101B-9397-08002B2CF9AE}" pid="4" name="KSOTemplateDocerSaveRecord">
    <vt:lpwstr>eyJoZGlkIjoiOTc3M2Y5NzIzMDFlZjAyY2Q4Njk5ODkyYjFjNzBiNTQiLCJ1c2VySWQiOiI0MzAwMTYzNzkifQ==</vt:lpwstr>
  </property>
</Properties>
</file>