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EE0D89">
      <w:pPr>
        <w:spacing w:line="360" w:lineRule="auto"/>
        <w:jc w:val="center"/>
        <w:outlineLvl w:val="0"/>
        <w:rPr>
          <w:rFonts w:hint="eastAsia" w:cs="宋体"/>
          <w:b/>
          <w:sz w:val="32"/>
          <w:szCs w:val="21"/>
          <w:lang w:val="en-US" w:eastAsia="zh-CN"/>
        </w:rPr>
      </w:pPr>
      <w:r>
        <w:rPr>
          <w:rFonts w:hint="eastAsia" w:cs="宋体"/>
          <w:b/>
          <w:sz w:val="32"/>
          <w:szCs w:val="21"/>
          <w:lang w:val="en-US" w:eastAsia="zh-CN"/>
        </w:rPr>
        <w:t>货物类政府采购项目采购需求表</w:t>
      </w:r>
    </w:p>
    <w:tbl>
      <w:tblPr>
        <w:tblStyle w:val="12"/>
        <w:tblW w:w="546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04"/>
        <w:gridCol w:w="7116"/>
      </w:tblGrid>
      <w:tr w14:paraId="5ACD2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182" w:type="pct"/>
            <w:noWrap w:val="0"/>
            <w:vAlign w:val="center"/>
          </w:tcPr>
          <w:p w14:paraId="4D20C2B5">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项目名称</w:t>
            </w:r>
          </w:p>
        </w:tc>
        <w:tc>
          <w:tcPr>
            <w:tcW w:w="3817" w:type="pct"/>
            <w:noWrap w:val="0"/>
            <w:vAlign w:val="center"/>
          </w:tcPr>
          <w:p w14:paraId="0A0767ED">
            <w:pPr>
              <w:keepNext w:val="0"/>
              <w:keepLines w:val="0"/>
              <w:pageBreakBefore w:val="0"/>
              <w:widowControl w:val="0"/>
              <w:kinsoku/>
              <w:wordWrap w:val="0"/>
              <w:overflowPunct/>
              <w:topLinePunct w:val="0"/>
              <w:autoSpaceDE w:val="0"/>
              <w:autoSpaceDN w:val="0"/>
              <w:bidi w:val="0"/>
              <w:adjustRightInd/>
              <w:snapToGrid/>
              <w:spacing w:line="360" w:lineRule="auto"/>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阜阳师范大学中长期贷款项目——2025年智慧督导巡课系统建设项目</w:t>
            </w:r>
          </w:p>
        </w:tc>
      </w:tr>
      <w:tr w14:paraId="084C9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182" w:type="pct"/>
            <w:noWrap w:val="0"/>
            <w:vAlign w:val="center"/>
          </w:tcPr>
          <w:p w14:paraId="5476652F">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项目预算</w:t>
            </w:r>
          </w:p>
        </w:tc>
        <w:tc>
          <w:tcPr>
            <w:tcW w:w="3817" w:type="pct"/>
            <w:noWrap w:val="0"/>
            <w:vAlign w:val="center"/>
          </w:tcPr>
          <w:p w14:paraId="5D374DBB">
            <w:pPr>
              <w:keepNext w:val="0"/>
              <w:keepLines w:val="0"/>
              <w:pageBreakBefore w:val="0"/>
              <w:widowControl w:val="0"/>
              <w:kinsoku/>
              <w:wordWrap w:val="0"/>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290万元</w:t>
            </w:r>
          </w:p>
        </w:tc>
      </w:tr>
      <w:tr w14:paraId="723A5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182" w:type="pct"/>
            <w:noWrap w:val="0"/>
            <w:vAlign w:val="center"/>
          </w:tcPr>
          <w:p w14:paraId="36DE62BD">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项目概况</w:t>
            </w:r>
          </w:p>
        </w:tc>
        <w:tc>
          <w:tcPr>
            <w:tcW w:w="3817" w:type="pct"/>
            <w:noWrap w:val="0"/>
            <w:vAlign w:val="center"/>
          </w:tcPr>
          <w:p w14:paraId="6EBFE768">
            <w:pPr>
              <w:keepNext w:val="0"/>
              <w:keepLines w:val="0"/>
              <w:pageBreakBefore w:val="0"/>
              <w:widowControl w:val="0"/>
              <w:kinsoku/>
              <w:wordWrap w:val="0"/>
              <w:overflowPunct/>
              <w:topLinePunct w:val="0"/>
              <w:autoSpaceDE w:val="0"/>
              <w:bidi w:val="0"/>
              <w:adjustRightInd/>
              <w:snapToGrid/>
              <w:spacing w:line="360" w:lineRule="auto"/>
              <w:jc w:val="left"/>
              <w:textAlignment w:val="auto"/>
              <w:rPr>
                <w:rFonts w:hint="eastAsia" w:ascii="宋体" w:hAnsi="宋体" w:eastAsia="宋体" w:cs="宋体"/>
                <w:sz w:val="24"/>
                <w:szCs w:val="24"/>
                <w:highlight w:val="none"/>
                <w:u w:val="single"/>
                <w:lang w:val="en-US" w:eastAsia="zh-CN"/>
              </w:rPr>
            </w:pPr>
            <w:r>
              <w:rPr>
                <w:rFonts w:hint="eastAsia" w:ascii="宋体" w:hAnsi="宋体" w:eastAsia="宋体" w:cs="宋体"/>
                <w:sz w:val="24"/>
                <w:szCs w:val="18"/>
                <w:u w:val="none"/>
              </w:rPr>
              <w:t>阜阳师范大学2025年智慧督导巡课系统建设，</w:t>
            </w:r>
            <w:r>
              <w:rPr>
                <w:rFonts w:hint="eastAsia" w:ascii="宋体" w:hAnsi="宋体" w:eastAsia="宋体" w:cs="宋体"/>
                <w:sz w:val="24"/>
                <w:u w:val="none"/>
              </w:rPr>
              <w:t>详见</w:t>
            </w:r>
            <w:r>
              <w:rPr>
                <w:rFonts w:hint="eastAsia" w:ascii="宋体" w:hAnsi="宋体" w:eastAsia="宋体" w:cs="宋体"/>
                <w:sz w:val="24"/>
                <w:u w:val="none"/>
                <w:lang w:eastAsia="zh-CN"/>
              </w:rPr>
              <w:t>采购需求。</w:t>
            </w:r>
          </w:p>
        </w:tc>
      </w:tr>
      <w:tr w14:paraId="45F0E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82" w:type="pct"/>
            <w:noWrap w:val="0"/>
            <w:vAlign w:val="center"/>
          </w:tcPr>
          <w:p w14:paraId="09EBF1DB">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采购方式</w:t>
            </w:r>
          </w:p>
        </w:tc>
        <w:tc>
          <w:tcPr>
            <w:tcW w:w="3817" w:type="pct"/>
            <w:noWrap w:val="0"/>
            <w:vAlign w:val="center"/>
          </w:tcPr>
          <w:p w14:paraId="5EE2507B">
            <w:pPr>
              <w:keepNext w:val="0"/>
              <w:keepLines w:val="0"/>
              <w:pageBreakBefore w:val="0"/>
              <w:widowControl w:val="0"/>
              <w:kinsoku/>
              <w:wordWrap w:val="0"/>
              <w:overflowPunct/>
              <w:topLinePunct w:val="0"/>
              <w:autoSpaceDE w:val="0"/>
              <w:autoSpaceDN w:val="0"/>
              <w:bidi w:val="0"/>
              <w:adjustRightInd/>
              <w:snapToGrid/>
              <w:spacing w:line="360" w:lineRule="auto"/>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公开招标</w:t>
            </w:r>
          </w:p>
        </w:tc>
      </w:tr>
      <w:tr w14:paraId="5CC3D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 w:hRule="atLeast"/>
          <w:jc w:val="center"/>
        </w:trPr>
        <w:tc>
          <w:tcPr>
            <w:tcW w:w="1182" w:type="pct"/>
            <w:noWrap w:val="0"/>
            <w:vAlign w:val="center"/>
          </w:tcPr>
          <w:p w14:paraId="7233641B">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本项目是否接受联合体投标</w:t>
            </w:r>
          </w:p>
        </w:tc>
        <w:tc>
          <w:tcPr>
            <w:tcW w:w="3817" w:type="pct"/>
            <w:noWrap w:val="0"/>
            <w:vAlign w:val="center"/>
          </w:tcPr>
          <w:p w14:paraId="462B232B">
            <w:pPr>
              <w:keepNext w:val="0"/>
              <w:keepLines w:val="0"/>
              <w:pageBreakBefore w:val="0"/>
              <w:widowControl w:val="0"/>
              <w:kinsoku/>
              <w:wordWrap w:val="0"/>
              <w:overflowPunct/>
              <w:topLinePunct w:val="0"/>
              <w:autoSpaceDE w:val="0"/>
              <w:autoSpaceDN w:val="0"/>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否</w:t>
            </w:r>
          </w:p>
        </w:tc>
      </w:tr>
      <w:tr w14:paraId="551B9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9" w:hRule="atLeast"/>
          <w:jc w:val="center"/>
        </w:trPr>
        <w:tc>
          <w:tcPr>
            <w:tcW w:w="1182" w:type="pct"/>
            <w:noWrap w:val="0"/>
            <w:vAlign w:val="center"/>
          </w:tcPr>
          <w:p w14:paraId="1184F1FC">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投标人资格要求</w:t>
            </w:r>
          </w:p>
        </w:tc>
        <w:tc>
          <w:tcPr>
            <w:tcW w:w="3817" w:type="pct"/>
            <w:noWrap w:val="0"/>
            <w:vAlign w:val="center"/>
          </w:tcPr>
          <w:p w14:paraId="14577BFF">
            <w:pPr>
              <w:keepNext w:val="0"/>
              <w:keepLines w:val="0"/>
              <w:pageBreakBefore w:val="0"/>
              <w:widowControl w:val="0"/>
              <w:kinsoku/>
              <w:wordWrap w:val="0"/>
              <w:overflowPunct/>
              <w:topLinePunct w:val="0"/>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1.满足《中华人民共和国政府采购法》第二十二条规定；</w:t>
            </w:r>
          </w:p>
          <w:p w14:paraId="6B27AB4A">
            <w:pPr>
              <w:keepNext w:val="0"/>
              <w:keepLines w:val="0"/>
              <w:pageBreakBefore w:val="0"/>
              <w:widowControl w:val="0"/>
              <w:kinsoku/>
              <w:wordWrap w:val="0"/>
              <w:overflowPunct/>
              <w:topLinePunct w:val="0"/>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2.落实政府采购政策需满足的资格要求：</w:t>
            </w:r>
            <w:r>
              <w:rPr>
                <w:rFonts w:hint="eastAsia" w:ascii="宋体" w:hAnsi="宋体" w:eastAsia="宋体" w:cs="宋体"/>
                <w:sz w:val="24"/>
                <w:szCs w:val="24"/>
                <w:highlight w:val="none"/>
                <w:lang w:val="en-US" w:eastAsia="zh-CN"/>
              </w:rPr>
              <w:t>无</w:t>
            </w:r>
            <w:r>
              <w:rPr>
                <w:rFonts w:hint="eastAsia" w:ascii="宋体" w:hAnsi="宋体" w:eastAsia="宋体" w:cs="宋体"/>
                <w:sz w:val="24"/>
                <w:szCs w:val="24"/>
                <w:highlight w:val="none"/>
              </w:rPr>
              <w:t>；</w:t>
            </w:r>
          </w:p>
          <w:p w14:paraId="711EB213">
            <w:pPr>
              <w:keepNext w:val="0"/>
              <w:keepLines w:val="0"/>
              <w:pageBreakBefore w:val="0"/>
              <w:widowControl w:val="0"/>
              <w:kinsoku/>
              <w:wordWrap w:val="0"/>
              <w:overflowPunct/>
              <w:topLinePunct w:val="0"/>
              <w:autoSpaceDE w:val="0"/>
              <w:autoSpaceDN w:val="0"/>
              <w:bidi w:val="0"/>
              <w:adjustRightInd/>
              <w:snapToGrid/>
              <w:spacing w:line="360" w:lineRule="auto"/>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3.本项目的特定资格要求：</w:t>
            </w:r>
            <w:r>
              <w:rPr>
                <w:rFonts w:hint="eastAsia" w:ascii="宋体" w:hAnsi="宋体" w:eastAsia="宋体" w:cs="宋体"/>
                <w:sz w:val="24"/>
                <w:szCs w:val="24"/>
                <w:highlight w:val="none"/>
                <w:lang w:val="en-US" w:eastAsia="zh-CN"/>
              </w:rPr>
              <w:t>无</w:t>
            </w:r>
            <w:r>
              <w:rPr>
                <w:rFonts w:hint="eastAsia" w:ascii="宋体" w:hAnsi="宋体" w:eastAsia="宋体" w:cs="宋体"/>
                <w:sz w:val="24"/>
                <w:szCs w:val="24"/>
                <w:highlight w:val="none"/>
              </w:rPr>
              <w:t>。</w:t>
            </w:r>
          </w:p>
        </w:tc>
      </w:tr>
      <w:tr w14:paraId="0DDEA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1182" w:type="pct"/>
            <w:noWrap w:val="0"/>
            <w:vAlign w:val="center"/>
          </w:tcPr>
          <w:p w14:paraId="3FAF6F4C">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付款方式</w:t>
            </w:r>
          </w:p>
        </w:tc>
        <w:tc>
          <w:tcPr>
            <w:tcW w:w="3817" w:type="pct"/>
            <w:shd w:val="clear"/>
            <w:noWrap w:val="0"/>
            <w:vAlign w:val="center"/>
          </w:tcPr>
          <w:p w14:paraId="2FCFB4C5">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auto"/>
              <w:rPr>
                <w:rFonts w:hint="eastAsia" w:ascii="宋体" w:hAnsi="宋体" w:eastAsia="宋体" w:cs="宋体"/>
                <w:b w:val="0"/>
                <w:kern w:val="2"/>
                <w:sz w:val="24"/>
                <w:szCs w:val="24"/>
                <w:u w:val="single"/>
                <w:lang w:val="en-US" w:eastAsia="zh-CN" w:bidi="ar-SA"/>
              </w:rPr>
            </w:pPr>
            <w:r>
              <w:rPr>
                <w:rFonts w:hint="eastAsia" w:ascii="宋体" w:hAnsi="宋体" w:eastAsia="宋体" w:cs="宋体"/>
                <w:color w:val="000000"/>
                <w:kern w:val="0"/>
                <w:sz w:val="24"/>
                <w:szCs w:val="24"/>
                <w:lang w:val="en-US" w:eastAsia="zh-CN" w:bidi="ar"/>
              </w:rPr>
              <w:t>项目验收合格后一次性付清项目合同全款。</w:t>
            </w:r>
          </w:p>
        </w:tc>
      </w:tr>
      <w:tr w14:paraId="1A19F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182" w:type="pct"/>
            <w:noWrap w:val="0"/>
            <w:vAlign w:val="center"/>
          </w:tcPr>
          <w:p w14:paraId="3B89FF57">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left="0" w:leftChars="0" w:firstLine="0" w:firstLineChars="0"/>
              <w:textAlignment w:val="auto"/>
              <w:rPr>
                <w:rFonts w:hint="eastAsia" w:ascii="宋体" w:hAnsi="宋体" w:eastAsia="宋体" w:cs="宋体"/>
                <w:b/>
                <w:sz w:val="24"/>
                <w:szCs w:val="24"/>
                <w:highlight w:val="none"/>
              </w:rPr>
            </w:pPr>
            <w:r>
              <w:rPr>
                <w:rFonts w:hint="eastAsia" w:ascii="宋体" w:hAnsi="宋体" w:eastAsia="宋体" w:cs="宋体"/>
                <w:b/>
                <w:bCs w:val="0"/>
                <w:sz w:val="24"/>
                <w:szCs w:val="24"/>
              </w:rPr>
              <w:t>供货及安装地点</w:t>
            </w:r>
          </w:p>
        </w:tc>
        <w:tc>
          <w:tcPr>
            <w:tcW w:w="3817" w:type="pct"/>
            <w:noWrap w:val="0"/>
            <w:vAlign w:val="center"/>
          </w:tcPr>
          <w:p w14:paraId="31CAC028">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left="0" w:leftChars="0" w:firstLine="0" w:firstLineChars="0"/>
              <w:jc w:val="both"/>
              <w:textAlignment w:val="auto"/>
              <w:rPr>
                <w:rFonts w:hint="eastAsia" w:ascii="宋体" w:hAnsi="宋体" w:eastAsia="宋体" w:cs="宋体"/>
                <w:sz w:val="24"/>
                <w:szCs w:val="24"/>
                <w:highlight w:val="none"/>
              </w:rPr>
            </w:pPr>
            <w:r>
              <w:rPr>
                <w:rFonts w:hint="eastAsia" w:ascii="宋体" w:hAnsi="宋体" w:eastAsia="宋体" w:cs="宋体"/>
                <w:b w:val="0"/>
                <w:sz w:val="24"/>
                <w:szCs w:val="24"/>
                <w:lang w:val="en-US" w:eastAsia="zh-CN"/>
              </w:rPr>
              <w:t>阜阳师范大学，采购人指定地点。</w:t>
            </w:r>
          </w:p>
        </w:tc>
      </w:tr>
      <w:tr w14:paraId="1DCB6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182" w:type="pct"/>
            <w:noWrap w:val="0"/>
            <w:vAlign w:val="center"/>
          </w:tcPr>
          <w:p w14:paraId="4DF371C4">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left="0" w:leftChars="0" w:firstLine="0" w:firstLineChars="0"/>
              <w:textAlignment w:val="auto"/>
              <w:rPr>
                <w:rFonts w:hint="eastAsia" w:ascii="宋体" w:hAnsi="宋体" w:eastAsia="宋体" w:cs="宋体"/>
                <w:b/>
                <w:sz w:val="24"/>
                <w:szCs w:val="24"/>
                <w:highlight w:val="none"/>
              </w:rPr>
            </w:pPr>
            <w:r>
              <w:rPr>
                <w:rFonts w:hint="eastAsia" w:ascii="宋体" w:hAnsi="宋体" w:eastAsia="宋体" w:cs="宋体"/>
                <w:b/>
                <w:bCs w:val="0"/>
                <w:sz w:val="24"/>
                <w:szCs w:val="24"/>
              </w:rPr>
              <w:t>供货及安装期限</w:t>
            </w:r>
          </w:p>
        </w:tc>
        <w:tc>
          <w:tcPr>
            <w:tcW w:w="3817" w:type="pct"/>
            <w:noWrap w:val="0"/>
            <w:vAlign w:val="center"/>
          </w:tcPr>
          <w:p w14:paraId="3C009790">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highlight w:val="none"/>
              </w:rPr>
            </w:pPr>
            <w:r>
              <w:rPr>
                <w:rFonts w:hint="eastAsia" w:ascii="宋体" w:hAnsi="宋体" w:eastAsia="宋体" w:cs="宋体"/>
                <w:color w:val="000000"/>
                <w:kern w:val="0"/>
                <w:sz w:val="24"/>
                <w:szCs w:val="24"/>
                <w:lang w:val="en-US" w:eastAsia="zh-CN" w:bidi="ar"/>
              </w:rPr>
              <w:t>合同签订后60个工作日内完成供货安装调试工作。</w:t>
            </w:r>
          </w:p>
        </w:tc>
      </w:tr>
      <w:tr w14:paraId="2EA3C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182" w:type="pct"/>
            <w:noWrap w:val="0"/>
            <w:vAlign w:val="center"/>
          </w:tcPr>
          <w:p w14:paraId="2D35287D">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是否专门面向中小企业采购</w:t>
            </w:r>
          </w:p>
        </w:tc>
        <w:tc>
          <w:tcPr>
            <w:tcW w:w="3817" w:type="pct"/>
            <w:noWrap w:val="0"/>
            <w:vAlign w:val="center"/>
          </w:tcPr>
          <w:p w14:paraId="64C1543E">
            <w:pPr>
              <w:keepNext w:val="0"/>
              <w:keepLines w:val="0"/>
              <w:pageBreakBefore w:val="0"/>
              <w:widowControl w:val="0"/>
              <w:kinsoku/>
              <w:wordWrap w:val="0"/>
              <w:overflowPunct/>
              <w:topLinePunct w:val="0"/>
              <w:bidi w:val="0"/>
              <w:adjustRightInd/>
              <w:snapToGrid/>
              <w:spacing w:line="360" w:lineRule="auto"/>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否</w:t>
            </w:r>
          </w:p>
        </w:tc>
      </w:tr>
      <w:tr w14:paraId="78545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182" w:type="pct"/>
            <w:noWrap w:val="0"/>
            <w:vAlign w:val="center"/>
          </w:tcPr>
          <w:p w14:paraId="213A76EB">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预留中小企业份额占比</w:t>
            </w:r>
          </w:p>
        </w:tc>
        <w:tc>
          <w:tcPr>
            <w:tcW w:w="3817" w:type="pct"/>
            <w:noWrap w:val="0"/>
            <w:vAlign w:val="center"/>
          </w:tcPr>
          <w:p w14:paraId="4D0EAD46">
            <w:pPr>
              <w:keepNext w:val="0"/>
              <w:keepLines w:val="0"/>
              <w:pageBreakBefore w:val="0"/>
              <w:widowControl w:val="0"/>
              <w:kinsoku/>
              <w:wordWrap w:val="0"/>
              <w:overflowPunct/>
              <w:topLinePunct w:val="0"/>
              <w:bidi w:val="0"/>
              <w:adjustRightInd/>
              <w:snapToGrid/>
              <w:spacing w:line="360" w:lineRule="auto"/>
              <w:textAlignment w:val="auto"/>
              <w:rPr>
                <w:rFonts w:hint="eastAsia" w:ascii="宋体" w:hAnsi="宋体" w:eastAsia="宋体" w:cs="宋体"/>
                <w:sz w:val="24"/>
                <w:szCs w:val="24"/>
                <w:highlight w:val="none"/>
              </w:rPr>
            </w:pPr>
            <w:r>
              <w:rPr>
                <w:rFonts w:hint="default" w:ascii="宋体" w:hAnsi="宋体" w:eastAsia="宋体" w:cs="宋体"/>
                <w:sz w:val="24"/>
                <w:szCs w:val="24"/>
                <w:highlight w:val="none"/>
                <w:lang w:val="en-US"/>
              </w:rPr>
              <w:t>/</w:t>
            </w:r>
          </w:p>
        </w:tc>
      </w:tr>
      <w:tr w14:paraId="33859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182" w:type="pct"/>
            <w:noWrap w:val="0"/>
            <w:vAlign w:val="center"/>
          </w:tcPr>
          <w:p w14:paraId="7F20E166">
            <w:pPr>
              <w:pStyle w:val="19"/>
              <w:keepNext w:val="0"/>
              <w:keepLines w:val="0"/>
              <w:pageBreakBefore w:val="0"/>
              <w:widowControl w:val="0"/>
              <w:kinsoku/>
              <w:wordWrap w:val="0"/>
              <w:overflowPunct/>
              <w:topLinePunct w:val="0"/>
              <w:bidi w:val="0"/>
              <w:adjustRightInd/>
              <w:snapToGrid/>
              <w:spacing w:before="0" w:beforeAutospacing="0" w:after="0" w:afterAutospacing="0" w:line="360" w:lineRule="auto"/>
              <w:textAlignment w:val="auto"/>
              <w:rPr>
                <w:rFonts w:hint="eastAsia" w:ascii="宋体" w:hAnsi="宋体" w:eastAsia="宋体" w:cs="宋体"/>
                <w:b/>
                <w:sz w:val="24"/>
                <w:szCs w:val="24"/>
                <w:highlight w:val="none"/>
              </w:rPr>
            </w:pPr>
            <w:r>
              <w:rPr>
                <w:rFonts w:hint="eastAsia" w:ascii="宋体" w:hAnsi="宋体" w:eastAsia="宋体" w:cs="宋体"/>
                <w:b w:val="0"/>
                <w:sz w:val="24"/>
                <w:szCs w:val="24"/>
                <w:highlight w:val="none"/>
              </w:rPr>
              <w:t>本项目采购标的名称及所属行业</w:t>
            </w:r>
          </w:p>
        </w:tc>
        <w:tc>
          <w:tcPr>
            <w:tcW w:w="3817" w:type="pct"/>
            <w:noWrap w:val="0"/>
            <w:vAlign w:val="center"/>
          </w:tcPr>
          <w:p w14:paraId="0D7EDE22">
            <w:pPr>
              <w:pStyle w:val="3"/>
              <w:keepNext w:val="0"/>
              <w:keepLines w:val="0"/>
              <w:pageBreakBefore w:val="0"/>
              <w:widowControl w:val="0"/>
              <w:kinsoku/>
              <w:wordWrap w:val="0"/>
              <w:overflowPunct/>
              <w:topLinePunct w:val="0"/>
              <w:bidi w:val="0"/>
              <w:adjustRightInd/>
              <w:snapToGrid/>
              <w:spacing w:after="0" w:line="360" w:lineRule="auto"/>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工业</w:t>
            </w:r>
          </w:p>
        </w:tc>
      </w:tr>
      <w:tr w14:paraId="6416B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182" w:type="pct"/>
            <w:noWrap w:val="0"/>
            <w:vAlign w:val="center"/>
          </w:tcPr>
          <w:p w14:paraId="45B904C0">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拟采用的评标办法</w:t>
            </w:r>
          </w:p>
        </w:tc>
        <w:tc>
          <w:tcPr>
            <w:tcW w:w="3817" w:type="pct"/>
            <w:noWrap w:val="0"/>
            <w:vAlign w:val="center"/>
          </w:tcPr>
          <w:p w14:paraId="292B9283">
            <w:pPr>
              <w:keepNext w:val="0"/>
              <w:keepLines w:val="0"/>
              <w:pageBreakBefore w:val="0"/>
              <w:widowControl w:val="0"/>
              <w:kinsoku/>
              <w:wordWrap w:val="0"/>
              <w:overflowPunct/>
              <w:topLinePunct w:val="0"/>
              <w:autoSpaceDE w:val="0"/>
              <w:autoSpaceDN w:val="0"/>
              <w:bidi w:val="0"/>
              <w:adjustRightInd/>
              <w:snapToGrid/>
              <w:spacing w:line="360" w:lineRule="auto"/>
              <w:jc w:val="left"/>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综合评分法</w:t>
            </w:r>
            <w:r>
              <w:rPr>
                <w:rFonts w:hint="eastAsia" w:ascii="宋体" w:hAnsi="宋体" w:eastAsia="宋体" w:cs="宋体"/>
                <w:color w:val="FF0000"/>
                <w:sz w:val="24"/>
                <w:szCs w:val="24"/>
              </w:rPr>
              <w:t>（分值设置：技术分</w:t>
            </w:r>
            <w:r>
              <w:rPr>
                <w:rFonts w:hint="eastAsia" w:ascii="宋体" w:hAnsi="宋体" w:eastAsia="宋体" w:cs="宋体"/>
                <w:color w:val="FF0000"/>
                <w:sz w:val="24"/>
                <w:szCs w:val="24"/>
                <w:u w:val="single"/>
                <w:lang w:val="en-US" w:eastAsia="zh-CN"/>
              </w:rPr>
              <w:t>70</w:t>
            </w:r>
            <w:r>
              <w:rPr>
                <w:rFonts w:hint="eastAsia" w:ascii="宋体" w:hAnsi="宋体" w:eastAsia="宋体" w:cs="宋体"/>
                <w:color w:val="FF0000"/>
                <w:sz w:val="24"/>
                <w:szCs w:val="24"/>
              </w:rPr>
              <w:t>分，价格分</w:t>
            </w:r>
            <w:r>
              <w:rPr>
                <w:rFonts w:hint="eastAsia" w:ascii="宋体" w:hAnsi="宋体" w:eastAsia="宋体" w:cs="宋体"/>
                <w:color w:val="FF0000"/>
                <w:sz w:val="24"/>
                <w:szCs w:val="24"/>
                <w:u w:val="single"/>
                <w:lang w:val="en-US" w:eastAsia="zh-CN"/>
              </w:rPr>
              <w:t>30</w:t>
            </w:r>
            <w:r>
              <w:rPr>
                <w:rFonts w:hint="eastAsia" w:ascii="宋体" w:hAnsi="宋体" w:eastAsia="宋体" w:cs="宋体"/>
                <w:color w:val="FF0000"/>
                <w:sz w:val="24"/>
                <w:szCs w:val="24"/>
              </w:rPr>
              <w:t>分）</w:t>
            </w:r>
          </w:p>
        </w:tc>
      </w:tr>
      <w:tr w14:paraId="00655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182" w:type="pct"/>
            <w:noWrap w:val="0"/>
            <w:vAlign w:val="center"/>
          </w:tcPr>
          <w:p w14:paraId="37C00188">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lang w:eastAsia="zh-CN"/>
              </w:rPr>
            </w:pPr>
            <w:r>
              <w:rPr>
                <w:rFonts w:hint="eastAsia" w:ascii="宋体" w:hAnsi="宋体" w:eastAsia="宋体" w:cs="宋体"/>
                <w:b/>
                <w:sz w:val="24"/>
                <w:szCs w:val="24"/>
                <w:highlight w:val="none"/>
                <w:lang w:eastAsia="zh-CN"/>
              </w:rPr>
              <w:t>标前公示截止时间</w:t>
            </w:r>
          </w:p>
        </w:tc>
        <w:tc>
          <w:tcPr>
            <w:tcW w:w="3817" w:type="pct"/>
            <w:noWrap w:val="0"/>
            <w:vAlign w:val="center"/>
          </w:tcPr>
          <w:p w14:paraId="6D0311FF">
            <w:pPr>
              <w:keepNext w:val="0"/>
              <w:keepLines w:val="0"/>
              <w:pageBreakBefore w:val="0"/>
              <w:widowControl w:val="0"/>
              <w:kinsoku/>
              <w:wordWrap w:val="0"/>
              <w:overflowPunct/>
              <w:topLinePunct w:val="0"/>
              <w:autoSpaceDE w:val="0"/>
              <w:autoSpaceDN w:val="0"/>
              <w:bidi w:val="0"/>
              <w:adjustRightInd/>
              <w:snapToGrid/>
              <w:spacing w:line="360" w:lineRule="auto"/>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b/>
                <w:bCs/>
                <w:color w:val="auto"/>
                <w:sz w:val="24"/>
                <w:szCs w:val="24"/>
                <w:lang w:val="en-US" w:eastAsia="zh-CN"/>
              </w:rPr>
              <w:t>2025</w:t>
            </w:r>
            <w:r>
              <w:rPr>
                <w:rFonts w:hint="eastAsia" w:ascii="宋体" w:hAnsi="宋体" w:eastAsia="宋体" w:cs="宋体"/>
                <w:b/>
                <w:bCs/>
                <w:color w:val="auto"/>
                <w:sz w:val="24"/>
                <w:szCs w:val="24"/>
                <w:lang w:eastAsia="zh-CN"/>
              </w:rPr>
              <w:t>年</w:t>
            </w:r>
            <w:r>
              <w:rPr>
                <w:rFonts w:hint="eastAsia" w:ascii="宋体" w:hAnsi="宋体" w:eastAsia="宋体" w:cs="宋体"/>
                <w:b/>
                <w:bCs/>
                <w:color w:val="auto"/>
                <w:sz w:val="24"/>
                <w:szCs w:val="24"/>
                <w:lang w:val="en-US" w:eastAsia="zh-CN"/>
              </w:rPr>
              <w:t>6</w:t>
            </w:r>
            <w:r>
              <w:rPr>
                <w:rFonts w:hint="eastAsia" w:ascii="宋体" w:hAnsi="宋体" w:eastAsia="宋体" w:cs="宋体"/>
                <w:b/>
                <w:bCs/>
                <w:color w:val="auto"/>
                <w:sz w:val="24"/>
                <w:szCs w:val="24"/>
                <w:lang w:eastAsia="zh-CN"/>
              </w:rPr>
              <w:t>月</w:t>
            </w:r>
            <w:r>
              <w:rPr>
                <w:rFonts w:hint="eastAsia" w:ascii="宋体" w:hAnsi="宋体" w:eastAsia="宋体" w:cs="宋体"/>
                <w:b/>
                <w:bCs/>
                <w:color w:val="auto"/>
                <w:sz w:val="24"/>
                <w:szCs w:val="24"/>
                <w:lang w:val="en-US" w:eastAsia="zh-CN"/>
              </w:rPr>
              <w:t>29</w:t>
            </w:r>
            <w:r>
              <w:rPr>
                <w:rFonts w:hint="eastAsia" w:ascii="宋体" w:hAnsi="宋体" w:eastAsia="宋体" w:cs="宋体"/>
                <w:b/>
                <w:bCs/>
                <w:color w:val="auto"/>
                <w:sz w:val="24"/>
                <w:szCs w:val="24"/>
                <w:lang w:eastAsia="zh-CN"/>
              </w:rPr>
              <w:t>日</w:t>
            </w:r>
            <w:r>
              <w:rPr>
                <w:rFonts w:hint="eastAsia" w:ascii="宋体" w:hAnsi="宋体" w:eastAsia="宋体" w:cs="宋体"/>
                <w:b/>
                <w:bCs/>
                <w:color w:val="auto"/>
                <w:sz w:val="24"/>
                <w:szCs w:val="24"/>
                <w:lang w:val="en-US" w:eastAsia="zh-CN"/>
              </w:rPr>
              <w:t>17:30</w:t>
            </w:r>
            <w:r>
              <w:rPr>
                <w:rFonts w:hint="eastAsia" w:ascii="宋体" w:hAnsi="宋体" w:eastAsia="宋体" w:cs="宋体"/>
                <w:b/>
                <w:bCs/>
                <w:color w:val="auto"/>
                <w:sz w:val="24"/>
                <w:szCs w:val="24"/>
                <w:lang w:eastAsia="zh-CN"/>
              </w:rPr>
              <w:t>前（超过规定时间的视同放弃）</w:t>
            </w:r>
          </w:p>
        </w:tc>
      </w:tr>
    </w:tbl>
    <w:p w14:paraId="2A414DAA">
      <w:pPr>
        <w:rPr>
          <w:rFonts w:hint="eastAsia" w:ascii="宋体" w:hAnsi="宋体" w:eastAsia="宋体" w:cs="Times New Roman"/>
          <w:b/>
          <w:sz w:val="24"/>
          <w:szCs w:val="28"/>
        </w:rPr>
      </w:pPr>
      <w:r>
        <w:rPr>
          <w:rFonts w:hint="eastAsia" w:ascii="宋体" w:hAnsi="宋体" w:eastAsia="宋体" w:cs="Times New Roman"/>
          <w:b/>
          <w:sz w:val="24"/>
          <w:szCs w:val="28"/>
        </w:rPr>
        <w:br w:type="page"/>
      </w:r>
    </w:p>
    <w:p w14:paraId="42AECFA4">
      <w:pPr>
        <w:rPr>
          <w:rFonts w:hint="eastAsia" w:ascii="宋体" w:hAnsi="宋体" w:eastAsia="宋体" w:cs="Times New Roman"/>
          <w:b/>
          <w:sz w:val="24"/>
          <w:szCs w:val="28"/>
        </w:rPr>
      </w:pPr>
      <w:r>
        <w:rPr>
          <w:rFonts w:hint="eastAsia" w:ascii="宋体" w:hAnsi="宋体" w:eastAsia="宋体" w:cs="Times New Roman"/>
          <w:b/>
          <w:sz w:val="24"/>
          <w:szCs w:val="28"/>
        </w:rPr>
        <w:t>二、</w:t>
      </w:r>
      <w:r>
        <w:rPr>
          <w:rFonts w:hint="eastAsia" w:ascii="宋体" w:hAnsi="宋体" w:eastAsia="宋体" w:cs="Times New Roman"/>
          <w:b/>
          <w:sz w:val="24"/>
          <w:szCs w:val="28"/>
          <w:lang w:val="en-US" w:eastAsia="zh-CN"/>
        </w:rPr>
        <w:t>采购</w:t>
      </w:r>
      <w:r>
        <w:rPr>
          <w:rFonts w:hint="eastAsia" w:ascii="宋体" w:hAnsi="宋体" w:eastAsia="宋体" w:cs="Times New Roman"/>
          <w:b/>
          <w:sz w:val="24"/>
          <w:szCs w:val="28"/>
        </w:rPr>
        <w:t>需求</w:t>
      </w:r>
    </w:p>
    <w:p w14:paraId="1FEB3D32">
      <w:pPr>
        <w:spacing w:line="360" w:lineRule="auto"/>
        <w:rPr>
          <w:rFonts w:hint="eastAsia" w:ascii="宋体" w:hAnsi="宋体" w:eastAsia="宋体" w:cs="宋体"/>
          <w:b/>
          <w:sz w:val="24"/>
        </w:rPr>
      </w:pPr>
      <w:r>
        <w:rPr>
          <w:rFonts w:hint="eastAsia" w:ascii="宋体" w:hAnsi="宋体" w:eastAsia="宋体" w:cs="宋体"/>
          <w:b/>
          <w:sz w:val="24"/>
        </w:rPr>
        <w:t>前注：</w:t>
      </w:r>
    </w:p>
    <w:p w14:paraId="662A4FEC">
      <w:pPr>
        <w:keepNext w:val="0"/>
        <w:keepLines w:val="0"/>
        <w:pageBreakBefore w:val="0"/>
        <w:widowControl w:val="0"/>
        <w:kinsoku/>
        <w:wordWrap w:val="0"/>
        <w:overflowPunct/>
        <w:topLinePunct w:val="0"/>
        <w:autoSpaceDE/>
        <w:autoSpaceDN/>
        <w:bidi w:val="0"/>
        <w:adjustRightInd/>
        <w:snapToGrid/>
        <w:spacing w:line="360" w:lineRule="auto"/>
        <w:ind w:firstLine="435"/>
        <w:textAlignment w:val="auto"/>
        <w:rPr>
          <w:rFonts w:hint="eastAsia" w:ascii="宋体" w:hAnsi="宋体" w:eastAsia="宋体" w:cs="宋体"/>
          <w:sz w:val="24"/>
          <w:szCs w:val="24"/>
        </w:rPr>
      </w:pPr>
      <w:r>
        <w:rPr>
          <w:rFonts w:hint="eastAsia" w:ascii="宋体" w:hAnsi="宋体" w:eastAsia="宋体" w:cs="宋体"/>
          <w:sz w:val="24"/>
          <w:szCs w:val="24"/>
        </w:rPr>
        <w:t>1.根据《关于规范政府采购进口产品有关工作的通知》及政府采购管理部门的相关规定，下列采购需求中标注进口产品的货物均已履行相关论证手续，经核准采购进口产品，但不限制满足招标文件要求的国内产品参与竞争。未标注进口产品的货物均为拒绝采购进口产品。</w:t>
      </w:r>
    </w:p>
    <w:p w14:paraId="1003158C">
      <w:pPr>
        <w:keepNext w:val="0"/>
        <w:keepLines w:val="0"/>
        <w:pageBreakBefore w:val="0"/>
        <w:widowControl w:val="0"/>
        <w:kinsoku/>
        <w:wordWrap w:val="0"/>
        <w:overflowPunct/>
        <w:topLinePunct w:val="0"/>
        <w:autoSpaceDE/>
        <w:autoSpaceDN/>
        <w:bidi w:val="0"/>
        <w:adjustRightInd/>
        <w:snapToGrid/>
        <w:spacing w:line="360" w:lineRule="auto"/>
        <w:ind w:firstLine="435"/>
        <w:textAlignment w:val="auto"/>
        <w:rPr>
          <w:rFonts w:hint="eastAsia" w:ascii="宋体" w:hAnsi="宋体" w:eastAsia="宋体" w:cs="宋体"/>
          <w:sz w:val="24"/>
          <w:szCs w:val="24"/>
        </w:rPr>
      </w:pPr>
      <w:r>
        <w:rPr>
          <w:rFonts w:hint="eastAsia" w:ascii="宋体" w:hAnsi="宋体" w:eastAsia="宋体" w:cs="宋体"/>
          <w:sz w:val="24"/>
          <w:szCs w:val="24"/>
        </w:rPr>
        <w:t>2.下列采购需求中：</w:t>
      </w:r>
    </w:p>
    <w:p w14:paraId="161976E1">
      <w:pPr>
        <w:keepNext w:val="0"/>
        <w:keepLines w:val="0"/>
        <w:pageBreakBefore w:val="0"/>
        <w:widowControl w:val="0"/>
        <w:kinsoku/>
        <w:wordWrap w:val="0"/>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24"/>
          <w:lang w:eastAsia="zh-CN"/>
        </w:rPr>
      </w:pPr>
      <w:r>
        <w:rPr>
          <w:rFonts w:hint="eastAsia" w:ascii="宋体" w:hAnsi="宋体" w:eastAsia="宋体" w:cs="宋体"/>
          <w:sz w:val="24"/>
          <w:szCs w:val="24"/>
        </w:rPr>
        <w:t>（1）如属于《节能产品政府采购品目清单》中政府强制采购的节能产品，则投标人所投产品须具有市场监管总局公布的《参与实施政府采购节能产品认证机构目录》中的认证机构出具的、处于有效期内的节能产品认证证书</w:t>
      </w:r>
      <w:r>
        <w:rPr>
          <w:rFonts w:hint="eastAsia" w:ascii="宋体" w:hAnsi="宋体" w:eastAsia="宋体" w:cs="宋体"/>
          <w:sz w:val="24"/>
          <w:szCs w:val="24"/>
          <w:lang w:eastAsia="zh-CN"/>
        </w:rPr>
        <w:t>，</w:t>
      </w:r>
      <w:r>
        <w:rPr>
          <w:rFonts w:hint="eastAsia" w:ascii="宋体" w:hAnsi="宋体" w:eastAsia="宋体" w:cs="宋体"/>
          <w:b/>
          <w:bCs/>
          <w:sz w:val="24"/>
          <w:szCs w:val="24"/>
          <w:lang w:val="en-US" w:eastAsia="zh-CN"/>
        </w:rPr>
        <w:t>否则投标无效</w:t>
      </w:r>
      <w:r>
        <w:rPr>
          <w:rFonts w:hint="eastAsia" w:ascii="宋体" w:hAnsi="宋体" w:eastAsia="宋体" w:cs="宋体"/>
          <w:sz w:val="24"/>
          <w:szCs w:val="24"/>
        </w:rPr>
        <w:t>。</w:t>
      </w:r>
    </w:p>
    <w:p w14:paraId="6196E42D">
      <w:pPr>
        <w:keepNext w:val="0"/>
        <w:keepLines w:val="0"/>
        <w:pageBreakBefore w:val="0"/>
        <w:widowControl w:val="0"/>
        <w:kinsoku/>
        <w:wordWrap w:val="0"/>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 xml:space="preserve">  （2）如涉及商品包装和快递包装，投标人应当执行《关于印发〈商品包装政府采购需求标准（试行）〉、〈快递包装政府采购需求标准（试行）〉的通知》（财办库〔2020〕123号）、《安徽省财政厅关于贯彻落实政府绿色采购有关政策的通知》（皖财购〔2023〕853号）的要求，提供符合需求标准的绿色包装、绿色运输，同时，采购人将对包装材料和运输环节作为履约验收条款进行验收。</w:t>
      </w:r>
    </w:p>
    <w:p w14:paraId="7DF0628D">
      <w:pPr>
        <w:keepNext w:val="0"/>
        <w:keepLines w:val="0"/>
        <w:pageBreakBefore w:val="0"/>
        <w:widowControl w:val="0"/>
        <w:kinsoku/>
        <w:wordWrap w:val="0"/>
        <w:overflowPunct/>
        <w:topLinePunct w:val="0"/>
        <w:autoSpaceDE/>
        <w:autoSpaceDN/>
        <w:bidi w:val="0"/>
        <w:adjustRightInd/>
        <w:snapToGrid/>
        <w:spacing w:line="360" w:lineRule="auto"/>
        <w:ind w:firstLine="435"/>
        <w:textAlignment w:val="auto"/>
        <w:rPr>
          <w:rFonts w:hint="eastAsia" w:ascii="宋体" w:hAnsi="宋体" w:eastAsia="宋体" w:cs="宋体"/>
          <w:sz w:val="24"/>
          <w:szCs w:val="24"/>
        </w:rPr>
      </w:pPr>
      <w:r>
        <w:rPr>
          <w:rFonts w:hint="eastAsia" w:ascii="宋体" w:hAnsi="宋体" w:eastAsia="宋体" w:cs="宋体"/>
          <w:sz w:val="24"/>
          <w:szCs w:val="24"/>
        </w:rPr>
        <w:t>3.下列采购需求中：标注▲的产品（核心产品），投标人在投标文件《主要中标标的承诺函》中填写名称、品牌、规格、型号、数量、单价等信息。</w:t>
      </w:r>
    </w:p>
    <w:p w14:paraId="234D80E1">
      <w:pPr>
        <w:keepNext w:val="0"/>
        <w:keepLines w:val="0"/>
        <w:pageBreakBefore w:val="0"/>
        <w:widowControl w:val="0"/>
        <w:kinsoku/>
        <w:wordWrap w:val="0"/>
        <w:overflowPunct/>
        <w:topLinePunct w:val="0"/>
        <w:autoSpaceDE/>
        <w:autoSpaceDN/>
        <w:bidi w:val="0"/>
        <w:adjustRightInd/>
        <w:snapToGrid/>
        <w:spacing w:line="360" w:lineRule="auto"/>
        <w:ind w:firstLine="435"/>
        <w:textAlignment w:val="auto"/>
        <w:rPr>
          <w:rFonts w:hint="eastAsia" w:ascii="宋体" w:hAnsi="宋体" w:eastAsia="宋体" w:cs="宋体"/>
          <w:sz w:val="24"/>
          <w:szCs w:val="18"/>
        </w:rPr>
      </w:pPr>
      <w:r>
        <w:rPr>
          <w:rFonts w:hint="eastAsia" w:ascii="宋体" w:hAnsi="宋体" w:eastAsia="宋体" w:cs="宋体"/>
          <w:sz w:val="24"/>
          <w:szCs w:val="24"/>
        </w:rPr>
        <w:t>4. 如采购人允许采用分包方式履行合同的，应当明确可以分包履行的相关内容。</w:t>
      </w:r>
    </w:p>
    <w:p w14:paraId="3E1137B9">
      <w:pPr>
        <w:spacing w:line="360" w:lineRule="auto"/>
        <w:ind w:firstLine="437"/>
        <w:outlineLvl w:val="1"/>
        <w:rPr>
          <w:rFonts w:hint="eastAsia" w:ascii="宋体" w:hAnsi="宋体" w:eastAsia="宋体" w:cs="宋体"/>
          <w:b/>
          <w:sz w:val="24"/>
          <w:szCs w:val="18"/>
        </w:rPr>
      </w:pPr>
      <w:r>
        <w:rPr>
          <w:rFonts w:hint="eastAsia" w:ascii="宋体" w:hAnsi="宋体" w:eastAsia="宋体" w:cs="宋体"/>
          <w:b/>
          <w:sz w:val="24"/>
          <w:szCs w:val="18"/>
        </w:rPr>
        <w:t>一、采购需求前附表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6"/>
        <w:gridCol w:w="2032"/>
        <w:gridCol w:w="5484"/>
      </w:tblGrid>
      <w:tr w14:paraId="7EE61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3F492E75">
            <w:pPr>
              <w:pStyle w:val="18"/>
              <w:keepNext w:val="0"/>
              <w:keepLines w:val="0"/>
              <w:pageBreakBefore w:val="0"/>
              <w:pBdr>
                <w:bottom w:val="none" w:color="auto" w:sz="0" w:space="0"/>
              </w:pBdr>
              <w:tabs>
                <w:tab w:val="clear" w:pos="4153"/>
                <w:tab w:val="clear" w:pos="8306"/>
              </w:tabs>
              <w:kinsoku/>
              <w:wordWrap/>
              <w:overflowPunct/>
              <w:topLinePunct w:val="0"/>
              <w:autoSpaceDE/>
              <w:autoSpaceDN/>
              <w:bidi w:val="0"/>
              <w:adjustRightInd/>
              <w:snapToGrid/>
              <w:spacing w:line="440" w:lineRule="exact"/>
              <w:textAlignment w:val="auto"/>
              <w:rPr>
                <w:rFonts w:hint="eastAsia" w:ascii="宋体" w:hAnsi="宋体" w:eastAsia="宋体" w:cs="宋体"/>
                <w:b/>
                <w:kern w:val="2"/>
                <w:sz w:val="24"/>
                <w:szCs w:val="24"/>
              </w:rPr>
            </w:pPr>
            <w:r>
              <w:rPr>
                <w:rFonts w:hint="eastAsia" w:ascii="宋体" w:hAnsi="宋体" w:eastAsia="宋体" w:cs="宋体"/>
                <w:b/>
                <w:kern w:val="2"/>
                <w:sz w:val="24"/>
                <w:szCs w:val="24"/>
              </w:rPr>
              <w:t>序号</w:t>
            </w:r>
          </w:p>
        </w:tc>
        <w:tc>
          <w:tcPr>
            <w:tcW w:w="1192" w:type="pct"/>
            <w:vAlign w:val="center"/>
          </w:tcPr>
          <w:p w14:paraId="17B34FDF">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bCs w:val="0"/>
                <w:sz w:val="24"/>
                <w:szCs w:val="24"/>
              </w:rPr>
            </w:pPr>
            <w:r>
              <w:rPr>
                <w:rFonts w:hint="eastAsia" w:ascii="宋体" w:hAnsi="宋体" w:eastAsia="宋体" w:cs="宋体"/>
                <w:bCs w:val="0"/>
                <w:sz w:val="24"/>
                <w:szCs w:val="24"/>
              </w:rPr>
              <w:t>条款名称</w:t>
            </w:r>
          </w:p>
        </w:tc>
        <w:tc>
          <w:tcPr>
            <w:tcW w:w="3216" w:type="pct"/>
            <w:vAlign w:val="center"/>
          </w:tcPr>
          <w:p w14:paraId="046438D1">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bCs w:val="0"/>
                <w:sz w:val="24"/>
                <w:szCs w:val="24"/>
              </w:rPr>
            </w:pPr>
            <w:r>
              <w:rPr>
                <w:rFonts w:hint="eastAsia" w:ascii="宋体" w:hAnsi="宋体" w:eastAsia="宋体" w:cs="宋体"/>
                <w:bCs w:val="0"/>
                <w:sz w:val="24"/>
                <w:szCs w:val="24"/>
              </w:rPr>
              <w:t>内容、说明与要求</w:t>
            </w:r>
          </w:p>
        </w:tc>
      </w:tr>
      <w:tr w14:paraId="3346C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7A073C9B">
            <w:pPr>
              <w:pStyle w:val="18"/>
              <w:keepNext w:val="0"/>
              <w:keepLines w:val="0"/>
              <w:pageBreakBefore w:val="0"/>
              <w:pBdr>
                <w:bottom w:val="none" w:color="auto" w:sz="0" w:space="0"/>
              </w:pBdr>
              <w:tabs>
                <w:tab w:val="clear" w:pos="4153"/>
                <w:tab w:val="clear" w:pos="8306"/>
              </w:tabs>
              <w:kinsoku/>
              <w:wordWrap/>
              <w:overflowPunct/>
              <w:topLinePunct w:val="0"/>
              <w:autoSpaceDE/>
              <w:autoSpaceDN/>
              <w:bidi w:val="0"/>
              <w:adjustRightInd/>
              <w:snapToGrid/>
              <w:spacing w:line="440" w:lineRule="exact"/>
              <w:textAlignment w:val="auto"/>
              <w:rPr>
                <w:rFonts w:hint="eastAsia" w:ascii="宋体" w:hAnsi="宋体" w:eastAsia="宋体" w:cs="宋体"/>
                <w:bCs/>
                <w:kern w:val="2"/>
                <w:sz w:val="24"/>
                <w:szCs w:val="24"/>
              </w:rPr>
            </w:pPr>
            <w:r>
              <w:rPr>
                <w:rFonts w:hint="eastAsia" w:ascii="宋体" w:hAnsi="宋体" w:eastAsia="宋体" w:cs="宋体"/>
                <w:bCs/>
                <w:kern w:val="2"/>
                <w:sz w:val="24"/>
                <w:szCs w:val="24"/>
              </w:rPr>
              <w:t>1</w:t>
            </w:r>
          </w:p>
        </w:tc>
        <w:tc>
          <w:tcPr>
            <w:tcW w:w="1192" w:type="pct"/>
            <w:vAlign w:val="center"/>
          </w:tcPr>
          <w:p w14:paraId="26A0E3F2">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b w:val="0"/>
                <w:sz w:val="24"/>
                <w:szCs w:val="24"/>
              </w:rPr>
            </w:pPr>
            <w:r>
              <w:rPr>
                <w:rFonts w:hint="eastAsia" w:ascii="宋体" w:hAnsi="宋体" w:eastAsia="宋体" w:cs="宋体"/>
                <w:b w:val="0"/>
                <w:sz w:val="24"/>
                <w:szCs w:val="24"/>
              </w:rPr>
              <w:t>付款方式</w:t>
            </w:r>
          </w:p>
        </w:tc>
        <w:tc>
          <w:tcPr>
            <w:tcW w:w="3216" w:type="pct"/>
            <w:vAlign w:val="center"/>
          </w:tcPr>
          <w:p w14:paraId="763307BD">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auto"/>
              <w:rPr>
                <w:rFonts w:hint="eastAsia" w:ascii="宋体" w:hAnsi="宋体" w:eastAsia="宋体" w:cs="宋体"/>
                <w:b w:val="0"/>
                <w:sz w:val="24"/>
                <w:szCs w:val="24"/>
                <w:u w:val="single"/>
              </w:rPr>
            </w:pPr>
            <w:r>
              <w:rPr>
                <w:rFonts w:hint="eastAsia" w:ascii="宋体" w:hAnsi="宋体" w:eastAsia="宋体" w:cs="宋体"/>
                <w:color w:val="000000"/>
                <w:kern w:val="0"/>
                <w:sz w:val="24"/>
                <w:szCs w:val="24"/>
                <w:lang w:val="en-US" w:eastAsia="zh-CN" w:bidi="ar"/>
              </w:rPr>
              <w:t>项目验收合格后一次性付清项目合同全款。</w:t>
            </w:r>
          </w:p>
        </w:tc>
      </w:tr>
      <w:tr w14:paraId="111BA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19B662B8">
            <w:pPr>
              <w:pStyle w:val="18"/>
              <w:keepNext w:val="0"/>
              <w:keepLines w:val="0"/>
              <w:pageBreakBefore w:val="0"/>
              <w:pBdr>
                <w:bottom w:val="none" w:color="auto" w:sz="0" w:space="0"/>
              </w:pBdr>
              <w:tabs>
                <w:tab w:val="clear" w:pos="4153"/>
                <w:tab w:val="clear" w:pos="8306"/>
              </w:tabs>
              <w:kinsoku/>
              <w:wordWrap/>
              <w:overflowPunct/>
              <w:topLinePunct w:val="0"/>
              <w:autoSpaceDE/>
              <w:autoSpaceDN/>
              <w:bidi w:val="0"/>
              <w:adjustRightInd/>
              <w:snapToGrid/>
              <w:spacing w:line="440" w:lineRule="exact"/>
              <w:textAlignment w:val="auto"/>
              <w:rPr>
                <w:rFonts w:hint="eastAsia" w:ascii="宋体" w:hAnsi="宋体" w:eastAsia="宋体" w:cs="宋体"/>
                <w:bCs/>
                <w:kern w:val="2"/>
                <w:sz w:val="24"/>
                <w:szCs w:val="24"/>
              </w:rPr>
            </w:pPr>
            <w:r>
              <w:rPr>
                <w:rFonts w:hint="eastAsia" w:ascii="宋体" w:hAnsi="宋体" w:eastAsia="宋体" w:cs="宋体"/>
                <w:bCs/>
                <w:kern w:val="2"/>
                <w:sz w:val="24"/>
                <w:szCs w:val="24"/>
              </w:rPr>
              <w:t>2</w:t>
            </w:r>
          </w:p>
        </w:tc>
        <w:tc>
          <w:tcPr>
            <w:tcW w:w="1192" w:type="pct"/>
            <w:vAlign w:val="center"/>
          </w:tcPr>
          <w:p w14:paraId="10210A6C">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b w:val="0"/>
                <w:sz w:val="24"/>
                <w:szCs w:val="24"/>
              </w:rPr>
            </w:pPr>
            <w:r>
              <w:rPr>
                <w:rFonts w:hint="eastAsia" w:ascii="宋体" w:hAnsi="宋体" w:eastAsia="宋体" w:cs="宋体"/>
                <w:b w:val="0"/>
                <w:sz w:val="24"/>
                <w:szCs w:val="24"/>
              </w:rPr>
              <w:t>供货及安装地点</w:t>
            </w:r>
          </w:p>
        </w:tc>
        <w:tc>
          <w:tcPr>
            <w:tcW w:w="3216" w:type="pct"/>
            <w:vAlign w:val="center"/>
          </w:tcPr>
          <w:p w14:paraId="0C587743">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jc w:val="both"/>
              <w:textAlignment w:val="auto"/>
              <w:rPr>
                <w:rFonts w:hint="eastAsia" w:ascii="宋体" w:hAnsi="宋体" w:eastAsia="宋体" w:cs="宋体"/>
                <w:b w:val="0"/>
                <w:sz w:val="24"/>
                <w:szCs w:val="24"/>
                <w:lang w:val="en-US" w:eastAsia="zh-CN"/>
              </w:rPr>
            </w:pPr>
            <w:r>
              <w:rPr>
                <w:rFonts w:hint="eastAsia" w:ascii="宋体" w:hAnsi="宋体" w:eastAsia="宋体" w:cs="宋体"/>
                <w:b w:val="0"/>
                <w:sz w:val="24"/>
                <w:szCs w:val="24"/>
                <w:lang w:val="en-US" w:eastAsia="zh-CN"/>
              </w:rPr>
              <w:t>阜阳师范大学，采购人指定地点。</w:t>
            </w:r>
          </w:p>
        </w:tc>
      </w:tr>
      <w:tr w14:paraId="03F17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1D90ADDC">
            <w:pPr>
              <w:pStyle w:val="18"/>
              <w:keepNext w:val="0"/>
              <w:keepLines w:val="0"/>
              <w:pageBreakBefore w:val="0"/>
              <w:pBdr>
                <w:bottom w:val="none" w:color="auto" w:sz="0" w:space="0"/>
              </w:pBdr>
              <w:tabs>
                <w:tab w:val="clear" w:pos="4153"/>
                <w:tab w:val="clear" w:pos="8306"/>
              </w:tabs>
              <w:kinsoku/>
              <w:wordWrap/>
              <w:overflowPunct/>
              <w:topLinePunct w:val="0"/>
              <w:autoSpaceDE/>
              <w:autoSpaceDN/>
              <w:bidi w:val="0"/>
              <w:adjustRightInd/>
              <w:snapToGrid/>
              <w:spacing w:line="440" w:lineRule="exact"/>
              <w:textAlignment w:val="auto"/>
              <w:rPr>
                <w:rFonts w:hint="eastAsia" w:ascii="宋体" w:hAnsi="宋体" w:eastAsia="宋体" w:cs="宋体"/>
                <w:bCs/>
                <w:kern w:val="2"/>
                <w:sz w:val="24"/>
                <w:szCs w:val="24"/>
              </w:rPr>
            </w:pPr>
            <w:r>
              <w:rPr>
                <w:rFonts w:hint="eastAsia" w:ascii="宋体" w:hAnsi="宋体" w:eastAsia="宋体" w:cs="宋体"/>
                <w:bCs/>
                <w:kern w:val="2"/>
                <w:sz w:val="24"/>
                <w:szCs w:val="24"/>
              </w:rPr>
              <w:t>3</w:t>
            </w:r>
          </w:p>
        </w:tc>
        <w:tc>
          <w:tcPr>
            <w:tcW w:w="1192" w:type="pct"/>
            <w:vAlign w:val="center"/>
          </w:tcPr>
          <w:p w14:paraId="019B0166">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b w:val="0"/>
                <w:sz w:val="24"/>
                <w:szCs w:val="24"/>
              </w:rPr>
            </w:pPr>
            <w:r>
              <w:rPr>
                <w:rFonts w:hint="eastAsia" w:ascii="宋体" w:hAnsi="宋体" w:eastAsia="宋体" w:cs="宋体"/>
                <w:b w:val="0"/>
                <w:sz w:val="24"/>
                <w:szCs w:val="24"/>
              </w:rPr>
              <w:t>供货及安装期限</w:t>
            </w:r>
          </w:p>
        </w:tc>
        <w:tc>
          <w:tcPr>
            <w:tcW w:w="3216" w:type="pct"/>
            <w:vAlign w:val="center"/>
          </w:tcPr>
          <w:p w14:paraId="1697F394">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auto"/>
              <w:rPr>
                <w:rFonts w:hint="eastAsia" w:ascii="宋体" w:hAnsi="宋体" w:eastAsia="宋体" w:cs="宋体"/>
                <w:b w:val="0"/>
                <w:sz w:val="24"/>
                <w:szCs w:val="24"/>
              </w:rPr>
            </w:pPr>
            <w:r>
              <w:rPr>
                <w:rFonts w:hint="eastAsia" w:ascii="宋体" w:hAnsi="宋体" w:eastAsia="宋体" w:cs="宋体"/>
                <w:color w:val="000000"/>
                <w:kern w:val="0"/>
                <w:sz w:val="24"/>
                <w:szCs w:val="24"/>
                <w:lang w:val="en-US" w:eastAsia="zh-CN" w:bidi="ar"/>
              </w:rPr>
              <w:t>合同签订后60个工作日内完成供货安装调试工作。</w:t>
            </w:r>
          </w:p>
        </w:tc>
      </w:tr>
      <w:tr w14:paraId="0C9D4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0EADB608">
            <w:pPr>
              <w:pStyle w:val="18"/>
              <w:keepNext w:val="0"/>
              <w:keepLines w:val="0"/>
              <w:pageBreakBefore w:val="0"/>
              <w:pBdr>
                <w:bottom w:val="none" w:color="auto" w:sz="0" w:space="0"/>
              </w:pBdr>
              <w:tabs>
                <w:tab w:val="clear" w:pos="4153"/>
                <w:tab w:val="clear" w:pos="8306"/>
              </w:tabs>
              <w:kinsoku/>
              <w:wordWrap/>
              <w:overflowPunct/>
              <w:topLinePunct w:val="0"/>
              <w:autoSpaceDE/>
              <w:autoSpaceDN/>
              <w:bidi w:val="0"/>
              <w:adjustRightInd/>
              <w:snapToGrid/>
              <w:spacing w:line="440" w:lineRule="exact"/>
              <w:textAlignment w:val="auto"/>
              <w:rPr>
                <w:rFonts w:hint="eastAsia" w:ascii="宋体" w:hAnsi="宋体" w:eastAsia="宋体" w:cs="宋体"/>
                <w:bCs/>
                <w:kern w:val="2"/>
                <w:sz w:val="24"/>
                <w:szCs w:val="24"/>
              </w:rPr>
            </w:pPr>
            <w:r>
              <w:rPr>
                <w:rFonts w:hint="eastAsia" w:ascii="宋体" w:hAnsi="宋体" w:eastAsia="宋体" w:cs="宋体"/>
                <w:bCs/>
                <w:kern w:val="2"/>
                <w:sz w:val="24"/>
                <w:szCs w:val="24"/>
              </w:rPr>
              <w:t>4</w:t>
            </w:r>
          </w:p>
        </w:tc>
        <w:tc>
          <w:tcPr>
            <w:tcW w:w="1192" w:type="pct"/>
            <w:vAlign w:val="center"/>
          </w:tcPr>
          <w:p w14:paraId="000BFDC2">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b w:val="0"/>
                <w:sz w:val="24"/>
                <w:szCs w:val="24"/>
              </w:rPr>
            </w:pPr>
            <w:r>
              <w:rPr>
                <w:rFonts w:hint="eastAsia" w:ascii="宋体" w:hAnsi="宋体" w:eastAsia="宋体" w:cs="宋体"/>
                <w:b w:val="0"/>
                <w:sz w:val="24"/>
                <w:szCs w:val="24"/>
              </w:rPr>
              <w:t>质保期</w:t>
            </w:r>
          </w:p>
        </w:tc>
        <w:tc>
          <w:tcPr>
            <w:tcW w:w="3216" w:type="pct"/>
            <w:vAlign w:val="center"/>
          </w:tcPr>
          <w:p w14:paraId="2F862F45">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auto"/>
              <w:rPr>
                <w:rFonts w:hint="eastAsia" w:ascii="宋体" w:hAnsi="宋体" w:eastAsia="宋体" w:cs="宋体"/>
                <w:b w:val="0"/>
                <w:sz w:val="24"/>
                <w:szCs w:val="24"/>
              </w:rPr>
            </w:pPr>
            <w:r>
              <w:rPr>
                <w:rFonts w:hint="eastAsia" w:ascii="宋体" w:hAnsi="宋体" w:eastAsia="宋体" w:cs="宋体"/>
                <w:color w:val="000000"/>
                <w:kern w:val="0"/>
                <w:sz w:val="24"/>
                <w:szCs w:val="24"/>
                <w:lang w:val="en-US" w:eastAsia="zh-CN" w:bidi="ar"/>
              </w:rPr>
              <w:t>自验收合格之日起所有标的质保不低于</w:t>
            </w:r>
            <w:r>
              <w:rPr>
                <w:rFonts w:hint="eastAsia" w:cs="宋体"/>
                <w:color w:val="000000"/>
                <w:kern w:val="0"/>
                <w:sz w:val="24"/>
                <w:szCs w:val="24"/>
                <w:lang w:val="en-US" w:eastAsia="zh-CN" w:bidi="ar"/>
              </w:rPr>
              <w:t>5</w:t>
            </w:r>
            <w:r>
              <w:rPr>
                <w:rFonts w:hint="eastAsia" w:ascii="宋体" w:hAnsi="宋体" w:eastAsia="宋体" w:cs="宋体"/>
                <w:color w:val="000000"/>
                <w:kern w:val="0"/>
                <w:sz w:val="24"/>
                <w:szCs w:val="24"/>
                <w:lang w:val="en-US" w:eastAsia="zh-CN" w:bidi="ar"/>
              </w:rPr>
              <w:t>年</w:t>
            </w:r>
            <w:r>
              <w:rPr>
                <w:rFonts w:hint="eastAsia" w:ascii="宋体" w:hAnsi="宋体" w:eastAsia="宋体" w:cs="宋体"/>
                <w:b w:val="0"/>
                <w:bCs/>
                <w:color w:val="auto"/>
                <w:kern w:val="0"/>
                <w:sz w:val="24"/>
                <w:szCs w:val="24"/>
                <w:lang w:val="en-US" w:eastAsia="zh-CN" w:bidi="ar-SA"/>
              </w:rPr>
              <w:t>（货物需求另有规定的，以货物需求为准）</w:t>
            </w:r>
            <w:r>
              <w:rPr>
                <w:rFonts w:hint="eastAsia" w:ascii="宋体" w:hAnsi="宋体" w:eastAsia="宋体" w:cs="宋体"/>
                <w:color w:val="auto"/>
                <w:kern w:val="0"/>
                <w:sz w:val="24"/>
                <w:szCs w:val="24"/>
                <w:lang w:val="en-US" w:eastAsia="zh-CN" w:bidi="ar"/>
              </w:rPr>
              <w:t>。</w:t>
            </w:r>
          </w:p>
        </w:tc>
      </w:tr>
      <w:tr w14:paraId="69B8A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442F3546">
            <w:pPr>
              <w:pStyle w:val="18"/>
              <w:keepNext w:val="0"/>
              <w:keepLines w:val="0"/>
              <w:pageBreakBefore w:val="0"/>
              <w:pBdr>
                <w:bottom w:val="none" w:color="auto" w:sz="0" w:space="0"/>
              </w:pBdr>
              <w:tabs>
                <w:tab w:val="clear" w:pos="4153"/>
                <w:tab w:val="clear" w:pos="8306"/>
              </w:tabs>
              <w:kinsoku/>
              <w:wordWrap/>
              <w:overflowPunct/>
              <w:topLinePunct w:val="0"/>
              <w:autoSpaceDE/>
              <w:autoSpaceDN/>
              <w:bidi w:val="0"/>
              <w:adjustRightInd/>
              <w:snapToGrid/>
              <w:spacing w:line="440" w:lineRule="exact"/>
              <w:textAlignment w:val="auto"/>
              <w:rPr>
                <w:rFonts w:hint="eastAsia" w:ascii="宋体" w:hAnsi="宋体" w:eastAsia="宋体" w:cs="宋体"/>
                <w:bCs/>
                <w:kern w:val="2"/>
                <w:sz w:val="24"/>
                <w:szCs w:val="24"/>
                <w:lang w:val="en-US" w:eastAsia="zh-CN"/>
              </w:rPr>
            </w:pPr>
            <w:r>
              <w:rPr>
                <w:rFonts w:hint="eastAsia" w:cs="宋体"/>
                <w:bCs/>
                <w:kern w:val="2"/>
                <w:sz w:val="24"/>
                <w:szCs w:val="24"/>
                <w:lang w:val="en-US" w:eastAsia="zh-CN"/>
              </w:rPr>
              <w:t>5</w:t>
            </w:r>
          </w:p>
        </w:tc>
        <w:tc>
          <w:tcPr>
            <w:tcW w:w="1192" w:type="pct"/>
            <w:vAlign w:val="center"/>
          </w:tcPr>
          <w:p w14:paraId="61CF1F13">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textAlignment w:val="auto"/>
              <w:rPr>
                <w:rFonts w:hint="default" w:ascii="宋体" w:hAnsi="宋体" w:eastAsia="宋体" w:cs="宋体"/>
                <w:b w:val="0"/>
                <w:sz w:val="24"/>
                <w:szCs w:val="24"/>
                <w:lang w:val="en-US" w:eastAsia="zh-CN"/>
              </w:rPr>
            </w:pPr>
            <w:r>
              <w:rPr>
                <w:rFonts w:hint="eastAsia" w:cs="宋体"/>
                <w:b w:val="0"/>
                <w:sz w:val="24"/>
                <w:szCs w:val="24"/>
                <w:lang w:val="en-US" w:eastAsia="zh-CN"/>
              </w:rPr>
              <w:t>培训要求</w:t>
            </w:r>
          </w:p>
        </w:tc>
        <w:tc>
          <w:tcPr>
            <w:tcW w:w="3216" w:type="pct"/>
            <w:vAlign w:val="center"/>
          </w:tcPr>
          <w:p w14:paraId="76EDED41">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提供督导巡课系统的落地教师培训服务（含校院管理员、督导人员、任课教师，含系统后期新增功能）</w:t>
            </w:r>
          </w:p>
        </w:tc>
      </w:tr>
      <w:tr w14:paraId="731B6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27089FD5">
            <w:pPr>
              <w:pStyle w:val="18"/>
              <w:keepNext w:val="0"/>
              <w:keepLines w:val="0"/>
              <w:pageBreakBefore w:val="0"/>
              <w:pBdr>
                <w:bottom w:val="none" w:color="auto" w:sz="0" w:space="0"/>
              </w:pBdr>
              <w:tabs>
                <w:tab w:val="clear" w:pos="4153"/>
                <w:tab w:val="clear" w:pos="8306"/>
              </w:tabs>
              <w:kinsoku/>
              <w:wordWrap/>
              <w:overflowPunct/>
              <w:topLinePunct w:val="0"/>
              <w:autoSpaceDE/>
              <w:autoSpaceDN/>
              <w:bidi w:val="0"/>
              <w:adjustRightInd/>
              <w:snapToGrid/>
              <w:spacing w:line="440" w:lineRule="exact"/>
              <w:textAlignment w:val="auto"/>
              <w:rPr>
                <w:rFonts w:hint="eastAsia" w:ascii="宋体" w:hAnsi="宋体" w:eastAsia="宋体" w:cs="宋体"/>
                <w:bCs/>
                <w:kern w:val="2"/>
                <w:sz w:val="24"/>
                <w:szCs w:val="24"/>
                <w:lang w:eastAsia="zh-CN"/>
              </w:rPr>
            </w:pPr>
            <w:r>
              <w:rPr>
                <w:rFonts w:hint="eastAsia" w:cs="宋体"/>
                <w:bCs/>
                <w:kern w:val="2"/>
                <w:sz w:val="24"/>
                <w:szCs w:val="24"/>
                <w:lang w:val="en-US" w:eastAsia="zh-CN"/>
              </w:rPr>
              <w:t>6</w:t>
            </w:r>
          </w:p>
        </w:tc>
        <w:tc>
          <w:tcPr>
            <w:tcW w:w="1192" w:type="pct"/>
            <w:vAlign w:val="center"/>
          </w:tcPr>
          <w:p w14:paraId="0E6430D2">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textAlignment w:val="auto"/>
              <w:rPr>
                <w:rFonts w:hint="eastAsia" w:ascii="宋体" w:hAnsi="宋体" w:eastAsia="宋体" w:cs="宋体"/>
                <w:b w:val="0"/>
                <w:sz w:val="24"/>
                <w:szCs w:val="24"/>
                <w:lang w:val="en-US" w:eastAsia="zh-CN"/>
              </w:rPr>
            </w:pPr>
            <w:r>
              <w:rPr>
                <w:rFonts w:hint="eastAsia" w:ascii="宋体" w:hAnsi="宋体" w:eastAsia="宋体" w:cs="宋体"/>
                <w:b w:val="0"/>
                <w:sz w:val="24"/>
                <w:szCs w:val="24"/>
                <w:lang w:val="en-US" w:eastAsia="zh-CN"/>
              </w:rPr>
              <w:t>所属行业</w:t>
            </w:r>
          </w:p>
        </w:tc>
        <w:tc>
          <w:tcPr>
            <w:tcW w:w="3216" w:type="pct"/>
            <w:vAlign w:val="center"/>
          </w:tcPr>
          <w:p w14:paraId="71ECD1A9">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auto"/>
              <w:rPr>
                <w:rFonts w:hint="eastAsia" w:ascii="宋体" w:hAnsi="宋体" w:eastAsia="宋体" w:cs="宋体"/>
                <w:b w:val="0"/>
                <w:sz w:val="24"/>
                <w:szCs w:val="24"/>
                <w:lang w:val="en-US" w:eastAsia="zh-CN"/>
              </w:rPr>
            </w:pPr>
            <w:r>
              <w:rPr>
                <w:rFonts w:hint="eastAsia" w:ascii="宋体" w:hAnsi="宋体" w:eastAsia="宋体" w:cs="宋体"/>
                <w:color w:val="000000"/>
                <w:kern w:val="0"/>
                <w:sz w:val="24"/>
                <w:szCs w:val="24"/>
                <w:lang w:val="en-US" w:eastAsia="zh-CN" w:bidi="ar"/>
              </w:rPr>
              <w:t>本项目所有标的的所属行业均为：工业。</w:t>
            </w:r>
          </w:p>
        </w:tc>
      </w:tr>
    </w:tbl>
    <w:p w14:paraId="226F9B20">
      <w:pPr>
        <w:rPr>
          <w:rFonts w:hint="eastAsia"/>
        </w:rPr>
      </w:pPr>
    </w:p>
    <w:p w14:paraId="4539EDC4">
      <w:pPr>
        <w:rPr>
          <w:rFonts w:hint="eastAsia"/>
        </w:rPr>
      </w:pPr>
    </w:p>
    <w:p w14:paraId="029949C2">
      <w:pPr>
        <w:spacing w:line="360" w:lineRule="auto"/>
        <w:ind w:firstLine="437"/>
        <w:outlineLvl w:val="1"/>
        <w:rPr>
          <w:rFonts w:hint="eastAsia" w:ascii="宋体" w:hAnsi="宋体" w:eastAsia="宋体" w:cs="宋体"/>
          <w:b/>
          <w:bCs/>
          <w:sz w:val="24"/>
          <w:szCs w:val="18"/>
        </w:rPr>
      </w:pPr>
      <w:r>
        <w:rPr>
          <w:rFonts w:hint="eastAsia" w:ascii="宋体" w:hAnsi="宋体" w:eastAsia="宋体" w:cs="宋体"/>
          <w:b/>
          <w:bCs/>
          <w:sz w:val="24"/>
          <w:szCs w:val="18"/>
        </w:rPr>
        <w:t>二、货物需求</w:t>
      </w:r>
    </w:p>
    <w:p w14:paraId="38A13131">
      <w:pPr>
        <w:spacing w:line="360" w:lineRule="auto"/>
        <w:ind w:firstLine="437"/>
        <w:rPr>
          <w:rFonts w:hint="eastAsia" w:ascii="宋体" w:hAnsi="宋体" w:eastAsia="宋体" w:cs="宋体"/>
          <w:b/>
          <w:sz w:val="24"/>
        </w:rPr>
      </w:pPr>
      <w:r>
        <w:rPr>
          <w:rFonts w:hint="eastAsia" w:ascii="宋体" w:hAnsi="宋体" w:eastAsia="宋体" w:cs="宋体"/>
          <w:b/>
          <w:sz w:val="24"/>
        </w:rPr>
        <w:t>（一）货物需求说明</w:t>
      </w:r>
    </w:p>
    <w:tbl>
      <w:tblPr>
        <w:tblStyle w:val="1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3"/>
        <w:gridCol w:w="1305"/>
        <w:gridCol w:w="5539"/>
      </w:tblGrid>
      <w:tr w14:paraId="521DF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982" w:type="pct"/>
            <w:vAlign w:val="center"/>
          </w:tcPr>
          <w:p w14:paraId="1186114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kern w:val="0"/>
                <w:sz w:val="24"/>
                <w:szCs w:val="24"/>
              </w:rPr>
            </w:pPr>
            <w:r>
              <w:rPr>
                <w:rFonts w:hint="eastAsia" w:ascii="宋体" w:hAnsi="宋体" w:eastAsia="宋体" w:cs="宋体"/>
                <w:bCs/>
                <w:kern w:val="0"/>
                <w:sz w:val="24"/>
                <w:szCs w:val="24"/>
              </w:rPr>
              <w:t>标识重要性</w:t>
            </w:r>
          </w:p>
        </w:tc>
        <w:tc>
          <w:tcPr>
            <w:tcW w:w="766" w:type="pct"/>
            <w:vAlign w:val="center"/>
          </w:tcPr>
          <w:p w14:paraId="188B8AD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kern w:val="0"/>
                <w:sz w:val="24"/>
                <w:szCs w:val="24"/>
              </w:rPr>
            </w:pPr>
            <w:r>
              <w:rPr>
                <w:rFonts w:hint="eastAsia" w:ascii="宋体" w:hAnsi="宋体" w:eastAsia="宋体" w:cs="宋体"/>
                <w:bCs/>
                <w:kern w:val="0"/>
                <w:sz w:val="24"/>
                <w:szCs w:val="24"/>
              </w:rPr>
              <w:t>标识符号</w:t>
            </w:r>
          </w:p>
        </w:tc>
        <w:tc>
          <w:tcPr>
            <w:tcW w:w="3250" w:type="pct"/>
            <w:vAlign w:val="center"/>
          </w:tcPr>
          <w:p w14:paraId="393D101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kern w:val="0"/>
                <w:sz w:val="24"/>
                <w:szCs w:val="24"/>
              </w:rPr>
            </w:pPr>
            <w:r>
              <w:rPr>
                <w:rFonts w:hint="eastAsia" w:ascii="宋体" w:hAnsi="宋体" w:eastAsia="宋体" w:cs="宋体"/>
                <w:bCs/>
                <w:kern w:val="0"/>
                <w:sz w:val="24"/>
                <w:szCs w:val="24"/>
              </w:rPr>
              <w:t>代表意思</w:t>
            </w:r>
          </w:p>
        </w:tc>
      </w:tr>
      <w:tr w14:paraId="04AF1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982" w:type="pct"/>
            <w:vAlign w:val="center"/>
          </w:tcPr>
          <w:p w14:paraId="5BB8CB32">
            <w:pPr>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jc w:val="center"/>
              <w:textAlignment w:val="auto"/>
              <w:rPr>
                <w:rFonts w:hint="eastAsia" w:ascii="宋体" w:hAnsi="宋体" w:eastAsia="宋体" w:cs="宋体"/>
                <w:bCs/>
                <w:kern w:val="0"/>
                <w:sz w:val="24"/>
                <w:szCs w:val="24"/>
              </w:rPr>
            </w:pPr>
            <w:r>
              <w:rPr>
                <w:rFonts w:hint="eastAsia" w:ascii="宋体" w:hAnsi="宋体" w:eastAsia="宋体" w:cs="宋体"/>
                <w:b/>
                <w:bCs/>
                <w:color w:val="auto"/>
                <w:kern w:val="0"/>
                <w:sz w:val="24"/>
                <w:szCs w:val="24"/>
                <w:lang w:val="en-US" w:eastAsia="zh-CN"/>
              </w:rPr>
              <w:t>实质性响应</w:t>
            </w:r>
            <w:r>
              <w:rPr>
                <w:rFonts w:hint="eastAsia" w:cs="宋体"/>
                <w:b/>
                <w:bCs/>
                <w:color w:val="auto"/>
                <w:kern w:val="0"/>
                <w:sz w:val="24"/>
                <w:szCs w:val="24"/>
                <w:lang w:val="en-US" w:eastAsia="zh-CN"/>
              </w:rPr>
              <w:t>项</w:t>
            </w:r>
          </w:p>
        </w:tc>
        <w:tc>
          <w:tcPr>
            <w:tcW w:w="766" w:type="pct"/>
            <w:vAlign w:val="center"/>
          </w:tcPr>
          <w:p w14:paraId="5AA2F09D">
            <w:pPr>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jc w:val="center"/>
              <w:textAlignment w:val="auto"/>
              <w:rPr>
                <w:rFonts w:hint="eastAsia" w:ascii="宋体" w:hAnsi="宋体" w:eastAsia="宋体" w:cs="宋体"/>
                <w:bCs/>
                <w:kern w:val="0"/>
                <w:sz w:val="24"/>
                <w:szCs w:val="24"/>
              </w:rPr>
            </w:pPr>
            <w:r>
              <w:rPr>
                <w:rFonts w:hint="eastAsia" w:ascii="宋体" w:hAnsi="宋体" w:eastAsia="宋体" w:cs="宋体"/>
                <w:bCs/>
                <w:kern w:val="0"/>
                <w:sz w:val="24"/>
                <w:szCs w:val="24"/>
              </w:rPr>
              <w:t>●</w:t>
            </w:r>
          </w:p>
        </w:tc>
        <w:tc>
          <w:tcPr>
            <w:tcW w:w="3250" w:type="pct"/>
            <w:vAlign w:val="center"/>
          </w:tcPr>
          <w:p w14:paraId="33E8E9B8">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left="0" w:leftChars="0" w:firstLine="0" w:firstLineChars="0"/>
              <w:jc w:val="both"/>
              <w:textAlignment w:val="auto"/>
              <w:rPr>
                <w:rFonts w:hint="eastAsia" w:ascii="宋体" w:hAnsi="宋体" w:eastAsia="宋体" w:cs="宋体"/>
                <w:bCs/>
                <w:kern w:val="0"/>
                <w:sz w:val="24"/>
                <w:szCs w:val="24"/>
              </w:rPr>
            </w:pPr>
            <w:r>
              <w:rPr>
                <w:rFonts w:hint="eastAsia" w:ascii="宋体" w:hAnsi="宋体" w:eastAsia="宋体" w:cs="宋体"/>
                <w:sz w:val="24"/>
                <w:szCs w:val="24"/>
                <w:lang w:val="en-US" w:eastAsia="zh-CN"/>
              </w:rPr>
              <w:t>作为实质性响应项</w:t>
            </w:r>
            <w:r>
              <w:rPr>
                <w:rFonts w:hint="eastAsia" w:ascii="宋体" w:hAnsi="宋体" w:eastAsia="宋体" w:cs="宋体"/>
                <w:sz w:val="24"/>
                <w:szCs w:val="24"/>
              </w:rPr>
              <w:t>，该指标项负偏离的，将导致投标无效。</w:t>
            </w:r>
          </w:p>
        </w:tc>
      </w:tr>
      <w:tr w14:paraId="799F0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 w:hRule="atLeast"/>
          <w:jc w:val="center"/>
        </w:trPr>
        <w:tc>
          <w:tcPr>
            <w:tcW w:w="982" w:type="pct"/>
            <w:vAlign w:val="center"/>
          </w:tcPr>
          <w:p w14:paraId="5AE18D0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kern w:val="0"/>
                <w:sz w:val="24"/>
                <w:szCs w:val="24"/>
              </w:rPr>
            </w:pPr>
            <w:r>
              <w:rPr>
                <w:rFonts w:hint="eastAsia" w:ascii="宋体" w:hAnsi="宋体" w:eastAsia="宋体" w:cs="宋体"/>
                <w:b/>
                <w:bCs/>
                <w:kern w:val="0"/>
                <w:sz w:val="24"/>
                <w:szCs w:val="24"/>
              </w:rPr>
              <w:t>重要指标项</w:t>
            </w:r>
          </w:p>
        </w:tc>
        <w:tc>
          <w:tcPr>
            <w:tcW w:w="766" w:type="pct"/>
            <w:vAlign w:val="center"/>
          </w:tcPr>
          <w:p w14:paraId="15EAFC2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kern w:val="0"/>
                <w:sz w:val="24"/>
                <w:szCs w:val="24"/>
              </w:rPr>
            </w:pPr>
            <w:r>
              <w:rPr>
                <w:rFonts w:hint="eastAsia" w:ascii="宋体" w:hAnsi="宋体" w:eastAsia="宋体" w:cs="宋体"/>
                <w:b/>
                <w:bCs/>
                <w:kern w:val="0"/>
                <w:sz w:val="24"/>
                <w:szCs w:val="24"/>
              </w:rPr>
              <w:t>★</w:t>
            </w:r>
          </w:p>
        </w:tc>
        <w:tc>
          <w:tcPr>
            <w:tcW w:w="3250" w:type="pct"/>
            <w:vAlign w:val="center"/>
          </w:tcPr>
          <w:p w14:paraId="0D9270F1">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jc w:val="both"/>
              <w:textAlignment w:val="auto"/>
              <w:rPr>
                <w:rFonts w:hint="eastAsia" w:ascii="宋体" w:hAnsi="宋体" w:eastAsia="宋体" w:cs="宋体"/>
                <w:sz w:val="24"/>
                <w:szCs w:val="24"/>
              </w:rPr>
            </w:pPr>
            <w:r>
              <w:rPr>
                <w:rFonts w:hint="eastAsia" w:ascii="宋体" w:hAnsi="宋体" w:eastAsia="宋体" w:cs="宋体"/>
                <w:sz w:val="24"/>
                <w:szCs w:val="24"/>
              </w:rPr>
              <w:t>作为评分项，详见“第四章评标方法和标准”中评分细则。</w:t>
            </w:r>
          </w:p>
        </w:tc>
      </w:tr>
      <w:tr w14:paraId="05535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982" w:type="pct"/>
            <w:vAlign w:val="center"/>
          </w:tcPr>
          <w:p w14:paraId="0460D1D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b/>
                <w:bCs/>
                <w:color w:val="auto"/>
                <w:kern w:val="0"/>
                <w:sz w:val="24"/>
                <w:szCs w:val="24"/>
              </w:rPr>
              <w:t>无标识项</w:t>
            </w:r>
          </w:p>
        </w:tc>
        <w:tc>
          <w:tcPr>
            <w:tcW w:w="766" w:type="pct"/>
            <w:vAlign w:val="center"/>
          </w:tcPr>
          <w:p w14:paraId="10A28F3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b/>
                <w:bCs/>
                <w:color w:val="auto"/>
                <w:kern w:val="0"/>
                <w:sz w:val="24"/>
                <w:szCs w:val="24"/>
              </w:rPr>
              <w:t>无</w:t>
            </w:r>
          </w:p>
        </w:tc>
        <w:tc>
          <w:tcPr>
            <w:tcW w:w="3250" w:type="pct"/>
            <w:vAlign w:val="center"/>
          </w:tcPr>
          <w:p w14:paraId="698981A8">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jc w:val="both"/>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无标识项为符合性审查项，</w:t>
            </w:r>
            <w:r>
              <w:rPr>
                <w:rFonts w:hint="eastAsia" w:cs="宋体"/>
                <w:color w:val="auto"/>
                <w:sz w:val="24"/>
                <w:szCs w:val="24"/>
                <w:lang w:val="en-US" w:eastAsia="zh-CN"/>
              </w:rPr>
              <w:t>5</w:t>
            </w:r>
            <w:r>
              <w:rPr>
                <w:rFonts w:hint="eastAsia" w:ascii="宋体" w:hAnsi="宋体" w:eastAsia="宋体" w:cs="宋体"/>
                <w:color w:val="auto"/>
                <w:sz w:val="24"/>
                <w:szCs w:val="24"/>
              </w:rPr>
              <w:t>项及以上</w:t>
            </w:r>
            <w:r>
              <w:rPr>
                <w:rFonts w:hint="eastAsia" w:cs="宋体"/>
                <w:color w:val="auto"/>
                <w:sz w:val="24"/>
                <w:szCs w:val="24"/>
                <w:lang w:val="en-US" w:eastAsia="zh-CN"/>
              </w:rPr>
              <w:t>未响应或</w:t>
            </w:r>
            <w:r>
              <w:rPr>
                <w:rFonts w:hint="eastAsia" w:ascii="宋体" w:hAnsi="宋体" w:eastAsia="宋体" w:cs="宋体"/>
                <w:color w:val="auto"/>
                <w:sz w:val="24"/>
                <w:szCs w:val="24"/>
              </w:rPr>
              <w:t>负偏离的，投标无效。</w:t>
            </w:r>
          </w:p>
        </w:tc>
      </w:tr>
      <w:tr w14:paraId="63563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5" w:hRule="atLeast"/>
          <w:jc w:val="center"/>
        </w:trPr>
        <w:tc>
          <w:tcPr>
            <w:tcW w:w="5000" w:type="pct"/>
            <w:gridSpan w:val="3"/>
            <w:vAlign w:val="center"/>
          </w:tcPr>
          <w:p w14:paraId="49BEABF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bCs/>
                <w:sz w:val="24"/>
                <w:szCs w:val="24"/>
              </w:rPr>
            </w:pPr>
            <w:r>
              <w:rPr>
                <w:rFonts w:hint="eastAsia" w:ascii="宋体" w:hAnsi="宋体" w:eastAsia="宋体" w:cs="宋体"/>
                <w:b/>
                <w:bCs/>
                <w:sz w:val="24"/>
                <w:szCs w:val="24"/>
              </w:rPr>
              <w:t>注：</w:t>
            </w:r>
          </w:p>
          <w:p w14:paraId="4F759F1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bCs/>
                <w:sz w:val="24"/>
                <w:szCs w:val="24"/>
              </w:rPr>
            </w:pPr>
            <w:r>
              <w:rPr>
                <w:rFonts w:hint="eastAsia" w:ascii="宋体" w:hAnsi="宋体" w:eastAsia="宋体" w:cs="宋体"/>
                <w:sz w:val="24"/>
                <w:szCs w:val="24"/>
              </w:rPr>
              <w:t>1.</w:t>
            </w:r>
            <w:r>
              <w:rPr>
                <w:rFonts w:hint="eastAsia" w:ascii="宋体" w:hAnsi="宋体" w:eastAsia="宋体" w:cs="宋体"/>
                <w:b/>
                <w:bCs/>
                <w:sz w:val="24"/>
                <w:szCs w:val="24"/>
              </w:rPr>
              <w:t>如某项标识中包含多条技术参数或要求，则该项标识所含内容均需满足或优于招标文件要求，否则不予认可。</w:t>
            </w:r>
          </w:p>
          <w:p w14:paraId="3D0F05C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bCs/>
                <w:sz w:val="24"/>
                <w:szCs w:val="24"/>
              </w:rPr>
            </w:pPr>
            <w:r>
              <w:rPr>
                <w:rFonts w:hint="eastAsia" w:ascii="宋体" w:hAnsi="宋体" w:eastAsia="宋体" w:cs="宋体"/>
                <w:b/>
                <w:bCs/>
                <w:sz w:val="24"/>
                <w:szCs w:val="24"/>
              </w:rPr>
              <w:t>2.以投标响应表中“6.2技术响应表”响应情况及采购需求中要求提供的证明材料作为评审依据。</w:t>
            </w:r>
          </w:p>
        </w:tc>
      </w:tr>
    </w:tbl>
    <w:p w14:paraId="0D20B6CB">
      <w:pPr>
        <w:rPr>
          <w:rFonts w:hint="eastAsia" w:ascii="宋体" w:hAnsi="宋体" w:eastAsia="宋体" w:cs="宋体"/>
          <w:b/>
          <w:sz w:val="24"/>
        </w:rPr>
      </w:pPr>
    </w:p>
    <w:p w14:paraId="51C20ECC">
      <w:pPr>
        <w:rPr>
          <w:rFonts w:hint="eastAsia" w:ascii="宋体" w:hAnsi="宋体" w:eastAsia="宋体" w:cs="宋体"/>
        </w:rPr>
      </w:pPr>
      <w:r>
        <w:rPr>
          <w:rFonts w:hint="eastAsia" w:ascii="宋体" w:hAnsi="宋体" w:eastAsia="宋体" w:cs="宋体"/>
          <w:b/>
          <w:sz w:val="24"/>
        </w:rPr>
        <w:t>（</w:t>
      </w:r>
      <w:r>
        <w:rPr>
          <w:rFonts w:hint="eastAsia" w:ascii="宋体" w:hAnsi="宋体" w:eastAsia="宋体" w:cs="宋体"/>
          <w:b/>
          <w:sz w:val="24"/>
          <w:lang w:val="en-US" w:eastAsia="zh-CN"/>
        </w:rPr>
        <w:t>二</w:t>
      </w:r>
      <w:r>
        <w:rPr>
          <w:rFonts w:hint="eastAsia" w:ascii="宋体" w:hAnsi="宋体" w:eastAsia="宋体" w:cs="宋体"/>
          <w:b/>
          <w:sz w:val="24"/>
        </w:rPr>
        <w:t>）货物</w:t>
      </w:r>
      <w:r>
        <w:rPr>
          <w:rFonts w:hint="eastAsia" w:cs="宋体"/>
          <w:b/>
          <w:sz w:val="24"/>
          <w:lang w:val="en-US" w:eastAsia="zh-CN"/>
        </w:rPr>
        <w:t>具体</w:t>
      </w:r>
      <w:r>
        <w:rPr>
          <w:rFonts w:hint="eastAsia" w:ascii="宋体" w:hAnsi="宋体" w:eastAsia="宋体" w:cs="宋体"/>
          <w:b/>
          <w:sz w:val="24"/>
        </w:rPr>
        <w:t>需求</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2"/>
        <w:gridCol w:w="726"/>
        <w:gridCol w:w="5176"/>
        <w:gridCol w:w="936"/>
        <w:gridCol w:w="670"/>
        <w:gridCol w:w="502"/>
      </w:tblGrid>
      <w:tr w14:paraId="50CD1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0" w:type="pct"/>
            <w:vAlign w:val="center"/>
          </w:tcPr>
          <w:p w14:paraId="2851DBF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426" w:type="pct"/>
            <w:vAlign w:val="center"/>
          </w:tcPr>
          <w:p w14:paraId="5104A2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货物名称</w:t>
            </w:r>
          </w:p>
        </w:tc>
        <w:tc>
          <w:tcPr>
            <w:tcW w:w="3036" w:type="pct"/>
            <w:vAlign w:val="center"/>
          </w:tcPr>
          <w:p w14:paraId="04ECB1E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技术参数及要求</w:t>
            </w:r>
          </w:p>
        </w:tc>
        <w:tc>
          <w:tcPr>
            <w:tcW w:w="549" w:type="pct"/>
            <w:vAlign w:val="center"/>
          </w:tcPr>
          <w:p w14:paraId="03E3D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数量</w:t>
            </w:r>
          </w:p>
          <w:p w14:paraId="299CE87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（单位）</w:t>
            </w:r>
          </w:p>
        </w:tc>
        <w:tc>
          <w:tcPr>
            <w:tcW w:w="393" w:type="pct"/>
            <w:vAlign w:val="center"/>
          </w:tcPr>
          <w:p w14:paraId="45465C4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所属行业</w:t>
            </w:r>
          </w:p>
        </w:tc>
        <w:tc>
          <w:tcPr>
            <w:tcW w:w="294" w:type="pct"/>
            <w:vAlign w:val="center"/>
          </w:tcPr>
          <w:p w14:paraId="126B49F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b/>
                <w:bCs/>
                <w:sz w:val="21"/>
                <w:szCs w:val="21"/>
                <w:lang w:eastAsia="zh-CN"/>
              </w:rPr>
            </w:pPr>
            <w:r>
              <w:rPr>
                <w:rFonts w:hint="eastAsia" w:ascii="宋体" w:hAnsi="宋体" w:eastAsia="宋体" w:cs="宋体"/>
                <w:b/>
                <w:bCs/>
                <w:sz w:val="21"/>
                <w:szCs w:val="21"/>
                <w:lang w:eastAsia="zh-CN"/>
              </w:rPr>
              <w:t>备注</w:t>
            </w:r>
          </w:p>
        </w:tc>
      </w:tr>
      <w:tr w14:paraId="6AC6C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0" w:type="pct"/>
            <w:vAlign w:val="center"/>
          </w:tcPr>
          <w:p w14:paraId="00488F3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1</w:t>
            </w:r>
          </w:p>
        </w:tc>
        <w:tc>
          <w:tcPr>
            <w:tcW w:w="426" w:type="pct"/>
            <w:vAlign w:val="center"/>
          </w:tcPr>
          <w:p w14:paraId="75716A48">
            <w:pPr>
              <w:keepNext w:val="0"/>
              <w:keepLines w:val="0"/>
              <w:widowControl/>
              <w:suppressLineNumbers w:val="0"/>
              <w:ind w:left="0" w:leftChars="0" w:firstLine="0" w:firstLineChars="0"/>
              <w:jc w:val="center"/>
              <w:textAlignment w:val="center"/>
              <w:rPr>
                <w:rFonts w:hint="eastAsia" w:ascii="宋体" w:hAnsi="宋体" w:eastAsia="宋体" w:cs="宋体"/>
                <w:bCs/>
                <w:sz w:val="21"/>
                <w:szCs w:val="21"/>
              </w:rPr>
            </w:pPr>
            <w:r>
              <w:rPr>
                <w:rFonts w:hint="eastAsia" w:ascii="宋体" w:hAnsi="宋体" w:eastAsia="宋体" w:cs="宋体"/>
                <w:sz w:val="21"/>
                <w:szCs w:val="21"/>
              </w:rPr>
              <w:t>▲</w:t>
            </w:r>
            <w:r>
              <w:rPr>
                <w:rFonts w:hint="eastAsia" w:ascii="宋体" w:hAnsi="宋体" w:eastAsia="宋体" w:cs="宋体"/>
                <w:i w:val="0"/>
                <w:iCs w:val="0"/>
                <w:color w:val="000000"/>
                <w:kern w:val="0"/>
                <w:sz w:val="21"/>
                <w:szCs w:val="21"/>
                <w:u w:val="none"/>
                <w:lang w:val="en-US" w:eastAsia="zh-CN" w:bidi="ar"/>
              </w:rPr>
              <w:t>督导巡课处理终端</w:t>
            </w:r>
          </w:p>
        </w:tc>
        <w:tc>
          <w:tcPr>
            <w:tcW w:w="3036" w:type="pct"/>
            <w:shd w:val="clear" w:color="auto" w:fill="auto"/>
            <w:vAlign w:val="center"/>
          </w:tcPr>
          <w:p w14:paraId="3F8FB9D0">
            <w:pPr>
              <w:widowControl/>
              <w:jc w:val="left"/>
              <w:textAlignment w:val="center"/>
              <w:rPr>
                <w:rFonts w:hint="eastAsia" w:ascii="宋体" w:hAnsi="宋体" w:eastAsia="宋体" w:cs="宋体"/>
                <w:b/>
                <w:bCs/>
                <w:sz w:val="21"/>
                <w:szCs w:val="21"/>
                <w:highlight w:val="none"/>
              </w:rPr>
            </w:pPr>
            <w:r>
              <w:rPr>
                <w:rFonts w:hint="eastAsia" w:ascii="宋体" w:hAnsi="宋体" w:eastAsia="宋体" w:cs="宋体"/>
                <w:b/>
                <w:bCs/>
                <w:color w:val="000000"/>
                <w:sz w:val="21"/>
                <w:szCs w:val="21"/>
              </w:rPr>
              <w:t>●</w:t>
            </w:r>
            <w:r>
              <w:rPr>
                <w:rFonts w:hint="eastAsia" w:ascii="宋体" w:hAnsi="宋体" w:eastAsia="宋体" w:cs="宋体"/>
                <w:b/>
                <w:bCs/>
                <w:sz w:val="21"/>
                <w:szCs w:val="21"/>
                <w:highlight w:val="none"/>
              </w:rPr>
              <w:t>1.主机采用一体化架构设计，采用Linux操作系统。机身高度不超过1U，内置≥8核心ARM架构处理器，主频均≥1.8GHz</w:t>
            </w:r>
            <w:r>
              <w:rPr>
                <w:rFonts w:hint="eastAsia" w:ascii="宋体" w:hAnsi="宋体" w:eastAsia="宋体" w:cs="宋体"/>
                <w:b/>
                <w:bCs/>
                <w:sz w:val="21"/>
                <w:szCs w:val="21"/>
                <w:highlight w:val="none"/>
                <w:lang w:val="en-US" w:eastAsia="zh-CN"/>
              </w:rPr>
              <w:t>，</w:t>
            </w:r>
            <w:r>
              <w:rPr>
                <w:rFonts w:hint="eastAsia" w:ascii="宋体" w:hAnsi="宋体" w:eastAsia="宋体" w:cs="宋体"/>
                <w:b/>
                <w:bCs/>
                <w:sz w:val="21"/>
                <w:szCs w:val="21"/>
                <w:highlight w:val="none"/>
              </w:rPr>
              <w:t>硬盘存储≥1TB，支持≥1个硬盘扩展位，</w:t>
            </w:r>
            <w:r>
              <w:rPr>
                <w:rFonts w:hint="eastAsia" w:ascii="宋体" w:hAnsi="宋体" w:eastAsia="宋体" w:cs="宋体"/>
                <w:b/>
                <w:bCs/>
                <w:sz w:val="21"/>
                <w:szCs w:val="21"/>
                <w:highlight w:val="none"/>
                <w:lang w:eastAsia="zh-CN"/>
              </w:rPr>
              <w:t>可</w:t>
            </w:r>
            <w:r>
              <w:rPr>
                <w:rFonts w:hint="eastAsia" w:ascii="宋体" w:hAnsi="宋体" w:eastAsia="宋体" w:cs="宋体"/>
                <w:b/>
                <w:bCs/>
                <w:sz w:val="21"/>
                <w:szCs w:val="21"/>
                <w:highlight w:val="none"/>
              </w:rPr>
              <w:t>扩展容量≥8TB</w:t>
            </w:r>
            <w:r>
              <w:rPr>
                <w:rFonts w:hint="eastAsia" w:ascii="宋体" w:hAnsi="宋体" w:eastAsia="宋体" w:cs="宋体"/>
                <w:b/>
                <w:bCs/>
                <w:sz w:val="21"/>
                <w:szCs w:val="21"/>
                <w:highlight w:val="none"/>
                <w:lang w:eastAsia="zh-CN"/>
              </w:rPr>
              <w:t>，</w:t>
            </w:r>
            <w:r>
              <w:rPr>
                <w:rFonts w:hint="eastAsia" w:ascii="宋体" w:hAnsi="宋体" w:eastAsia="宋体" w:cs="宋体"/>
                <w:b/>
                <w:bCs/>
                <w:sz w:val="21"/>
                <w:szCs w:val="21"/>
                <w:highlight w:val="none"/>
              </w:rPr>
              <w:t>主机平均噪声小于15dB（A）</w:t>
            </w:r>
            <w:r>
              <w:rPr>
                <w:rFonts w:hint="eastAsia" w:ascii="宋体" w:hAnsi="宋体" w:eastAsia="宋体" w:cs="宋体"/>
                <w:b/>
                <w:bCs/>
                <w:sz w:val="21"/>
                <w:szCs w:val="21"/>
                <w:highlight w:val="none"/>
                <w:lang w:eastAsia="zh-CN"/>
              </w:rPr>
              <w:t>；</w:t>
            </w:r>
            <w:r>
              <w:rPr>
                <w:rFonts w:hint="eastAsia" w:ascii="宋体" w:hAnsi="宋体" w:eastAsia="宋体" w:cs="宋体"/>
                <w:b/>
                <w:bCs/>
                <w:sz w:val="21"/>
                <w:szCs w:val="21"/>
                <w:highlight w:val="none"/>
              </w:rPr>
              <w:t>（投标文件中提供具有CMA标识的检测报告扫描件）</w:t>
            </w:r>
          </w:p>
          <w:p w14:paraId="6FC13E69">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2.主机具备录制、导播、存储、点播、互动、AI分析等功能；能够完成讲台电脑视频与音频的同步采集与编码，能够采集教师摄像机与学生摄像机、阵列麦克风的信号，并能够实现音视频同步，支持H.264/H.265编解码</w:t>
            </w:r>
            <w:r>
              <w:rPr>
                <w:rFonts w:hint="eastAsia" w:ascii="宋体" w:hAnsi="宋体" w:eastAsia="宋体" w:cs="宋体"/>
                <w:sz w:val="21"/>
                <w:szCs w:val="21"/>
                <w:highlight w:val="none"/>
                <w:lang w:eastAsia="zh-CN"/>
              </w:rPr>
              <w:t>；</w:t>
            </w:r>
          </w:p>
          <w:p w14:paraId="2259B752">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3.主机内置跟踪功能，无需额外配置跟踪主机即可实现智能图像识别跟踪分析与处理功能</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主机支持内置音频处理器，无需额外的音频处理设备</w:t>
            </w:r>
            <w:r>
              <w:rPr>
                <w:rFonts w:hint="eastAsia" w:ascii="宋体" w:hAnsi="宋体" w:eastAsia="宋体" w:cs="宋体"/>
                <w:sz w:val="21"/>
                <w:szCs w:val="21"/>
                <w:highlight w:val="none"/>
                <w:lang w:eastAsia="zh-CN"/>
              </w:rPr>
              <w:t>；</w:t>
            </w:r>
          </w:p>
          <w:p w14:paraId="7CF9A7CC">
            <w:pPr>
              <w:widowControl/>
              <w:jc w:val="left"/>
              <w:textAlignment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4.主机支持≥3个HDMI高清接口。其中HDMI输入接口≥1个，HDMI输出接口≥2个。支持≥4个RJ45接口，其中≥3个支持POE。支持≥2个USB接口，其中USB-A接口≥1个。Type-C接口≥1个。支持HDMI唤醒功能，当HDMI有信号输入时，主机会自动联动开机</w:t>
            </w:r>
            <w:r>
              <w:rPr>
                <w:rFonts w:hint="eastAsia" w:ascii="宋体" w:hAnsi="宋体" w:eastAsia="宋体" w:cs="宋体"/>
                <w:b/>
                <w:bCs/>
                <w:sz w:val="21"/>
                <w:szCs w:val="21"/>
                <w:highlight w:val="none"/>
                <w:lang w:eastAsia="zh-CN"/>
              </w:rPr>
              <w:t>；</w:t>
            </w:r>
            <w:r>
              <w:rPr>
                <w:rFonts w:hint="eastAsia" w:ascii="宋体" w:hAnsi="宋体" w:eastAsia="宋体" w:cs="宋体"/>
                <w:b/>
                <w:bCs/>
                <w:sz w:val="21"/>
                <w:szCs w:val="21"/>
                <w:highlight w:val="none"/>
              </w:rPr>
              <w:t>（投标文件中提供具有CMA标识的检测报告扫描件）</w:t>
            </w:r>
          </w:p>
          <w:p w14:paraId="230553C2">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5.支持通过Type-C接口实现音视频同步输出，输出分辨率≥3840×2160，输出音频可通过主机控制软件实现混音，兼容主流视频会议软件</w:t>
            </w:r>
            <w:r>
              <w:rPr>
                <w:rFonts w:hint="eastAsia" w:ascii="宋体" w:hAnsi="宋体" w:eastAsia="宋体" w:cs="宋体"/>
                <w:sz w:val="21"/>
                <w:szCs w:val="21"/>
                <w:highlight w:val="none"/>
                <w:lang w:eastAsia="zh-CN"/>
              </w:rPr>
              <w:t>；</w:t>
            </w:r>
          </w:p>
          <w:p w14:paraId="5DE8E47D">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6.支持≥1个多功能按键，通过按键可以实现开机、关机、待机。支持≥1个复位按钮</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可实现整机设置恢复出厂设置</w:t>
            </w:r>
            <w:r>
              <w:rPr>
                <w:rFonts w:hint="eastAsia" w:ascii="宋体" w:hAnsi="宋体" w:eastAsia="宋体" w:cs="宋体"/>
                <w:sz w:val="21"/>
                <w:szCs w:val="21"/>
                <w:highlight w:val="none"/>
                <w:lang w:eastAsia="zh-CN"/>
              </w:rPr>
              <w:t>；</w:t>
            </w:r>
          </w:p>
          <w:p w14:paraId="38036A79">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7.支持视频分段录制，可根据视频大小分段录制，可选择500MB、1GB、2GB等；或可根据视频时长分段，可选择30分钟、60分钟等。支持录制码率区间为64Kbps～16Mbps可调</w:t>
            </w:r>
            <w:r>
              <w:rPr>
                <w:rFonts w:hint="eastAsia" w:ascii="宋体" w:hAnsi="宋体" w:eastAsia="宋体" w:cs="宋体"/>
                <w:sz w:val="21"/>
                <w:szCs w:val="21"/>
                <w:highlight w:val="none"/>
                <w:lang w:eastAsia="zh-CN"/>
              </w:rPr>
              <w:t>；</w:t>
            </w:r>
          </w:p>
          <w:p w14:paraId="307D3162">
            <w:pPr>
              <w:widowControl/>
              <w:jc w:val="left"/>
              <w:textAlignment w:val="center"/>
              <w:rPr>
                <w:rFonts w:hint="eastAsia" w:ascii="宋体" w:hAnsi="宋体" w:eastAsia="宋体" w:cs="宋体"/>
                <w:sz w:val="21"/>
                <w:szCs w:val="21"/>
                <w:highlight w:val="none"/>
              </w:rPr>
            </w:pPr>
            <w:r>
              <w:rPr>
                <w:rFonts w:hint="eastAsia" w:ascii="宋体" w:hAnsi="宋体" w:eastAsia="宋体" w:cs="宋体"/>
                <w:sz w:val="21"/>
                <w:szCs w:val="21"/>
                <w:highlight w:val="none"/>
              </w:rPr>
              <w:t>8.支持内置网络监测功能，无需安装第三方软件，可检测主机的服务联通性、网络稳定性、上下行速度、网络追踪性、网卡信息等。支持各项单独检测及一键检测，检测时可动态展示实时数据变化</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 xml:space="preserve"> </w:t>
            </w:r>
          </w:p>
          <w:p w14:paraId="50C94B06">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9.支持开启AI分析功能，开启后可进行课堂行为分析，在平台中生成报告。报告中可查看课堂实录、课堂热力图、AI建议分析；教学行为分析及总结；问答模式、提问类型、学生应答、教师理答、问答实录分析及总结；弗兰德斯互动分析、S-T/Rt-Ch教学分析及总结等</w:t>
            </w:r>
            <w:r>
              <w:rPr>
                <w:rFonts w:hint="eastAsia" w:ascii="宋体" w:hAnsi="宋体" w:eastAsia="宋体" w:cs="宋体"/>
                <w:sz w:val="21"/>
                <w:szCs w:val="21"/>
                <w:highlight w:val="none"/>
                <w:lang w:eastAsia="zh-CN"/>
              </w:rPr>
              <w:t>；</w:t>
            </w:r>
          </w:p>
          <w:p w14:paraId="46699E7F">
            <w:pPr>
              <w:widowControl/>
              <w:jc w:val="left"/>
              <w:textAlignment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★10.支持教师端跟踪区域、快照区域、板书区域、屏蔽区域</w:t>
            </w:r>
            <w:r>
              <w:rPr>
                <w:rFonts w:hint="eastAsia" w:ascii="宋体" w:hAnsi="宋体" w:eastAsia="宋体" w:cs="宋体"/>
                <w:b/>
                <w:bCs/>
                <w:sz w:val="21"/>
                <w:szCs w:val="21"/>
                <w:highlight w:val="none"/>
                <w:lang w:eastAsia="zh-CN"/>
              </w:rPr>
              <w:t>等</w:t>
            </w:r>
            <w:r>
              <w:rPr>
                <w:rFonts w:hint="eastAsia" w:ascii="宋体" w:hAnsi="宋体" w:eastAsia="宋体" w:cs="宋体"/>
                <w:b/>
                <w:bCs/>
                <w:sz w:val="21"/>
                <w:szCs w:val="21"/>
                <w:highlight w:val="none"/>
              </w:rPr>
              <w:t>设置，勾选后可通过鼠标绘制对应区域，不同区域通过不同颜色画框展现。支持智能检测，系统可自动框选跟踪区域，快速清除快照区域，调用相机配置，自动确定跟踪区域</w:t>
            </w:r>
            <w:r>
              <w:rPr>
                <w:rFonts w:hint="eastAsia" w:ascii="宋体" w:hAnsi="宋体" w:eastAsia="宋体" w:cs="宋体"/>
                <w:b/>
                <w:bCs/>
                <w:sz w:val="21"/>
                <w:szCs w:val="21"/>
                <w:highlight w:val="none"/>
                <w:lang w:eastAsia="zh-CN"/>
              </w:rPr>
              <w:t>；</w:t>
            </w:r>
            <w:r>
              <w:rPr>
                <w:rFonts w:hint="eastAsia" w:ascii="宋体" w:hAnsi="宋体" w:eastAsia="宋体" w:cs="宋体"/>
                <w:b/>
                <w:bCs/>
                <w:sz w:val="21"/>
                <w:szCs w:val="21"/>
                <w:highlight w:val="none"/>
              </w:rPr>
              <w:t>（投标文件中提供具有CMA标识的检测报告扫描件）</w:t>
            </w:r>
          </w:p>
          <w:p w14:paraId="2468242D">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11.支持学生端开启人脸检测，开启后将通过人脸判定跟踪目标是否需要切换特写</w:t>
            </w:r>
            <w:r>
              <w:rPr>
                <w:rFonts w:hint="eastAsia" w:ascii="宋体" w:hAnsi="宋体" w:eastAsia="宋体" w:cs="宋体"/>
                <w:sz w:val="21"/>
                <w:szCs w:val="21"/>
                <w:highlight w:val="none"/>
                <w:lang w:eastAsia="zh-CN"/>
              </w:rPr>
              <w:t>；</w:t>
            </w:r>
          </w:p>
          <w:p w14:paraId="513F62C9">
            <w:pPr>
              <w:widowControl/>
              <w:jc w:val="left"/>
              <w:textAlignment w:val="center"/>
              <w:rPr>
                <w:rFonts w:hint="eastAsia" w:ascii="宋体" w:hAnsi="宋体" w:eastAsia="宋体" w:cs="宋体"/>
                <w:kern w:val="0"/>
                <w:sz w:val="21"/>
                <w:szCs w:val="21"/>
                <w:lang w:val="en-US" w:eastAsia="zh-CN" w:bidi="ar-SA"/>
              </w:rPr>
            </w:pPr>
            <w:r>
              <w:rPr>
                <w:rFonts w:hint="eastAsia" w:ascii="宋体" w:hAnsi="宋体" w:eastAsia="宋体" w:cs="宋体"/>
                <w:b/>
                <w:bCs/>
                <w:sz w:val="21"/>
                <w:szCs w:val="21"/>
                <w:highlight w:val="none"/>
              </w:rPr>
              <w:t>★12.支持通过手机扫码实现字幕输入，可输入≥50个字符。导入后支持显示/隐藏控制，支持拖拽调节字幕任意位置，或通过≥6个预设位置调整字体位置；支持通过≥3个预设字号调整字体大小；支持通过≥5种预设颜色调整字体颜色。支持批量管理字幕，可批量勾选并删除。（投标文件中提供具有CMA标识的检测报告扫描件）</w:t>
            </w:r>
          </w:p>
        </w:tc>
        <w:tc>
          <w:tcPr>
            <w:tcW w:w="549" w:type="pct"/>
            <w:vAlign w:val="center"/>
          </w:tcPr>
          <w:p w14:paraId="1E40C9A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3</w:t>
            </w:r>
            <w:r>
              <w:rPr>
                <w:rFonts w:hint="eastAsia" w:cs="宋体"/>
                <w:bCs/>
                <w:sz w:val="21"/>
                <w:szCs w:val="21"/>
                <w:lang w:val="en-US" w:eastAsia="zh-CN"/>
              </w:rPr>
              <w:t>60</w:t>
            </w:r>
            <w:r>
              <w:rPr>
                <w:rFonts w:hint="eastAsia" w:ascii="宋体" w:hAnsi="宋体" w:eastAsia="宋体" w:cs="宋体"/>
                <w:bCs/>
                <w:sz w:val="21"/>
                <w:szCs w:val="21"/>
                <w:lang w:val="en-US" w:eastAsia="zh-CN"/>
              </w:rPr>
              <w:t>台</w:t>
            </w:r>
          </w:p>
        </w:tc>
        <w:tc>
          <w:tcPr>
            <w:tcW w:w="393" w:type="pct"/>
            <w:vAlign w:val="center"/>
          </w:tcPr>
          <w:p w14:paraId="74F8596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工业</w:t>
            </w:r>
          </w:p>
        </w:tc>
        <w:tc>
          <w:tcPr>
            <w:tcW w:w="294" w:type="pct"/>
            <w:vAlign w:val="center"/>
          </w:tcPr>
          <w:p w14:paraId="472285F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bCs/>
                <w:sz w:val="21"/>
                <w:szCs w:val="21"/>
                <w:lang w:val="en-US"/>
              </w:rPr>
            </w:pPr>
            <w:r>
              <w:rPr>
                <w:rFonts w:hint="eastAsia" w:ascii="宋体" w:hAnsi="宋体" w:eastAsia="宋体" w:cs="宋体"/>
                <w:bCs/>
                <w:sz w:val="21"/>
                <w:szCs w:val="21"/>
                <w:lang w:val="en-US"/>
              </w:rPr>
              <w:t>/</w:t>
            </w:r>
          </w:p>
        </w:tc>
      </w:tr>
      <w:tr w14:paraId="1F659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0" w:type="pct"/>
            <w:vAlign w:val="center"/>
          </w:tcPr>
          <w:p w14:paraId="56620A6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2</w:t>
            </w:r>
          </w:p>
        </w:tc>
        <w:tc>
          <w:tcPr>
            <w:tcW w:w="426" w:type="pct"/>
            <w:vAlign w:val="center"/>
          </w:tcPr>
          <w:p w14:paraId="556966FB">
            <w:pPr>
              <w:keepNext w:val="0"/>
              <w:keepLines w:val="0"/>
              <w:widowControl/>
              <w:suppressLineNumbers w:val="0"/>
              <w:ind w:left="0" w:leftChars="0" w:firstLine="0" w:firstLineChars="0"/>
              <w:jc w:val="center"/>
              <w:textAlignment w:val="center"/>
              <w:rPr>
                <w:rFonts w:hint="eastAsia" w:ascii="宋体" w:hAnsi="宋体" w:eastAsia="宋体" w:cs="宋体"/>
                <w:bCs/>
                <w:sz w:val="21"/>
                <w:szCs w:val="21"/>
              </w:rPr>
            </w:pPr>
            <w:r>
              <w:rPr>
                <w:rFonts w:hint="eastAsia" w:ascii="宋体" w:hAnsi="宋体" w:eastAsia="宋体" w:cs="宋体"/>
                <w:i w:val="0"/>
                <w:iCs w:val="0"/>
                <w:color w:val="000000"/>
                <w:kern w:val="0"/>
                <w:sz w:val="21"/>
                <w:szCs w:val="21"/>
                <w:u w:val="none"/>
                <w:lang w:val="en-US" w:eastAsia="zh-CN" w:bidi="ar"/>
              </w:rPr>
              <w:t>督导巡课教师视频采集终端</w:t>
            </w:r>
          </w:p>
        </w:tc>
        <w:tc>
          <w:tcPr>
            <w:tcW w:w="3036" w:type="pct"/>
            <w:shd w:val="clear" w:color="auto" w:fill="auto"/>
            <w:vAlign w:val="center"/>
          </w:tcPr>
          <w:p w14:paraId="1DDD630E">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1.采用全景特写双镜头，全景镜头水平视场角≥40°，特写镜头水平视场角≥20°；全景图像传感器有效像素≥400万，特写图像传感器有效像素≥800万</w:t>
            </w:r>
            <w:r>
              <w:rPr>
                <w:rFonts w:hint="eastAsia" w:ascii="宋体" w:hAnsi="宋体" w:eastAsia="宋体" w:cs="宋体"/>
                <w:sz w:val="21"/>
                <w:szCs w:val="21"/>
                <w:highlight w:val="none"/>
                <w:lang w:eastAsia="zh-CN"/>
              </w:rPr>
              <w:t>；</w:t>
            </w:r>
          </w:p>
          <w:p w14:paraId="44AF026F">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2.内置图像识别跟踪算法，搭配隐藏式云台，保证清晰度的同时，也减小对课堂的干扰</w:t>
            </w:r>
            <w:r>
              <w:rPr>
                <w:rFonts w:hint="eastAsia" w:ascii="宋体" w:hAnsi="宋体" w:eastAsia="宋体" w:cs="宋体"/>
                <w:sz w:val="21"/>
                <w:szCs w:val="21"/>
                <w:highlight w:val="none"/>
                <w:lang w:eastAsia="zh-CN"/>
              </w:rPr>
              <w:t>；</w:t>
            </w:r>
          </w:p>
          <w:p w14:paraId="1C32E241">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3.为保证拍摄画面效果，采用低畸变设计，全景畸变≤±1%，特写畸变≤±1%</w:t>
            </w:r>
            <w:r>
              <w:rPr>
                <w:rFonts w:hint="eastAsia" w:ascii="宋体" w:hAnsi="宋体" w:eastAsia="宋体" w:cs="宋体"/>
                <w:sz w:val="21"/>
                <w:szCs w:val="21"/>
                <w:highlight w:val="none"/>
                <w:lang w:eastAsia="zh-CN"/>
              </w:rPr>
              <w:t>；</w:t>
            </w:r>
          </w:p>
          <w:p w14:paraId="6F32320A">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4.摄像机接口支持RJ45接口≥1路，Type-C接口≥1路，Line in接口≥1路</w:t>
            </w:r>
            <w:r>
              <w:rPr>
                <w:rFonts w:hint="eastAsia" w:ascii="宋体" w:hAnsi="宋体" w:eastAsia="宋体" w:cs="宋体"/>
                <w:sz w:val="21"/>
                <w:szCs w:val="21"/>
                <w:highlight w:val="none"/>
                <w:lang w:eastAsia="zh-CN"/>
              </w:rPr>
              <w:t>；</w:t>
            </w:r>
          </w:p>
          <w:p w14:paraId="383C4074">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5.支持POE有线网络供电，1路网线可实现供电及信号传输，支持同时输出特写和全景等多路画面</w:t>
            </w:r>
            <w:r>
              <w:rPr>
                <w:rFonts w:hint="eastAsia" w:ascii="宋体" w:hAnsi="宋体" w:eastAsia="宋体" w:cs="宋体"/>
                <w:sz w:val="21"/>
                <w:szCs w:val="21"/>
                <w:highlight w:val="none"/>
                <w:lang w:eastAsia="zh-CN"/>
              </w:rPr>
              <w:t>；</w:t>
            </w:r>
          </w:p>
          <w:p w14:paraId="7A9AAA09">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6.摄像机最低照度：0.5 Lux@（F2.0, AGC ON），摄像机电子快门：1/30s ~ 1/10000s，支持自动白平衡</w:t>
            </w:r>
            <w:r>
              <w:rPr>
                <w:rFonts w:hint="eastAsia" w:ascii="宋体" w:hAnsi="宋体" w:eastAsia="宋体" w:cs="宋体"/>
                <w:sz w:val="21"/>
                <w:szCs w:val="21"/>
                <w:highlight w:val="none"/>
                <w:lang w:eastAsia="zh-CN"/>
              </w:rPr>
              <w:t>；</w:t>
            </w:r>
          </w:p>
          <w:p w14:paraId="6EE7E9AB">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7.支持2D&amp;3D数字降噪，信噪比≥55dB</w:t>
            </w:r>
            <w:r>
              <w:rPr>
                <w:rFonts w:hint="eastAsia" w:ascii="宋体" w:hAnsi="宋体" w:eastAsia="宋体" w:cs="宋体"/>
                <w:sz w:val="21"/>
                <w:szCs w:val="21"/>
                <w:highlight w:val="none"/>
                <w:lang w:eastAsia="zh-CN"/>
              </w:rPr>
              <w:t>；</w:t>
            </w:r>
          </w:p>
          <w:p w14:paraId="2B05DCA4">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8.支持H.264、H.265、MJPEG视频编码格式</w:t>
            </w:r>
            <w:r>
              <w:rPr>
                <w:rFonts w:hint="eastAsia" w:ascii="宋体" w:hAnsi="宋体" w:eastAsia="宋体" w:cs="宋体"/>
                <w:sz w:val="21"/>
                <w:szCs w:val="21"/>
                <w:highlight w:val="none"/>
                <w:lang w:eastAsia="zh-CN"/>
              </w:rPr>
              <w:t>；</w:t>
            </w:r>
          </w:p>
          <w:p w14:paraId="49D66FA1">
            <w:pPr>
              <w:widowControl/>
              <w:jc w:val="left"/>
              <w:textAlignment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★9.支持音视频信号输出，可以同时支持UVC和UAC协议，通过主机Type</w:t>
            </w:r>
            <w:r>
              <w:rPr>
                <w:rFonts w:hint="eastAsia" w:cs="宋体"/>
                <w:b/>
                <w:bCs/>
                <w:sz w:val="21"/>
                <w:szCs w:val="21"/>
                <w:highlight w:val="none"/>
                <w:lang w:val="en-US" w:eastAsia="zh-CN"/>
              </w:rPr>
              <w:t>-</w:t>
            </w:r>
            <w:r>
              <w:rPr>
                <w:rFonts w:hint="eastAsia" w:ascii="宋体" w:hAnsi="宋体" w:eastAsia="宋体" w:cs="宋体"/>
                <w:b/>
                <w:bCs/>
                <w:sz w:val="21"/>
                <w:szCs w:val="21"/>
                <w:highlight w:val="none"/>
              </w:rPr>
              <w:t>C接口可以实现图像和声音同步输出，最大支持4K@30fps输出，兼容主流视频会议软件。（投标文件中提供具有CMA标识的检测报告扫描件）</w:t>
            </w:r>
          </w:p>
          <w:p w14:paraId="42B8724F">
            <w:pPr>
              <w:widowControl/>
              <w:ind w:left="0" w:leftChars="0" w:firstLine="0" w:firstLineChars="0"/>
              <w:jc w:val="left"/>
              <w:textAlignment w:val="center"/>
              <w:rPr>
                <w:rFonts w:hint="eastAsia" w:ascii="宋体" w:hAnsi="宋体" w:eastAsia="宋体" w:cs="宋体"/>
                <w:b/>
                <w:bCs/>
                <w:color w:val="auto"/>
                <w:kern w:val="0"/>
                <w:sz w:val="21"/>
                <w:szCs w:val="21"/>
                <w:lang w:val="en-US" w:eastAsia="zh-CN"/>
              </w:rPr>
            </w:pPr>
            <w:r>
              <w:rPr>
                <w:rFonts w:hint="eastAsia" w:ascii="宋体" w:hAnsi="宋体" w:eastAsia="宋体" w:cs="宋体"/>
                <w:sz w:val="21"/>
                <w:szCs w:val="21"/>
                <w:highlight w:val="none"/>
              </w:rPr>
              <w:t>10.为确保运行稳定，使用平均无故障运行时间</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MTBF</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应≥250000小时。</w:t>
            </w:r>
          </w:p>
        </w:tc>
        <w:tc>
          <w:tcPr>
            <w:tcW w:w="549" w:type="pct"/>
            <w:vAlign w:val="center"/>
          </w:tcPr>
          <w:p w14:paraId="14336F0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3</w:t>
            </w:r>
            <w:r>
              <w:rPr>
                <w:rFonts w:hint="eastAsia" w:cs="宋体"/>
                <w:bCs/>
                <w:sz w:val="21"/>
                <w:szCs w:val="21"/>
                <w:lang w:val="en-US" w:eastAsia="zh-CN"/>
              </w:rPr>
              <w:t>6</w:t>
            </w:r>
            <w:r>
              <w:rPr>
                <w:rFonts w:hint="eastAsia" w:ascii="宋体" w:hAnsi="宋体" w:eastAsia="宋体" w:cs="宋体"/>
                <w:bCs/>
                <w:sz w:val="21"/>
                <w:szCs w:val="21"/>
                <w:lang w:val="en-US" w:eastAsia="zh-CN"/>
              </w:rPr>
              <w:t>0台</w:t>
            </w:r>
          </w:p>
        </w:tc>
        <w:tc>
          <w:tcPr>
            <w:tcW w:w="393" w:type="pct"/>
            <w:vAlign w:val="center"/>
          </w:tcPr>
          <w:p w14:paraId="41C283B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工业</w:t>
            </w:r>
          </w:p>
        </w:tc>
        <w:tc>
          <w:tcPr>
            <w:tcW w:w="294" w:type="pct"/>
            <w:vAlign w:val="center"/>
          </w:tcPr>
          <w:p w14:paraId="12F8016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bCs/>
                <w:sz w:val="21"/>
                <w:szCs w:val="21"/>
                <w:lang w:val="en-US"/>
              </w:rPr>
            </w:pPr>
            <w:r>
              <w:rPr>
                <w:rFonts w:hint="eastAsia" w:ascii="宋体" w:hAnsi="宋体" w:eastAsia="宋体" w:cs="宋体"/>
                <w:bCs/>
                <w:sz w:val="21"/>
                <w:szCs w:val="21"/>
                <w:lang w:val="en-US"/>
              </w:rPr>
              <w:t>/</w:t>
            </w:r>
          </w:p>
        </w:tc>
      </w:tr>
      <w:tr w14:paraId="0452E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0" w:type="pct"/>
            <w:vAlign w:val="center"/>
          </w:tcPr>
          <w:p w14:paraId="16EB256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3</w:t>
            </w:r>
          </w:p>
        </w:tc>
        <w:tc>
          <w:tcPr>
            <w:tcW w:w="426" w:type="pct"/>
            <w:vAlign w:val="center"/>
          </w:tcPr>
          <w:p w14:paraId="212E375F">
            <w:pPr>
              <w:keepNext w:val="0"/>
              <w:keepLines w:val="0"/>
              <w:widowControl/>
              <w:suppressLineNumbers w:val="0"/>
              <w:ind w:left="0" w:leftChars="0" w:firstLine="0" w:firstLineChars="0"/>
              <w:jc w:val="center"/>
              <w:textAlignment w:val="center"/>
              <w:rPr>
                <w:rFonts w:hint="eastAsia" w:ascii="宋体" w:hAnsi="宋体" w:eastAsia="宋体" w:cs="宋体"/>
                <w:bCs/>
                <w:sz w:val="21"/>
                <w:szCs w:val="21"/>
              </w:rPr>
            </w:pPr>
            <w:r>
              <w:rPr>
                <w:rFonts w:hint="eastAsia" w:ascii="宋体" w:hAnsi="宋体" w:eastAsia="宋体" w:cs="宋体"/>
                <w:i w:val="0"/>
                <w:iCs w:val="0"/>
                <w:color w:val="000000"/>
                <w:kern w:val="0"/>
                <w:sz w:val="21"/>
                <w:szCs w:val="21"/>
                <w:u w:val="none"/>
                <w:lang w:val="en-US" w:eastAsia="zh-CN" w:bidi="ar"/>
              </w:rPr>
              <w:t>督导巡课学生视频采集终端</w:t>
            </w:r>
          </w:p>
        </w:tc>
        <w:tc>
          <w:tcPr>
            <w:tcW w:w="3036" w:type="pct"/>
            <w:shd w:val="clear" w:color="auto" w:fill="auto"/>
            <w:vAlign w:val="center"/>
          </w:tcPr>
          <w:p w14:paraId="2FBF3011">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1.采用全景特写双镜头，全景镜头水平视场角≥110°，特写镜头水平视场角≥40°；全景图像传感器有效像素≥400万，特写图像传感器有效像素≥800万</w:t>
            </w:r>
            <w:r>
              <w:rPr>
                <w:rFonts w:hint="eastAsia" w:ascii="宋体" w:hAnsi="宋体" w:eastAsia="宋体" w:cs="宋体"/>
                <w:sz w:val="21"/>
                <w:szCs w:val="21"/>
                <w:highlight w:val="none"/>
                <w:lang w:eastAsia="zh-CN"/>
              </w:rPr>
              <w:t>；</w:t>
            </w:r>
          </w:p>
          <w:p w14:paraId="50D8DF0D">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2.内置图像识别跟踪算法，搭配隐藏式云台，保证清晰度的同时，也减小对课堂的干扰</w:t>
            </w:r>
            <w:r>
              <w:rPr>
                <w:rFonts w:hint="eastAsia" w:ascii="宋体" w:hAnsi="宋体" w:eastAsia="宋体" w:cs="宋体"/>
                <w:sz w:val="21"/>
                <w:szCs w:val="21"/>
                <w:highlight w:val="none"/>
                <w:lang w:eastAsia="zh-CN"/>
              </w:rPr>
              <w:t>；</w:t>
            </w:r>
          </w:p>
          <w:p w14:paraId="40DD5BFE">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3.为保证拍摄画面效果，采用低畸变设计，全景畸变≤±1%，特写畸变≤±1%</w:t>
            </w:r>
            <w:r>
              <w:rPr>
                <w:rFonts w:hint="eastAsia" w:ascii="宋体" w:hAnsi="宋体" w:eastAsia="宋体" w:cs="宋体"/>
                <w:sz w:val="21"/>
                <w:szCs w:val="21"/>
                <w:highlight w:val="none"/>
                <w:lang w:eastAsia="zh-CN"/>
              </w:rPr>
              <w:t>；</w:t>
            </w:r>
          </w:p>
          <w:p w14:paraId="6098D042">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4.摄像机接口支持RJ45接口≥1路，Type-C接口≥1路，Line in接口≥1路</w:t>
            </w:r>
            <w:r>
              <w:rPr>
                <w:rFonts w:hint="eastAsia" w:ascii="宋体" w:hAnsi="宋体" w:eastAsia="宋体" w:cs="宋体"/>
                <w:sz w:val="21"/>
                <w:szCs w:val="21"/>
                <w:highlight w:val="none"/>
                <w:lang w:eastAsia="zh-CN"/>
              </w:rPr>
              <w:t>；</w:t>
            </w:r>
          </w:p>
          <w:p w14:paraId="2D207523">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5.支持POE有线网络供电，1路网线可实现供电及信号传输，支持同时输出特写和全景等多路画面</w:t>
            </w:r>
            <w:r>
              <w:rPr>
                <w:rFonts w:hint="eastAsia" w:ascii="宋体" w:hAnsi="宋体" w:eastAsia="宋体" w:cs="宋体"/>
                <w:sz w:val="21"/>
                <w:szCs w:val="21"/>
                <w:highlight w:val="none"/>
                <w:lang w:eastAsia="zh-CN"/>
              </w:rPr>
              <w:t>；</w:t>
            </w:r>
          </w:p>
          <w:p w14:paraId="632435CC">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6.摄像机最低照度：0.5 Lux@（F2.0, AGC ON），摄像机电子快门：1/30s ~ 1/10000s，支持自动白平衡</w:t>
            </w:r>
            <w:r>
              <w:rPr>
                <w:rFonts w:hint="eastAsia" w:ascii="宋体" w:hAnsi="宋体" w:eastAsia="宋体" w:cs="宋体"/>
                <w:sz w:val="21"/>
                <w:szCs w:val="21"/>
                <w:highlight w:val="none"/>
                <w:lang w:eastAsia="zh-CN"/>
              </w:rPr>
              <w:t>；</w:t>
            </w:r>
          </w:p>
          <w:p w14:paraId="1D2D17CE">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7.支持2D&amp;3D数字降噪，信噪比≥55dB</w:t>
            </w:r>
            <w:r>
              <w:rPr>
                <w:rFonts w:hint="eastAsia" w:ascii="宋体" w:hAnsi="宋体" w:eastAsia="宋体" w:cs="宋体"/>
                <w:sz w:val="21"/>
                <w:szCs w:val="21"/>
                <w:highlight w:val="none"/>
                <w:lang w:eastAsia="zh-CN"/>
              </w:rPr>
              <w:t>；</w:t>
            </w:r>
          </w:p>
          <w:p w14:paraId="5243078A">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8.支持H.264、H.265、MJPEG视频编码格式</w:t>
            </w:r>
            <w:r>
              <w:rPr>
                <w:rFonts w:hint="eastAsia" w:ascii="宋体" w:hAnsi="宋体" w:eastAsia="宋体" w:cs="宋体"/>
                <w:sz w:val="21"/>
                <w:szCs w:val="21"/>
                <w:highlight w:val="none"/>
                <w:lang w:eastAsia="zh-CN"/>
              </w:rPr>
              <w:t>；</w:t>
            </w:r>
          </w:p>
          <w:p w14:paraId="42EC8CEF">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b/>
                <w:bCs/>
                <w:sz w:val="21"/>
                <w:szCs w:val="21"/>
                <w:highlight w:val="none"/>
              </w:rPr>
              <w:t>★9.支持音视频信号输出，可以同时支持UVC和UAC协议，通过主机Type</w:t>
            </w:r>
            <w:r>
              <w:rPr>
                <w:rFonts w:hint="eastAsia" w:cs="宋体"/>
                <w:b/>
                <w:bCs/>
                <w:sz w:val="21"/>
                <w:szCs w:val="21"/>
                <w:highlight w:val="none"/>
                <w:lang w:val="en-US" w:eastAsia="zh-CN"/>
              </w:rPr>
              <w:t>-</w:t>
            </w:r>
            <w:r>
              <w:rPr>
                <w:rFonts w:hint="eastAsia" w:ascii="宋体" w:hAnsi="宋体" w:eastAsia="宋体" w:cs="宋体"/>
                <w:b/>
                <w:bCs/>
                <w:sz w:val="21"/>
                <w:szCs w:val="21"/>
                <w:highlight w:val="none"/>
              </w:rPr>
              <w:t>C接口可以实现图像和声音同步输出，最大支持4K@30fps输出，兼容主流视频会议软件</w:t>
            </w:r>
            <w:r>
              <w:rPr>
                <w:rFonts w:hint="eastAsia" w:ascii="宋体" w:hAnsi="宋体" w:eastAsia="宋体" w:cs="宋体"/>
                <w:b/>
                <w:bCs/>
                <w:sz w:val="21"/>
                <w:szCs w:val="21"/>
                <w:highlight w:val="none"/>
                <w:lang w:eastAsia="zh-CN"/>
              </w:rPr>
              <w:t>；</w:t>
            </w:r>
            <w:r>
              <w:rPr>
                <w:rFonts w:hint="eastAsia" w:ascii="宋体" w:hAnsi="宋体" w:eastAsia="宋体" w:cs="宋体"/>
                <w:b/>
                <w:bCs/>
                <w:sz w:val="21"/>
                <w:szCs w:val="21"/>
                <w:highlight w:val="none"/>
              </w:rPr>
              <w:t>（投标文件中提供具有CMA标识的检测报告扫描件）</w:t>
            </w:r>
          </w:p>
          <w:p w14:paraId="2D64AE0C">
            <w:pPr>
              <w:widowControl/>
              <w:ind w:left="0" w:leftChars="0" w:firstLine="0" w:firstLineChars="0"/>
              <w:jc w:val="left"/>
              <w:textAlignment w:val="center"/>
              <w:rPr>
                <w:rFonts w:hint="eastAsia" w:ascii="宋体" w:hAnsi="宋体" w:eastAsia="宋体" w:cs="宋体"/>
                <w:b w:val="0"/>
                <w:bCs w:val="0"/>
                <w:color w:val="auto"/>
                <w:kern w:val="0"/>
                <w:sz w:val="21"/>
                <w:szCs w:val="21"/>
                <w:lang w:val="en-US" w:eastAsia="zh-CN"/>
              </w:rPr>
            </w:pPr>
            <w:r>
              <w:rPr>
                <w:rFonts w:hint="eastAsia" w:ascii="宋体" w:hAnsi="宋体" w:eastAsia="宋体" w:cs="宋体"/>
                <w:sz w:val="21"/>
                <w:szCs w:val="21"/>
                <w:highlight w:val="none"/>
              </w:rPr>
              <w:t>10.为确保运行稳定，使用平均无故障运行时间(MTBF)应≥250000小时。</w:t>
            </w:r>
          </w:p>
        </w:tc>
        <w:tc>
          <w:tcPr>
            <w:tcW w:w="549" w:type="pct"/>
            <w:vAlign w:val="center"/>
          </w:tcPr>
          <w:p w14:paraId="2BEAD4B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3</w:t>
            </w:r>
            <w:r>
              <w:rPr>
                <w:rFonts w:hint="eastAsia" w:cs="宋体"/>
                <w:bCs/>
                <w:sz w:val="21"/>
                <w:szCs w:val="21"/>
                <w:lang w:val="en-US" w:eastAsia="zh-CN"/>
              </w:rPr>
              <w:t>60</w:t>
            </w:r>
            <w:r>
              <w:rPr>
                <w:rFonts w:hint="eastAsia" w:ascii="宋体" w:hAnsi="宋体" w:eastAsia="宋体" w:cs="宋体"/>
                <w:bCs/>
                <w:sz w:val="21"/>
                <w:szCs w:val="21"/>
                <w:lang w:val="en-US" w:eastAsia="zh-CN"/>
              </w:rPr>
              <w:t>台</w:t>
            </w:r>
          </w:p>
        </w:tc>
        <w:tc>
          <w:tcPr>
            <w:tcW w:w="393" w:type="pct"/>
            <w:vAlign w:val="center"/>
          </w:tcPr>
          <w:p w14:paraId="4168FD1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工业</w:t>
            </w:r>
          </w:p>
        </w:tc>
        <w:tc>
          <w:tcPr>
            <w:tcW w:w="294" w:type="pct"/>
            <w:vAlign w:val="center"/>
          </w:tcPr>
          <w:p w14:paraId="6C1FA16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w:t>
            </w:r>
          </w:p>
        </w:tc>
      </w:tr>
      <w:tr w14:paraId="517C2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0" w:type="pct"/>
            <w:vAlign w:val="center"/>
          </w:tcPr>
          <w:p w14:paraId="742B522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4</w:t>
            </w:r>
          </w:p>
        </w:tc>
        <w:tc>
          <w:tcPr>
            <w:tcW w:w="426" w:type="pct"/>
            <w:vAlign w:val="center"/>
          </w:tcPr>
          <w:p w14:paraId="0A97C0E7">
            <w:pPr>
              <w:keepNext w:val="0"/>
              <w:keepLines w:val="0"/>
              <w:widowControl/>
              <w:suppressLineNumbers w:val="0"/>
              <w:ind w:left="0" w:leftChars="0" w:firstLine="0" w:firstLineChars="0"/>
              <w:jc w:val="center"/>
              <w:textAlignment w:val="center"/>
              <w:rPr>
                <w:rFonts w:hint="eastAsia" w:ascii="宋体" w:hAnsi="宋体" w:eastAsia="宋体" w:cs="宋体"/>
                <w:bCs/>
                <w:sz w:val="21"/>
                <w:szCs w:val="21"/>
              </w:rPr>
            </w:pPr>
            <w:r>
              <w:rPr>
                <w:rFonts w:hint="eastAsia" w:ascii="宋体" w:hAnsi="宋体" w:eastAsia="宋体" w:cs="宋体"/>
                <w:i w:val="0"/>
                <w:iCs w:val="0"/>
                <w:color w:val="000000"/>
                <w:kern w:val="0"/>
                <w:sz w:val="21"/>
                <w:szCs w:val="21"/>
                <w:u w:val="none"/>
                <w:lang w:val="en-US" w:eastAsia="zh-CN" w:bidi="ar"/>
              </w:rPr>
              <w:t>督导巡课音频采集终端</w:t>
            </w:r>
          </w:p>
        </w:tc>
        <w:tc>
          <w:tcPr>
            <w:tcW w:w="3036" w:type="pct"/>
            <w:shd w:val="clear" w:color="auto" w:fill="auto"/>
            <w:vAlign w:val="center"/>
          </w:tcPr>
          <w:p w14:paraId="0E818363">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b w:val="0"/>
                <w:bCs w:val="0"/>
                <w:sz w:val="21"/>
                <w:szCs w:val="21"/>
                <w:highlight w:val="none"/>
              </w:rPr>
              <w:t>1.支持指向心型驻极体电容设计</w:t>
            </w:r>
            <w:r>
              <w:rPr>
                <w:rFonts w:hint="eastAsia" w:ascii="宋体" w:hAnsi="宋体" w:eastAsia="宋体" w:cs="宋体"/>
                <w:b w:val="0"/>
                <w:bCs w:val="0"/>
                <w:sz w:val="21"/>
                <w:szCs w:val="21"/>
                <w:highlight w:val="none"/>
                <w:lang w:eastAsia="zh-CN"/>
              </w:rPr>
              <w:t>；</w:t>
            </w:r>
          </w:p>
          <w:p w14:paraId="1E85A976">
            <w:pPr>
              <w:widowControl/>
              <w:jc w:val="left"/>
              <w:textAlignment w:val="center"/>
              <w:rPr>
                <w:rFonts w:hint="eastAsia" w:ascii="宋体" w:hAnsi="宋体" w:eastAsia="宋体" w:cs="宋体"/>
                <w:b/>
                <w:bCs/>
                <w:sz w:val="21"/>
                <w:szCs w:val="21"/>
                <w:highlight w:val="none"/>
                <w:lang w:eastAsia="zh-CN"/>
              </w:rPr>
            </w:pPr>
            <w:r>
              <w:rPr>
                <w:rFonts w:hint="eastAsia" w:ascii="宋体" w:hAnsi="宋体" w:eastAsia="宋体" w:cs="宋体"/>
                <w:b/>
                <w:bCs/>
                <w:color w:val="000000"/>
                <w:sz w:val="21"/>
                <w:szCs w:val="21"/>
              </w:rPr>
              <w:t>●</w:t>
            </w:r>
            <w:r>
              <w:rPr>
                <w:rFonts w:hint="eastAsia" w:ascii="宋体" w:hAnsi="宋体" w:eastAsia="宋体" w:cs="宋体"/>
                <w:b/>
                <w:bCs/>
                <w:sz w:val="21"/>
                <w:szCs w:val="21"/>
                <w:highlight w:val="none"/>
              </w:rPr>
              <w:t>2.支持48V幻象供电</w:t>
            </w:r>
            <w:r>
              <w:rPr>
                <w:rFonts w:hint="eastAsia" w:ascii="宋体" w:hAnsi="宋体" w:eastAsia="宋体" w:cs="宋体"/>
                <w:b/>
                <w:bCs/>
                <w:sz w:val="21"/>
                <w:szCs w:val="21"/>
                <w:highlight w:val="none"/>
                <w:lang w:eastAsia="zh-CN"/>
              </w:rPr>
              <w:t>；</w:t>
            </w:r>
          </w:p>
          <w:p w14:paraId="6920AE8D">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3.输出接口为标准XLR-3公型卡农头</w:t>
            </w:r>
            <w:r>
              <w:rPr>
                <w:rFonts w:hint="eastAsia" w:ascii="宋体" w:hAnsi="宋体" w:eastAsia="宋体" w:cs="宋体"/>
                <w:sz w:val="21"/>
                <w:szCs w:val="21"/>
                <w:highlight w:val="none"/>
                <w:lang w:eastAsia="zh-CN"/>
              </w:rPr>
              <w:t>；</w:t>
            </w:r>
          </w:p>
          <w:p w14:paraId="4659785E">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4.频率响应为50Hz～16KHz</w:t>
            </w:r>
            <w:r>
              <w:rPr>
                <w:rFonts w:hint="eastAsia" w:ascii="宋体" w:hAnsi="宋体" w:eastAsia="宋体" w:cs="宋体"/>
                <w:sz w:val="21"/>
                <w:szCs w:val="21"/>
                <w:highlight w:val="none"/>
                <w:lang w:eastAsia="zh-CN"/>
              </w:rPr>
              <w:t>；</w:t>
            </w:r>
          </w:p>
          <w:p w14:paraId="145AC8C2">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5.有效拾音距离≥5m，灵敏度≥-47±3dB (0dB=1V/Pa@1kHz)</w:t>
            </w:r>
            <w:r>
              <w:rPr>
                <w:rFonts w:hint="eastAsia" w:ascii="宋体" w:hAnsi="宋体" w:eastAsia="宋体" w:cs="宋体"/>
                <w:sz w:val="21"/>
                <w:szCs w:val="21"/>
                <w:highlight w:val="none"/>
                <w:lang w:eastAsia="zh-CN"/>
              </w:rPr>
              <w:t>；</w:t>
            </w:r>
          </w:p>
          <w:p w14:paraId="49AE4A8A">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6.麦克风采用高性能拾音咪头，信噪比≥70dB</w:t>
            </w:r>
            <w:r>
              <w:rPr>
                <w:rFonts w:hint="eastAsia" w:ascii="宋体" w:hAnsi="宋体" w:eastAsia="宋体" w:cs="宋体"/>
                <w:sz w:val="21"/>
                <w:szCs w:val="21"/>
                <w:highlight w:val="none"/>
                <w:lang w:eastAsia="zh-CN"/>
              </w:rPr>
              <w:t>；</w:t>
            </w:r>
          </w:p>
          <w:p w14:paraId="08244C7A">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7.最大声压级120dB（THD≤1%）</w:t>
            </w:r>
            <w:r>
              <w:rPr>
                <w:rFonts w:hint="eastAsia" w:ascii="宋体" w:hAnsi="宋体" w:eastAsia="宋体" w:cs="宋体"/>
                <w:sz w:val="21"/>
                <w:szCs w:val="21"/>
                <w:highlight w:val="none"/>
                <w:lang w:eastAsia="zh-CN"/>
              </w:rPr>
              <w:t>；</w:t>
            </w:r>
          </w:p>
          <w:p w14:paraId="37656A03">
            <w:pPr>
              <w:widowControl/>
              <w:ind w:left="0" w:leftChars="0" w:firstLine="0" w:firstLineChars="0"/>
              <w:jc w:val="left"/>
              <w:textAlignment w:val="center"/>
              <w:rPr>
                <w:rFonts w:hint="eastAsia" w:ascii="宋体" w:hAnsi="宋体" w:eastAsia="宋体" w:cs="宋体"/>
                <w:b w:val="0"/>
                <w:bCs w:val="0"/>
                <w:color w:val="auto"/>
                <w:kern w:val="0"/>
                <w:sz w:val="21"/>
                <w:szCs w:val="21"/>
                <w:lang w:val="en-US" w:eastAsia="zh-CN"/>
              </w:rPr>
            </w:pPr>
            <w:r>
              <w:rPr>
                <w:rFonts w:hint="eastAsia" w:ascii="宋体" w:hAnsi="宋体" w:eastAsia="宋体" w:cs="宋体"/>
                <w:sz w:val="21"/>
                <w:szCs w:val="21"/>
                <w:highlight w:val="none"/>
              </w:rPr>
              <w:t>8.音频综合失真度≤1%。</w:t>
            </w:r>
          </w:p>
        </w:tc>
        <w:tc>
          <w:tcPr>
            <w:tcW w:w="549" w:type="pct"/>
            <w:vAlign w:val="center"/>
          </w:tcPr>
          <w:p w14:paraId="1C33F1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3</w:t>
            </w:r>
            <w:r>
              <w:rPr>
                <w:rFonts w:hint="eastAsia" w:cs="宋体"/>
                <w:bCs/>
                <w:sz w:val="21"/>
                <w:szCs w:val="21"/>
                <w:lang w:val="en-US" w:eastAsia="zh-CN"/>
              </w:rPr>
              <w:t>60</w:t>
            </w:r>
            <w:r>
              <w:rPr>
                <w:rFonts w:hint="eastAsia" w:ascii="宋体" w:hAnsi="宋体" w:eastAsia="宋体" w:cs="宋体"/>
                <w:bCs/>
                <w:sz w:val="21"/>
                <w:szCs w:val="21"/>
                <w:lang w:val="en-US" w:eastAsia="zh-CN"/>
              </w:rPr>
              <w:t>套</w:t>
            </w:r>
          </w:p>
        </w:tc>
        <w:tc>
          <w:tcPr>
            <w:tcW w:w="393" w:type="pct"/>
            <w:vAlign w:val="center"/>
          </w:tcPr>
          <w:p w14:paraId="58CEBE6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工业</w:t>
            </w:r>
          </w:p>
        </w:tc>
        <w:tc>
          <w:tcPr>
            <w:tcW w:w="294" w:type="pct"/>
            <w:vAlign w:val="center"/>
          </w:tcPr>
          <w:p w14:paraId="2E4F00C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w:t>
            </w:r>
          </w:p>
        </w:tc>
      </w:tr>
      <w:tr w14:paraId="5710B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0" w:type="pct"/>
            <w:vAlign w:val="center"/>
          </w:tcPr>
          <w:p w14:paraId="6E0588D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5</w:t>
            </w:r>
          </w:p>
        </w:tc>
        <w:tc>
          <w:tcPr>
            <w:tcW w:w="426" w:type="pct"/>
            <w:vAlign w:val="center"/>
          </w:tcPr>
          <w:p w14:paraId="5860FB37">
            <w:pPr>
              <w:keepNext w:val="0"/>
              <w:keepLines w:val="0"/>
              <w:widowControl/>
              <w:suppressLineNumbers w:val="0"/>
              <w:ind w:left="0" w:leftChars="0" w:firstLine="0" w:firstLineChars="0"/>
              <w:jc w:val="center"/>
              <w:textAlignment w:val="center"/>
              <w:rPr>
                <w:rFonts w:hint="eastAsia" w:ascii="宋体" w:hAnsi="宋体" w:eastAsia="宋体" w:cs="宋体"/>
                <w:bCs/>
                <w:sz w:val="21"/>
                <w:szCs w:val="21"/>
              </w:rPr>
            </w:pPr>
            <w:r>
              <w:rPr>
                <w:rFonts w:hint="eastAsia" w:ascii="宋体" w:hAnsi="宋体" w:eastAsia="宋体" w:cs="宋体"/>
                <w:i w:val="0"/>
                <w:iCs w:val="0"/>
                <w:color w:val="000000"/>
                <w:kern w:val="0"/>
                <w:sz w:val="21"/>
                <w:szCs w:val="21"/>
                <w:u w:val="none"/>
                <w:lang w:val="en-US" w:eastAsia="zh-CN" w:bidi="ar"/>
              </w:rPr>
              <w:t>学情分析系统</w:t>
            </w:r>
          </w:p>
        </w:tc>
        <w:tc>
          <w:tcPr>
            <w:tcW w:w="3036" w:type="pct"/>
            <w:shd w:val="clear" w:color="auto" w:fill="auto"/>
            <w:vAlign w:val="center"/>
          </w:tcPr>
          <w:p w14:paraId="7AD091B8">
            <w:pPr>
              <w:widowControl/>
              <w:jc w:val="left"/>
              <w:textAlignment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一、</w:t>
            </w:r>
            <w:r>
              <w:rPr>
                <w:rFonts w:hint="eastAsia" w:ascii="宋体" w:hAnsi="宋体" w:eastAsia="宋体" w:cs="宋体"/>
                <w:sz w:val="21"/>
                <w:szCs w:val="21"/>
                <w:highlight w:val="none"/>
                <w:lang w:eastAsia="zh-CN"/>
              </w:rPr>
              <w:t>基本</w:t>
            </w:r>
            <w:r>
              <w:rPr>
                <w:rFonts w:hint="eastAsia" w:ascii="宋体" w:hAnsi="宋体" w:eastAsia="宋体" w:cs="宋体"/>
                <w:sz w:val="21"/>
                <w:szCs w:val="21"/>
                <w:highlight w:val="none"/>
              </w:rPr>
              <w:t>导览</w:t>
            </w:r>
          </w:p>
          <w:p w14:paraId="4232C440">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1.开机自启动：教学楼的显示设备开机时，客户端支持自动调起并全屏展示当前教学楼的教室实时数据</w:t>
            </w:r>
            <w:r>
              <w:rPr>
                <w:rFonts w:hint="eastAsia" w:ascii="宋体" w:hAnsi="宋体" w:eastAsia="宋体" w:cs="宋体"/>
                <w:sz w:val="21"/>
                <w:szCs w:val="21"/>
                <w:highlight w:val="none"/>
                <w:lang w:eastAsia="zh-CN"/>
              </w:rPr>
              <w:t>；</w:t>
            </w:r>
          </w:p>
          <w:p w14:paraId="43FC6381">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2.课表展示：支持显示每间教室当天各节课的使用情况，按照上课中、考试中、借用中、空闲中</w:t>
            </w:r>
            <w:r>
              <w:rPr>
                <w:rFonts w:hint="eastAsia" w:ascii="宋体" w:hAnsi="宋体" w:eastAsia="宋体" w:cs="宋体"/>
                <w:sz w:val="21"/>
                <w:szCs w:val="21"/>
                <w:highlight w:val="none"/>
                <w:lang w:eastAsia="zh-CN"/>
              </w:rPr>
              <w:t>等</w:t>
            </w:r>
            <w:r>
              <w:rPr>
                <w:rFonts w:hint="eastAsia" w:ascii="宋体" w:hAnsi="宋体" w:eastAsia="宋体" w:cs="宋体"/>
                <w:sz w:val="21"/>
                <w:szCs w:val="21"/>
                <w:highlight w:val="none"/>
              </w:rPr>
              <w:t>状态进行分类显示</w:t>
            </w:r>
            <w:r>
              <w:rPr>
                <w:rFonts w:hint="eastAsia" w:ascii="宋体" w:hAnsi="宋体" w:eastAsia="宋体" w:cs="宋体"/>
                <w:sz w:val="21"/>
                <w:szCs w:val="21"/>
                <w:highlight w:val="none"/>
                <w:lang w:eastAsia="zh-CN"/>
              </w:rPr>
              <w:t>；</w:t>
            </w:r>
          </w:p>
          <w:p w14:paraId="58D410BE">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3.教室统计：支持通过饼状图等显示上课状态</w:t>
            </w:r>
            <w:r>
              <w:rPr>
                <w:rFonts w:hint="eastAsia" w:ascii="宋体" w:hAnsi="宋体" w:eastAsia="宋体" w:cs="宋体"/>
                <w:sz w:val="21"/>
                <w:szCs w:val="21"/>
                <w:highlight w:val="none"/>
                <w:lang w:eastAsia="zh-CN"/>
              </w:rPr>
              <w:t>；</w:t>
            </w:r>
          </w:p>
          <w:p w14:paraId="07636BC2">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4.移动端扫码：客户端页面展示二维码，支持用户在手机端扫码打开教室实时统计页面，手机端页面支持与学校应用对接</w:t>
            </w:r>
            <w:r>
              <w:rPr>
                <w:rFonts w:hint="eastAsia" w:ascii="宋体" w:hAnsi="宋体" w:eastAsia="宋体" w:cs="宋体"/>
                <w:sz w:val="21"/>
                <w:szCs w:val="21"/>
                <w:highlight w:val="none"/>
                <w:lang w:eastAsia="zh-CN"/>
              </w:rPr>
              <w:t>；</w:t>
            </w:r>
          </w:p>
          <w:p w14:paraId="1CD2AC3A">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5.人数统计：支持用户手动滑动或自动滑动方式切换页面，页面支持定时自动滑动并更新教室实时人数数据</w:t>
            </w:r>
            <w:r>
              <w:rPr>
                <w:rFonts w:hint="eastAsia" w:ascii="宋体" w:hAnsi="宋体" w:eastAsia="宋体" w:cs="宋体"/>
                <w:sz w:val="21"/>
                <w:szCs w:val="21"/>
                <w:highlight w:val="none"/>
                <w:lang w:eastAsia="zh-CN"/>
              </w:rPr>
              <w:t>；</w:t>
            </w:r>
          </w:p>
          <w:p w14:paraId="0509F35C">
            <w:pPr>
              <w:widowControl/>
              <w:jc w:val="left"/>
              <w:textAlignment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★6.实时人数统计：支持统计教室的实时人数；客户端页面中的教室状态包含上课中、考试中、借用中和空闲中</w:t>
            </w:r>
            <w:r>
              <w:rPr>
                <w:rFonts w:hint="eastAsia" w:ascii="宋体" w:hAnsi="宋体" w:eastAsia="宋体" w:cs="宋体"/>
                <w:b/>
                <w:bCs/>
                <w:sz w:val="21"/>
                <w:szCs w:val="21"/>
                <w:highlight w:val="none"/>
                <w:lang w:eastAsia="zh-CN"/>
              </w:rPr>
              <w:t>等</w:t>
            </w:r>
            <w:r>
              <w:rPr>
                <w:rFonts w:hint="eastAsia" w:ascii="宋体" w:hAnsi="宋体" w:eastAsia="宋体" w:cs="宋体"/>
                <w:b/>
                <w:bCs/>
                <w:sz w:val="21"/>
                <w:szCs w:val="21"/>
                <w:highlight w:val="none"/>
              </w:rPr>
              <w:t>；使用中的教室显示课程信息；空闲中的教室显示当前教室的实时人数、总座位数</w:t>
            </w:r>
            <w:r>
              <w:rPr>
                <w:rFonts w:hint="eastAsia" w:ascii="宋体" w:hAnsi="宋体" w:eastAsia="宋体" w:cs="宋体"/>
                <w:b/>
                <w:bCs/>
                <w:sz w:val="21"/>
                <w:szCs w:val="21"/>
                <w:highlight w:val="none"/>
                <w:lang w:eastAsia="zh-CN"/>
              </w:rPr>
              <w:t>等</w:t>
            </w:r>
            <w:r>
              <w:rPr>
                <w:rFonts w:hint="eastAsia" w:ascii="宋体" w:hAnsi="宋体" w:eastAsia="宋体" w:cs="宋体"/>
                <w:b/>
                <w:bCs/>
                <w:sz w:val="21"/>
                <w:szCs w:val="21"/>
                <w:highlight w:val="none"/>
              </w:rPr>
              <w:t>。（投标文件中提供具有CMA标识的检测报告扫描件）</w:t>
            </w:r>
          </w:p>
          <w:p w14:paraId="7791A516">
            <w:pPr>
              <w:widowControl/>
              <w:jc w:val="left"/>
              <w:textAlignment w:val="center"/>
              <w:rPr>
                <w:rFonts w:hint="eastAsia" w:ascii="宋体" w:hAnsi="宋体" w:eastAsia="宋体" w:cs="宋体"/>
                <w:sz w:val="21"/>
                <w:szCs w:val="21"/>
                <w:highlight w:val="none"/>
              </w:rPr>
            </w:pPr>
            <w:r>
              <w:rPr>
                <w:rFonts w:hint="eastAsia" w:ascii="宋体" w:hAnsi="宋体" w:eastAsia="宋体" w:cs="宋体"/>
                <w:sz w:val="21"/>
                <w:szCs w:val="21"/>
                <w:highlight w:val="none"/>
              </w:rPr>
              <w:t>二、学情分析</w:t>
            </w:r>
          </w:p>
          <w:p w14:paraId="0E635CD6">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1.学生出勤率：支持统计课室人数，支持显示教室的学生出勤人数、出勤率</w:t>
            </w:r>
            <w:r>
              <w:rPr>
                <w:rFonts w:hint="eastAsia" w:ascii="宋体" w:hAnsi="宋体" w:eastAsia="宋体" w:cs="宋体"/>
                <w:sz w:val="21"/>
                <w:szCs w:val="21"/>
                <w:highlight w:val="none"/>
                <w:lang w:eastAsia="zh-CN"/>
              </w:rPr>
              <w:t>等</w:t>
            </w:r>
            <w:r>
              <w:rPr>
                <w:rFonts w:hint="eastAsia" w:ascii="宋体" w:hAnsi="宋体" w:eastAsia="宋体" w:cs="宋体"/>
                <w:sz w:val="21"/>
                <w:szCs w:val="21"/>
                <w:highlight w:val="none"/>
              </w:rPr>
              <w:t>数据</w:t>
            </w:r>
            <w:r>
              <w:rPr>
                <w:rFonts w:hint="eastAsia" w:ascii="宋体" w:hAnsi="宋体" w:eastAsia="宋体" w:cs="宋体"/>
                <w:sz w:val="21"/>
                <w:szCs w:val="21"/>
                <w:highlight w:val="none"/>
                <w:lang w:eastAsia="zh-CN"/>
              </w:rPr>
              <w:t>；</w:t>
            </w:r>
          </w:p>
          <w:p w14:paraId="608E4C83">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2.前排就坐率：支持统计前排区域的学生人数，统计前排学生的就坐率峰值</w:t>
            </w:r>
            <w:r>
              <w:rPr>
                <w:rFonts w:hint="eastAsia" w:ascii="宋体" w:hAnsi="宋体" w:eastAsia="宋体" w:cs="宋体"/>
                <w:sz w:val="21"/>
                <w:szCs w:val="21"/>
                <w:highlight w:val="none"/>
                <w:lang w:eastAsia="zh-CN"/>
              </w:rPr>
              <w:t>等</w:t>
            </w:r>
            <w:r>
              <w:rPr>
                <w:rFonts w:hint="eastAsia" w:ascii="宋体" w:hAnsi="宋体" w:eastAsia="宋体" w:cs="宋体"/>
                <w:sz w:val="21"/>
                <w:szCs w:val="21"/>
                <w:highlight w:val="none"/>
              </w:rPr>
              <w:t>数据</w:t>
            </w:r>
            <w:r>
              <w:rPr>
                <w:rFonts w:hint="eastAsia" w:ascii="宋体" w:hAnsi="宋体" w:eastAsia="宋体" w:cs="宋体"/>
                <w:sz w:val="21"/>
                <w:szCs w:val="21"/>
                <w:highlight w:val="none"/>
                <w:lang w:eastAsia="zh-CN"/>
              </w:rPr>
              <w:t>；</w:t>
            </w:r>
          </w:p>
          <w:p w14:paraId="37F83808">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3.抬头率：支持通</w:t>
            </w:r>
            <w:r>
              <w:rPr>
                <w:rFonts w:hint="eastAsia" w:ascii="宋体" w:hAnsi="宋体" w:eastAsia="宋体" w:cs="宋体"/>
                <w:sz w:val="21"/>
                <w:szCs w:val="21"/>
                <w:highlight w:val="none"/>
                <w:lang w:eastAsia="zh-CN"/>
              </w:rPr>
              <w:t>过</w:t>
            </w:r>
            <w:r>
              <w:rPr>
                <w:rFonts w:hint="eastAsia" w:ascii="宋体" w:hAnsi="宋体" w:eastAsia="宋体" w:cs="宋体"/>
                <w:sz w:val="21"/>
                <w:szCs w:val="21"/>
                <w:highlight w:val="none"/>
              </w:rPr>
              <w:t>分析课中学生抬头行为，统计课节时间内学生的平均抬头率</w:t>
            </w:r>
            <w:r>
              <w:rPr>
                <w:rFonts w:hint="eastAsia" w:ascii="宋体" w:hAnsi="宋体" w:eastAsia="宋体" w:cs="宋体"/>
                <w:sz w:val="21"/>
                <w:szCs w:val="21"/>
                <w:highlight w:val="none"/>
                <w:lang w:eastAsia="zh-CN"/>
              </w:rPr>
              <w:t>等</w:t>
            </w:r>
            <w:r>
              <w:rPr>
                <w:rFonts w:hint="eastAsia" w:ascii="宋体" w:hAnsi="宋体" w:eastAsia="宋体" w:cs="宋体"/>
                <w:sz w:val="21"/>
                <w:szCs w:val="21"/>
                <w:highlight w:val="none"/>
              </w:rPr>
              <w:t>数据</w:t>
            </w:r>
            <w:r>
              <w:rPr>
                <w:rFonts w:hint="eastAsia" w:ascii="宋体" w:hAnsi="宋体" w:eastAsia="宋体" w:cs="宋体"/>
                <w:sz w:val="21"/>
                <w:szCs w:val="21"/>
                <w:highlight w:val="none"/>
                <w:lang w:eastAsia="zh-CN"/>
              </w:rPr>
              <w:t>；</w:t>
            </w:r>
          </w:p>
          <w:p w14:paraId="4E15C97D">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4.抬头率曲线：支持查看课节时间范围内学生抬头行为变化趋势，并显示抬头峰值时间点；支持通过抬头率曲线定位至视频对应时间点</w:t>
            </w:r>
            <w:r>
              <w:rPr>
                <w:rFonts w:hint="eastAsia" w:ascii="宋体" w:hAnsi="宋体" w:eastAsia="宋体" w:cs="宋体"/>
                <w:sz w:val="21"/>
                <w:szCs w:val="21"/>
                <w:highlight w:val="none"/>
                <w:lang w:eastAsia="zh-CN"/>
              </w:rPr>
              <w:t>；</w:t>
            </w:r>
          </w:p>
          <w:p w14:paraId="18BE4D3C">
            <w:pPr>
              <w:widowControl/>
              <w:jc w:val="left"/>
              <w:textAlignment w:val="center"/>
              <w:rPr>
                <w:rFonts w:hint="eastAsia" w:ascii="宋体" w:hAnsi="宋体" w:eastAsia="宋体" w:cs="宋体"/>
                <w:sz w:val="21"/>
                <w:szCs w:val="21"/>
                <w:highlight w:val="none"/>
              </w:rPr>
            </w:pPr>
            <w:r>
              <w:rPr>
                <w:rFonts w:hint="eastAsia" w:ascii="宋体" w:hAnsi="宋体" w:eastAsia="宋体" w:cs="宋体"/>
                <w:sz w:val="21"/>
                <w:szCs w:val="21"/>
                <w:highlight w:val="none"/>
              </w:rPr>
              <w:t>5.数据统计：支持课堂详情页展示本课节的出勤人数、出勤率、前排就坐率、平均抬头率、峰值抬头率</w:t>
            </w:r>
            <w:r>
              <w:rPr>
                <w:rFonts w:hint="eastAsia" w:ascii="宋体" w:hAnsi="宋体" w:eastAsia="宋体" w:cs="宋体"/>
                <w:sz w:val="21"/>
                <w:szCs w:val="21"/>
                <w:highlight w:val="none"/>
                <w:lang w:eastAsia="zh-CN"/>
              </w:rPr>
              <w:t>等</w:t>
            </w:r>
            <w:r>
              <w:rPr>
                <w:rFonts w:hint="eastAsia" w:ascii="宋体" w:hAnsi="宋体" w:eastAsia="宋体" w:cs="宋体"/>
                <w:sz w:val="21"/>
                <w:szCs w:val="21"/>
                <w:highlight w:val="none"/>
              </w:rPr>
              <w:t>数据；支持在课堂巡课列表并通过百分比展示出勤率、前排就坐率、平均抬头率</w:t>
            </w:r>
            <w:r>
              <w:rPr>
                <w:rFonts w:hint="eastAsia" w:ascii="宋体" w:hAnsi="宋体" w:eastAsia="宋体" w:cs="宋体"/>
                <w:sz w:val="21"/>
                <w:szCs w:val="21"/>
                <w:highlight w:val="none"/>
                <w:lang w:eastAsia="zh-CN"/>
              </w:rPr>
              <w:t>等；</w:t>
            </w:r>
          </w:p>
          <w:p w14:paraId="373C8D18">
            <w:pPr>
              <w:widowControl/>
              <w:ind w:left="0" w:leftChars="0" w:firstLine="0" w:firstLineChars="0"/>
              <w:jc w:val="left"/>
              <w:textAlignment w:val="center"/>
              <w:rPr>
                <w:rFonts w:hint="eastAsia" w:ascii="宋体" w:hAnsi="宋体" w:eastAsia="宋体" w:cs="宋体"/>
                <w:b w:val="0"/>
                <w:bCs w:val="0"/>
                <w:color w:val="auto"/>
                <w:kern w:val="0"/>
                <w:sz w:val="21"/>
                <w:szCs w:val="21"/>
                <w:lang w:val="en-US" w:eastAsia="zh-CN"/>
              </w:rPr>
            </w:pPr>
            <w:r>
              <w:rPr>
                <w:rFonts w:hint="eastAsia" w:ascii="宋体" w:hAnsi="宋体" w:eastAsia="宋体" w:cs="宋体"/>
                <w:sz w:val="21"/>
                <w:szCs w:val="21"/>
                <w:highlight w:val="none"/>
              </w:rPr>
              <w:t>6.数据筛选：支持通过课堂巡课列表页，对已下课的课程进行出勤率、前排就坐率、抬头率</w:t>
            </w:r>
            <w:r>
              <w:rPr>
                <w:rFonts w:hint="eastAsia" w:ascii="宋体" w:hAnsi="宋体" w:eastAsia="宋体" w:cs="宋体"/>
                <w:sz w:val="21"/>
                <w:szCs w:val="21"/>
                <w:highlight w:val="none"/>
                <w:lang w:eastAsia="zh-CN"/>
              </w:rPr>
              <w:t>等</w:t>
            </w:r>
            <w:r>
              <w:rPr>
                <w:rFonts w:hint="eastAsia" w:ascii="宋体" w:hAnsi="宋体" w:eastAsia="宋体" w:cs="宋体"/>
                <w:sz w:val="21"/>
                <w:szCs w:val="21"/>
                <w:highlight w:val="none"/>
              </w:rPr>
              <w:t>进行升序/降序查看。</w:t>
            </w:r>
          </w:p>
        </w:tc>
        <w:tc>
          <w:tcPr>
            <w:tcW w:w="549" w:type="pct"/>
            <w:vAlign w:val="center"/>
          </w:tcPr>
          <w:p w14:paraId="048F70C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3</w:t>
            </w:r>
            <w:r>
              <w:rPr>
                <w:rFonts w:hint="eastAsia" w:cs="宋体"/>
                <w:bCs/>
                <w:sz w:val="21"/>
                <w:szCs w:val="21"/>
                <w:lang w:val="en-US" w:eastAsia="zh-CN"/>
              </w:rPr>
              <w:t>60</w:t>
            </w:r>
            <w:r>
              <w:rPr>
                <w:rFonts w:hint="eastAsia" w:ascii="宋体" w:hAnsi="宋体" w:eastAsia="宋体" w:cs="宋体"/>
                <w:bCs/>
                <w:sz w:val="21"/>
                <w:szCs w:val="21"/>
                <w:lang w:val="en-US" w:eastAsia="zh-CN"/>
              </w:rPr>
              <w:t>套</w:t>
            </w:r>
          </w:p>
        </w:tc>
        <w:tc>
          <w:tcPr>
            <w:tcW w:w="393" w:type="pct"/>
            <w:vAlign w:val="center"/>
          </w:tcPr>
          <w:p w14:paraId="4A184AD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工业</w:t>
            </w:r>
          </w:p>
        </w:tc>
        <w:tc>
          <w:tcPr>
            <w:tcW w:w="294" w:type="pct"/>
            <w:vAlign w:val="center"/>
          </w:tcPr>
          <w:p w14:paraId="019B8C0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w:t>
            </w:r>
          </w:p>
        </w:tc>
      </w:tr>
      <w:tr w14:paraId="1CB19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0" w:type="pct"/>
            <w:vAlign w:val="center"/>
          </w:tcPr>
          <w:p w14:paraId="55FDB29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6</w:t>
            </w:r>
          </w:p>
        </w:tc>
        <w:tc>
          <w:tcPr>
            <w:tcW w:w="426" w:type="pct"/>
            <w:vAlign w:val="center"/>
          </w:tcPr>
          <w:p w14:paraId="60B3E163">
            <w:pPr>
              <w:keepNext w:val="0"/>
              <w:keepLines w:val="0"/>
              <w:widowControl/>
              <w:suppressLineNumbers w:val="0"/>
              <w:ind w:left="0" w:leftChars="0" w:firstLine="0" w:firstLineChars="0"/>
              <w:jc w:val="center"/>
              <w:textAlignment w:val="center"/>
              <w:rPr>
                <w:rFonts w:hint="eastAsia" w:ascii="宋体" w:hAnsi="宋体" w:eastAsia="宋体" w:cs="宋体"/>
                <w:bCs/>
                <w:sz w:val="21"/>
                <w:szCs w:val="21"/>
              </w:rPr>
            </w:pPr>
            <w:r>
              <w:rPr>
                <w:rFonts w:hint="eastAsia" w:ascii="宋体" w:hAnsi="宋体" w:eastAsia="宋体" w:cs="宋体"/>
                <w:i w:val="0"/>
                <w:iCs w:val="0"/>
                <w:color w:val="000000"/>
                <w:kern w:val="0"/>
                <w:sz w:val="21"/>
                <w:szCs w:val="21"/>
                <w:u w:val="none"/>
                <w:lang w:val="en-US" w:eastAsia="zh-CN" w:bidi="ar"/>
              </w:rPr>
              <w:t>教学评价系统</w:t>
            </w:r>
          </w:p>
        </w:tc>
        <w:tc>
          <w:tcPr>
            <w:tcW w:w="3036" w:type="pct"/>
            <w:shd w:val="clear" w:color="auto" w:fill="auto"/>
            <w:vAlign w:val="center"/>
          </w:tcPr>
          <w:p w14:paraId="6E1F14E3">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1.AI量表设置：支持提供AI分析指标库，指标数量≥10</w:t>
            </w:r>
            <w:r>
              <w:rPr>
                <w:rFonts w:hint="eastAsia" w:ascii="宋体" w:hAnsi="宋体" w:eastAsia="宋体" w:cs="宋体"/>
                <w:sz w:val="21"/>
                <w:szCs w:val="21"/>
                <w:highlight w:val="none"/>
                <w:lang w:eastAsia="zh-CN"/>
              </w:rPr>
              <w:t>；</w:t>
            </w:r>
          </w:p>
          <w:p w14:paraId="2F500CFC">
            <w:pPr>
              <w:widowControl/>
              <w:jc w:val="left"/>
              <w:textAlignment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★2.AI评教量表管理：支持根据指标库指标，新增AI评价维度，支持用户自定义评价维度分数权重；支持对评价维度中的指标选择计分或者不计分，并支持修改指标内容及分值</w:t>
            </w:r>
            <w:r>
              <w:rPr>
                <w:rFonts w:hint="eastAsia" w:ascii="宋体" w:hAnsi="宋体" w:eastAsia="宋体" w:cs="宋体"/>
                <w:b/>
                <w:bCs/>
                <w:sz w:val="21"/>
                <w:szCs w:val="21"/>
                <w:highlight w:val="none"/>
                <w:lang w:eastAsia="zh-CN"/>
              </w:rPr>
              <w:t>；</w:t>
            </w:r>
            <w:r>
              <w:rPr>
                <w:rFonts w:hint="eastAsia" w:ascii="宋体" w:hAnsi="宋体" w:eastAsia="宋体" w:cs="宋体"/>
                <w:b/>
                <w:bCs/>
                <w:sz w:val="21"/>
                <w:szCs w:val="21"/>
                <w:highlight w:val="none"/>
              </w:rPr>
              <w:t>（投标文件中提供具有CMA标识的检测报告扫描件）</w:t>
            </w:r>
          </w:p>
          <w:p w14:paraId="783A25E3">
            <w:pPr>
              <w:widowControl/>
              <w:jc w:val="left"/>
              <w:textAlignment w:val="center"/>
              <w:rPr>
                <w:rFonts w:hint="eastAsia" w:ascii="宋体" w:hAnsi="宋体" w:eastAsia="宋体" w:cs="宋体"/>
                <w:sz w:val="21"/>
                <w:szCs w:val="21"/>
                <w:highlight w:val="none"/>
              </w:rPr>
            </w:pPr>
            <w:r>
              <w:rPr>
                <w:rFonts w:hint="eastAsia" w:ascii="宋体" w:hAnsi="宋体" w:eastAsia="宋体" w:cs="宋体"/>
                <w:sz w:val="21"/>
                <w:szCs w:val="21"/>
                <w:highlight w:val="none"/>
              </w:rPr>
              <w:t>3.自定义评价模版：支持用户自定义AI教评模版，可自定义填写维度名称、维度权重、选择维度下需观测指标、每项指标分数</w:t>
            </w:r>
            <w:r>
              <w:rPr>
                <w:rFonts w:hint="eastAsia" w:ascii="宋体" w:hAnsi="宋体" w:eastAsia="宋体" w:cs="宋体"/>
                <w:sz w:val="21"/>
                <w:szCs w:val="21"/>
                <w:highlight w:val="none"/>
                <w:lang w:eastAsia="zh-CN"/>
              </w:rPr>
              <w:t>等；</w:t>
            </w:r>
          </w:p>
          <w:p w14:paraId="60D1E1A9">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4.指标模式设置：支持设置指标是否纳入AI评分，或仅在报告展示而不纳入评分</w:t>
            </w:r>
            <w:r>
              <w:rPr>
                <w:rFonts w:hint="eastAsia" w:ascii="宋体" w:hAnsi="宋体" w:eastAsia="宋体" w:cs="宋体"/>
                <w:sz w:val="21"/>
                <w:szCs w:val="21"/>
                <w:highlight w:val="none"/>
                <w:lang w:eastAsia="zh-CN"/>
              </w:rPr>
              <w:t>；</w:t>
            </w:r>
          </w:p>
          <w:p w14:paraId="22089818">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5.AI分析管理：支持手动开启或停用AI分析量表</w:t>
            </w:r>
            <w:r>
              <w:rPr>
                <w:rFonts w:hint="eastAsia" w:ascii="宋体" w:hAnsi="宋体" w:eastAsia="宋体" w:cs="宋体"/>
                <w:sz w:val="21"/>
                <w:szCs w:val="21"/>
                <w:highlight w:val="none"/>
                <w:lang w:eastAsia="zh-CN"/>
              </w:rPr>
              <w:t>；</w:t>
            </w:r>
          </w:p>
          <w:p w14:paraId="23EFB13D">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6.分析报告：支持巡课页面查看巡课视频，并展示课堂分析报告</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报告包含教师考勤、敏感词、肢体语</w:t>
            </w:r>
            <w:r>
              <w:rPr>
                <w:rFonts w:hint="eastAsia" w:ascii="宋体" w:hAnsi="宋体" w:eastAsia="宋体" w:cs="宋体"/>
                <w:sz w:val="21"/>
                <w:szCs w:val="21"/>
                <w:highlight w:val="none"/>
                <w:lang w:eastAsia="zh-CN"/>
              </w:rPr>
              <w:t>言</w:t>
            </w:r>
            <w:r>
              <w:rPr>
                <w:rFonts w:hint="eastAsia" w:ascii="宋体" w:hAnsi="宋体" w:eastAsia="宋体" w:cs="宋体"/>
                <w:sz w:val="21"/>
                <w:szCs w:val="21"/>
                <w:highlight w:val="none"/>
              </w:rPr>
              <w:t>等指标</w:t>
            </w:r>
            <w:r>
              <w:rPr>
                <w:rFonts w:hint="eastAsia" w:ascii="宋体" w:hAnsi="宋体" w:eastAsia="宋体" w:cs="宋体"/>
                <w:sz w:val="21"/>
                <w:szCs w:val="21"/>
                <w:highlight w:val="none"/>
                <w:lang w:eastAsia="zh-CN"/>
              </w:rPr>
              <w:t>；</w:t>
            </w:r>
          </w:p>
          <w:p w14:paraId="386D07DB">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7.支持异常课堂监测设置，支持自定义监测值范围</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支持示范课堂监测设置，支持自定义监测值范围</w:t>
            </w:r>
            <w:r>
              <w:rPr>
                <w:rFonts w:hint="eastAsia" w:ascii="宋体" w:hAnsi="宋体" w:eastAsia="宋体" w:cs="宋体"/>
                <w:sz w:val="21"/>
                <w:szCs w:val="21"/>
                <w:highlight w:val="none"/>
                <w:lang w:eastAsia="zh-CN"/>
              </w:rPr>
              <w:t>；</w:t>
            </w:r>
          </w:p>
          <w:p w14:paraId="5AE3A22B">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8.评价总结：支持根据课堂分析内容得出总分，并生成AI评语</w:t>
            </w:r>
            <w:r>
              <w:rPr>
                <w:rFonts w:hint="eastAsia" w:ascii="宋体" w:hAnsi="宋体" w:eastAsia="宋体" w:cs="宋体"/>
                <w:sz w:val="21"/>
                <w:szCs w:val="21"/>
                <w:highlight w:val="none"/>
                <w:lang w:eastAsia="zh-CN"/>
              </w:rPr>
              <w:t>；</w:t>
            </w:r>
          </w:p>
          <w:p w14:paraId="50A3DBA8">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9</w:t>
            </w:r>
            <w:r>
              <w:rPr>
                <w:rFonts w:hint="eastAsia" w:ascii="宋体" w:hAnsi="宋体" w:eastAsia="宋体" w:cs="宋体"/>
                <w:sz w:val="21"/>
                <w:szCs w:val="21"/>
                <w:highlight w:val="none"/>
              </w:rPr>
              <w:t>.支持展示教师授课过程中出现敏感词数量及提及次数，并可展示对应时间点及语音转写的内容</w:t>
            </w:r>
            <w:r>
              <w:rPr>
                <w:rFonts w:hint="eastAsia" w:ascii="宋体" w:hAnsi="宋体" w:eastAsia="宋体" w:cs="宋体"/>
                <w:sz w:val="21"/>
                <w:szCs w:val="21"/>
                <w:highlight w:val="none"/>
                <w:lang w:eastAsia="zh-CN"/>
              </w:rPr>
              <w:t>；</w:t>
            </w:r>
          </w:p>
          <w:p w14:paraId="0DFFBD7D">
            <w:pPr>
              <w:widowControl/>
              <w:jc w:val="left"/>
              <w:textAlignment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★1</w:t>
            </w:r>
            <w:r>
              <w:rPr>
                <w:rFonts w:hint="eastAsia" w:ascii="宋体" w:hAnsi="宋体" w:eastAsia="宋体" w:cs="宋体"/>
                <w:b/>
                <w:bCs/>
                <w:sz w:val="21"/>
                <w:szCs w:val="21"/>
                <w:highlight w:val="none"/>
                <w:lang w:val="en-US" w:eastAsia="zh-CN"/>
              </w:rPr>
              <w:t>0</w:t>
            </w:r>
            <w:r>
              <w:rPr>
                <w:rFonts w:hint="eastAsia" w:ascii="宋体" w:hAnsi="宋体" w:eastAsia="宋体" w:cs="宋体"/>
                <w:b/>
                <w:bCs/>
                <w:sz w:val="21"/>
                <w:szCs w:val="21"/>
                <w:highlight w:val="none"/>
              </w:rPr>
              <w:t>.课堂素养：支持总结课堂中审辩思维、沟通能力、合作能力、课程思政</w:t>
            </w:r>
            <w:r>
              <w:rPr>
                <w:rFonts w:hint="eastAsia" w:ascii="宋体" w:hAnsi="宋体" w:eastAsia="宋体" w:cs="宋体"/>
                <w:b/>
                <w:bCs/>
                <w:sz w:val="21"/>
                <w:szCs w:val="21"/>
                <w:highlight w:val="none"/>
                <w:lang w:eastAsia="zh-CN"/>
              </w:rPr>
              <w:t>等</w:t>
            </w:r>
            <w:r>
              <w:rPr>
                <w:rFonts w:hint="eastAsia" w:ascii="宋体" w:hAnsi="宋体" w:eastAsia="宋体" w:cs="宋体"/>
                <w:b/>
                <w:bCs/>
                <w:sz w:val="21"/>
                <w:szCs w:val="21"/>
                <w:highlight w:val="none"/>
              </w:rPr>
              <w:t>教学内容</w:t>
            </w:r>
            <w:r>
              <w:rPr>
                <w:rFonts w:hint="eastAsia" w:ascii="宋体" w:hAnsi="宋体" w:eastAsia="宋体" w:cs="宋体"/>
                <w:b/>
                <w:bCs/>
                <w:sz w:val="21"/>
                <w:szCs w:val="21"/>
                <w:highlight w:val="none"/>
                <w:lang w:eastAsia="zh-CN"/>
              </w:rPr>
              <w:t>；</w:t>
            </w:r>
            <w:r>
              <w:rPr>
                <w:rFonts w:hint="eastAsia" w:ascii="宋体" w:hAnsi="宋体" w:eastAsia="宋体" w:cs="宋体"/>
                <w:b/>
                <w:bCs/>
                <w:sz w:val="21"/>
                <w:szCs w:val="21"/>
                <w:highlight w:val="none"/>
              </w:rPr>
              <w:t>（投标文件中提供具有CMA标识的检测报告扫描件）</w:t>
            </w:r>
          </w:p>
          <w:p w14:paraId="118E4CD3">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w:t>
            </w:r>
            <w:r>
              <w:rPr>
                <w:rFonts w:hint="eastAsia" w:ascii="宋体" w:hAnsi="宋体" w:eastAsia="宋体" w:cs="宋体"/>
                <w:sz w:val="21"/>
                <w:szCs w:val="21"/>
                <w:highlight w:val="none"/>
                <w:lang w:val="en-US" w:eastAsia="zh-CN"/>
              </w:rPr>
              <w:t>1</w:t>
            </w:r>
            <w:r>
              <w:rPr>
                <w:rFonts w:hint="eastAsia" w:ascii="宋体" w:hAnsi="宋体" w:eastAsia="宋体" w:cs="宋体"/>
                <w:sz w:val="21"/>
                <w:szCs w:val="21"/>
                <w:highlight w:val="none"/>
              </w:rPr>
              <w:t>.支持分析课堂教学过程中的教师肢体语言，支持展示教师在课堂中的肢体语言表现程度，生成曲线图</w:t>
            </w:r>
            <w:r>
              <w:rPr>
                <w:rFonts w:hint="eastAsia" w:ascii="宋体" w:hAnsi="宋体" w:eastAsia="宋体" w:cs="宋体"/>
                <w:sz w:val="21"/>
                <w:szCs w:val="21"/>
                <w:highlight w:val="none"/>
                <w:lang w:eastAsia="zh-CN"/>
              </w:rPr>
              <w:t>；</w:t>
            </w:r>
          </w:p>
          <w:p w14:paraId="682D0B6D">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.支持统计教师在课堂中对考勤的管理</w:t>
            </w:r>
            <w:r>
              <w:rPr>
                <w:rFonts w:hint="eastAsia" w:ascii="宋体" w:hAnsi="宋体" w:eastAsia="宋体" w:cs="宋体"/>
                <w:sz w:val="21"/>
                <w:szCs w:val="21"/>
                <w:highlight w:val="none"/>
                <w:lang w:eastAsia="zh-CN"/>
              </w:rPr>
              <w:t>；</w:t>
            </w:r>
          </w:p>
          <w:p w14:paraId="49B37E73">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w:t>
            </w: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.课程目标：支持分析本节课程的目标，根据教师语音转写，总结教师本节课的教学目标内容及对应时间点</w:t>
            </w:r>
            <w:r>
              <w:rPr>
                <w:rFonts w:hint="eastAsia" w:ascii="宋体" w:hAnsi="宋体" w:eastAsia="宋体" w:cs="宋体"/>
                <w:sz w:val="21"/>
                <w:szCs w:val="21"/>
                <w:highlight w:val="none"/>
                <w:lang w:eastAsia="zh-CN"/>
              </w:rPr>
              <w:t>；</w:t>
            </w:r>
          </w:p>
          <w:p w14:paraId="4461E155">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w:t>
            </w: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rPr>
              <w:t>.课程重难点：支持总结本节课程教师讲授的重难点知识，根据时间点展示重难点内容</w:t>
            </w:r>
            <w:r>
              <w:rPr>
                <w:rFonts w:hint="eastAsia" w:ascii="宋体" w:hAnsi="宋体" w:eastAsia="宋体" w:cs="宋体"/>
                <w:sz w:val="21"/>
                <w:szCs w:val="21"/>
                <w:highlight w:val="none"/>
                <w:lang w:eastAsia="zh-CN"/>
              </w:rPr>
              <w:t>；</w:t>
            </w:r>
          </w:p>
          <w:p w14:paraId="7D0E1D62">
            <w:pPr>
              <w:widowControl/>
              <w:ind w:left="0" w:leftChars="0" w:firstLine="0" w:firstLineChars="0"/>
              <w:jc w:val="left"/>
              <w:textAlignment w:val="center"/>
              <w:rPr>
                <w:rFonts w:hint="eastAsia" w:ascii="宋体" w:hAnsi="宋体" w:eastAsia="宋体" w:cs="宋体"/>
                <w:b w:val="0"/>
                <w:bCs w:val="0"/>
                <w:color w:val="auto"/>
                <w:kern w:val="0"/>
                <w:sz w:val="21"/>
                <w:szCs w:val="21"/>
                <w:lang w:val="en-US" w:eastAsia="zh-CN"/>
              </w:rPr>
            </w:pPr>
            <w:r>
              <w:rPr>
                <w:rFonts w:hint="eastAsia" w:ascii="宋体" w:hAnsi="宋体" w:eastAsia="宋体" w:cs="宋体"/>
                <w:sz w:val="21"/>
                <w:szCs w:val="21"/>
                <w:highlight w:val="none"/>
              </w:rPr>
              <w:t>1</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.抬头率：支持展示本节课的平均抬头率，并可通过曲线图查看每个时间段的学生抬头情况，分析课堂专注度。</w:t>
            </w:r>
          </w:p>
        </w:tc>
        <w:tc>
          <w:tcPr>
            <w:tcW w:w="549" w:type="pct"/>
            <w:vAlign w:val="center"/>
          </w:tcPr>
          <w:p w14:paraId="000914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3</w:t>
            </w:r>
            <w:r>
              <w:rPr>
                <w:rFonts w:hint="eastAsia" w:cs="宋体"/>
                <w:bCs/>
                <w:sz w:val="21"/>
                <w:szCs w:val="21"/>
                <w:lang w:val="en-US" w:eastAsia="zh-CN"/>
              </w:rPr>
              <w:t>60</w:t>
            </w:r>
            <w:r>
              <w:rPr>
                <w:rFonts w:hint="eastAsia" w:ascii="宋体" w:hAnsi="宋体" w:eastAsia="宋体" w:cs="宋体"/>
                <w:bCs/>
                <w:sz w:val="21"/>
                <w:szCs w:val="21"/>
                <w:lang w:val="en-US" w:eastAsia="zh-CN"/>
              </w:rPr>
              <w:t>套</w:t>
            </w:r>
          </w:p>
        </w:tc>
        <w:tc>
          <w:tcPr>
            <w:tcW w:w="393" w:type="pct"/>
            <w:vAlign w:val="center"/>
          </w:tcPr>
          <w:p w14:paraId="76E556E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工业</w:t>
            </w:r>
          </w:p>
        </w:tc>
        <w:tc>
          <w:tcPr>
            <w:tcW w:w="294" w:type="pct"/>
            <w:vAlign w:val="center"/>
          </w:tcPr>
          <w:p w14:paraId="48BA850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w:t>
            </w:r>
          </w:p>
        </w:tc>
      </w:tr>
      <w:tr w14:paraId="4B646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0" w:type="pct"/>
            <w:vAlign w:val="center"/>
          </w:tcPr>
          <w:p w14:paraId="126A01F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7</w:t>
            </w:r>
          </w:p>
        </w:tc>
        <w:tc>
          <w:tcPr>
            <w:tcW w:w="426" w:type="pct"/>
            <w:vAlign w:val="center"/>
          </w:tcPr>
          <w:p w14:paraId="6E4F7124">
            <w:pPr>
              <w:keepNext w:val="0"/>
              <w:keepLines w:val="0"/>
              <w:widowControl/>
              <w:suppressLineNumbers w:val="0"/>
              <w:ind w:left="0" w:leftChars="0" w:firstLine="0" w:firstLineChars="0"/>
              <w:jc w:val="center"/>
              <w:textAlignment w:val="center"/>
              <w:rPr>
                <w:rFonts w:hint="eastAsia" w:ascii="宋体" w:hAnsi="宋体" w:eastAsia="宋体" w:cs="宋体"/>
                <w:bCs/>
                <w:sz w:val="21"/>
                <w:szCs w:val="21"/>
              </w:rPr>
            </w:pPr>
            <w:r>
              <w:rPr>
                <w:rFonts w:hint="eastAsia" w:ascii="宋体" w:hAnsi="宋体" w:eastAsia="宋体" w:cs="宋体"/>
                <w:i w:val="0"/>
                <w:iCs w:val="0"/>
                <w:color w:val="000000"/>
                <w:kern w:val="0"/>
                <w:sz w:val="21"/>
                <w:szCs w:val="21"/>
                <w:u w:val="none"/>
                <w:lang w:val="en-US" w:eastAsia="zh-CN" w:bidi="ar"/>
              </w:rPr>
              <w:t>督导巡课管理平台</w:t>
            </w:r>
          </w:p>
        </w:tc>
        <w:tc>
          <w:tcPr>
            <w:tcW w:w="3036" w:type="pct"/>
            <w:shd w:val="clear" w:color="auto" w:fill="auto"/>
            <w:vAlign w:val="center"/>
          </w:tcPr>
          <w:p w14:paraId="405DF508">
            <w:pPr>
              <w:widowControl/>
              <w:jc w:val="left"/>
              <w:textAlignment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一、管理系统模块</w:t>
            </w:r>
          </w:p>
          <w:p w14:paraId="3F7FBFEF">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1.为保障数据安全，平台采用</w:t>
            </w:r>
            <w:r>
              <w:rPr>
                <w:rFonts w:hint="eastAsia" w:ascii="宋体" w:hAnsi="宋体" w:eastAsia="宋体" w:cs="宋体"/>
                <w:sz w:val="21"/>
                <w:szCs w:val="21"/>
                <w:highlight w:val="none"/>
                <w:lang w:eastAsia="zh-CN"/>
              </w:rPr>
              <w:t>完全</w:t>
            </w:r>
            <w:r>
              <w:rPr>
                <w:rFonts w:hint="eastAsia" w:ascii="宋体" w:hAnsi="宋体" w:eastAsia="宋体" w:cs="宋体"/>
                <w:sz w:val="21"/>
                <w:szCs w:val="21"/>
                <w:highlight w:val="none"/>
              </w:rPr>
              <w:t>本地化部署</w:t>
            </w:r>
            <w:r>
              <w:rPr>
                <w:rFonts w:hint="eastAsia" w:ascii="宋体" w:hAnsi="宋体" w:eastAsia="宋体" w:cs="宋体"/>
                <w:sz w:val="21"/>
                <w:szCs w:val="21"/>
                <w:highlight w:val="none"/>
                <w:lang w:eastAsia="zh-CN"/>
              </w:rPr>
              <w:t>；</w:t>
            </w:r>
          </w:p>
          <w:p w14:paraId="307C38B2">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2.系统采用B/S架构模块化设计，通过浏览器打开即可使用管理平台中各项功能模块</w:t>
            </w:r>
            <w:r>
              <w:rPr>
                <w:rFonts w:hint="eastAsia" w:ascii="宋体" w:hAnsi="宋体" w:eastAsia="宋体" w:cs="宋体"/>
                <w:sz w:val="21"/>
                <w:szCs w:val="21"/>
                <w:highlight w:val="none"/>
                <w:lang w:eastAsia="zh-CN"/>
              </w:rPr>
              <w:t>；</w:t>
            </w:r>
          </w:p>
          <w:p w14:paraId="0D0F26C8">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3.平台除支持本校教职工账号管理外，还支持校外人员账号管理，满足校外专家登录平台进行督导巡课</w:t>
            </w:r>
            <w:r>
              <w:rPr>
                <w:rFonts w:hint="eastAsia" w:ascii="宋体" w:hAnsi="宋体" w:eastAsia="宋体" w:cs="宋体"/>
                <w:sz w:val="21"/>
                <w:szCs w:val="21"/>
                <w:highlight w:val="none"/>
                <w:lang w:eastAsia="zh-CN"/>
              </w:rPr>
              <w:t>；</w:t>
            </w:r>
          </w:p>
          <w:p w14:paraId="5A4E5C1F">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4.支持根据学校组织架构自定义添加用户角色并配置不同角色权限，支持通过搜索或选择姓名或工号添加不同角色成员</w:t>
            </w:r>
            <w:r>
              <w:rPr>
                <w:rFonts w:hint="eastAsia" w:ascii="宋体" w:hAnsi="宋体" w:eastAsia="宋体" w:cs="宋体"/>
                <w:sz w:val="21"/>
                <w:szCs w:val="21"/>
                <w:highlight w:val="none"/>
                <w:lang w:eastAsia="zh-CN"/>
              </w:rPr>
              <w:t>；</w:t>
            </w:r>
          </w:p>
          <w:p w14:paraId="454BEBAE">
            <w:pPr>
              <w:widowControl/>
              <w:jc w:val="left"/>
              <w:textAlignment w:val="center"/>
              <w:rPr>
                <w:rFonts w:hint="eastAsia" w:ascii="宋体" w:hAnsi="宋体" w:eastAsia="宋体" w:cs="宋体"/>
                <w:sz w:val="21"/>
                <w:szCs w:val="21"/>
                <w:highlight w:val="none"/>
              </w:rPr>
            </w:pPr>
            <w:r>
              <w:rPr>
                <w:rFonts w:hint="eastAsia" w:ascii="宋体" w:hAnsi="宋体" w:eastAsia="宋体" w:cs="宋体"/>
                <w:sz w:val="21"/>
                <w:szCs w:val="21"/>
                <w:highlight w:val="none"/>
              </w:rPr>
              <w:t>5.支持查看本校的录播设备信息，包括已绑定的设备总数</w:t>
            </w:r>
            <w:r>
              <w:rPr>
                <w:rFonts w:hint="eastAsia" w:ascii="宋体" w:hAnsi="宋体" w:eastAsia="宋体" w:cs="宋体"/>
                <w:sz w:val="21"/>
                <w:szCs w:val="21"/>
                <w:highlight w:val="none"/>
                <w:lang w:val="en-US" w:eastAsia="zh-CN"/>
              </w:rPr>
              <w:t>、</w:t>
            </w:r>
            <w:r>
              <w:rPr>
                <w:rFonts w:hint="eastAsia" w:ascii="宋体" w:hAnsi="宋体" w:eastAsia="宋体" w:cs="宋体"/>
                <w:sz w:val="21"/>
                <w:szCs w:val="21"/>
                <w:highlight w:val="none"/>
              </w:rPr>
              <w:t>在线设备数</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设备IP</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绑定教室信息</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信号源连接情况</w:t>
            </w:r>
            <w:r>
              <w:rPr>
                <w:rFonts w:hint="eastAsia" w:ascii="宋体" w:hAnsi="宋体" w:eastAsia="宋体" w:cs="宋体"/>
                <w:sz w:val="21"/>
                <w:szCs w:val="21"/>
                <w:highlight w:val="none"/>
                <w:lang w:eastAsia="zh-CN"/>
              </w:rPr>
              <w:t>等；</w:t>
            </w:r>
          </w:p>
          <w:p w14:paraId="1952DB48">
            <w:pPr>
              <w:widowControl/>
              <w:jc w:val="left"/>
              <w:textAlignment w:val="center"/>
              <w:rPr>
                <w:rFonts w:hint="eastAsia" w:ascii="宋体" w:hAnsi="宋体" w:eastAsia="宋体" w:cs="宋体"/>
                <w:sz w:val="21"/>
                <w:szCs w:val="21"/>
                <w:highlight w:val="none"/>
              </w:rPr>
            </w:pPr>
            <w:r>
              <w:rPr>
                <w:rFonts w:hint="eastAsia" w:ascii="宋体" w:hAnsi="宋体" w:eastAsia="宋体" w:cs="宋体"/>
                <w:sz w:val="21"/>
                <w:szCs w:val="21"/>
                <w:highlight w:val="none"/>
              </w:rPr>
              <w:t>6.支持查看录播设备的状态信息，包括闲置、录制中、直播中、互动中、离线状态</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在线设备的CPU占用率</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网络上下行传输速率</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磁盘空间使用情况</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内存占用情况</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录播系统版本</w:t>
            </w:r>
            <w:r>
              <w:rPr>
                <w:rFonts w:hint="eastAsia" w:ascii="宋体" w:hAnsi="宋体" w:eastAsia="宋体" w:cs="宋体"/>
                <w:sz w:val="21"/>
                <w:szCs w:val="21"/>
                <w:highlight w:val="none"/>
                <w:lang w:eastAsia="zh-CN"/>
              </w:rPr>
              <w:t>等；</w:t>
            </w:r>
          </w:p>
          <w:p w14:paraId="11774248">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7.支持在平台上对录播设备进行关机</w:t>
            </w:r>
            <w:r>
              <w:rPr>
                <w:rFonts w:hint="eastAsia" w:ascii="宋体" w:hAnsi="宋体" w:eastAsia="宋体" w:cs="宋体"/>
                <w:sz w:val="21"/>
                <w:szCs w:val="21"/>
                <w:highlight w:val="none"/>
                <w:lang w:val="en-US" w:eastAsia="zh-CN"/>
              </w:rPr>
              <w:t>、</w:t>
            </w:r>
            <w:r>
              <w:rPr>
                <w:rFonts w:hint="eastAsia" w:ascii="宋体" w:hAnsi="宋体" w:eastAsia="宋体" w:cs="宋体"/>
                <w:sz w:val="21"/>
                <w:szCs w:val="21"/>
                <w:highlight w:val="none"/>
              </w:rPr>
              <w:t>重启</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开始录制</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停止录制</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开启直播</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停止直播</w:t>
            </w:r>
            <w:r>
              <w:rPr>
                <w:rFonts w:hint="eastAsia" w:ascii="宋体" w:hAnsi="宋体" w:eastAsia="宋体" w:cs="宋体"/>
                <w:sz w:val="21"/>
                <w:szCs w:val="21"/>
                <w:highlight w:val="none"/>
                <w:lang w:eastAsia="zh-CN"/>
              </w:rPr>
              <w:t>等</w:t>
            </w:r>
            <w:r>
              <w:rPr>
                <w:rFonts w:hint="eastAsia" w:ascii="宋体" w:hAnsi="宋体" w:eastAsia="宋体" w:cs="宋体"/>
                <w:sz w:val="21"/>
                <w:szCs w:val="21"/>
                <w:highlight w:val="none"/>
              </w:rPr>
              <w:t>操作。</w:t>
            </w:r>
            <w:r>
              <w:rPr>
                <w:rFonts w:hint="eastAsia"/>
                <w:lang w:eastAsia="zh-CN"/>
              </w:rPr>
              <w:t>录制时可以查看录制的视频，直播时可以查看直播画面</w:t>
            </w:r>
            <w:r>
              <w:rPr>
                <w:rFonts w:hint="eastAsia" w:ascii="宋体" w:hAnsi="宋体" w:eastAsia="宋体" w:cs="宋体"/>
                <w:sz w:val="21"/>
                <w:szCs w:val="21"/>
                <w:highlight w:val="none"/>
                <w:lang w:eastAsia="zh-CN"/>
              </w:rPr>
              <w:t>；</w:t>
            </w:r>
          </w:p>
          <w:p w14:paraId="0A83C19A">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8.支持设置录播机屏幕解锁密码和管理员密码；支持对录播主机上“查看视频”及“关机”权限是否需要密码进行管理</w:t>
            </w:r>
            <w:r>
              <w:rPr>
                <w:rFonts w:hint="eastAsia" w:ascii="宋体" w:hAnsi="宋体" w:eastAsia="宋体" w:cs="宋体"/>
                <w:sz w:val="21"/>
                <w:szCs w:val="21"/>
                <w:highlight w:val="none"/>
                <w:lang w:eastAsia="zh-CN"/>
              </w:rPr>
              <w:t>；</w:t>
            </w:r>
          </w:p>
          <w:p w14:paraId="1629B4A5">
            <w:pPr>
              <w:widowControl/>
              <w:jc w:val="left"/>
              <w:textAlignment w:val="center"/>
              <w:rPr>
                <w:rFonts w:hint="eastAsia" w:ascii="宋体" w:hAnsi="宋体" w:eastAsia="宋体" w:cs="宋体"/>
                <w:sz w:val="21"/>
                <w:szCs w:val="21"/>
                <w:highlight w:val="none"/>
              </w:rPr>
            </w:pPr>
            <w:r>
              <w:rPr>
                <w:rFonts w:hint="eastAsia" w:ascii="宋体" w:hAnsi="宋体" w:eastAsia="宋体" w:cs="宋体"/>
                <w:sz w:val="21"/>
                <w:szCs w:val="21"/>
                <w:highlight w:val="none"/>
              </w:rPr>
              <w:t>9.支持配置第三方设备的rtsp流地址，可通过本地服务器将第三方设备的音视频内容接入至平台。</w:t>
            </w:r>
          </w:p>
          <w:p w14:paraId="6940AA16">
            <w:pPr>
              <w:widowControl/>
              <w:jc w:val="left"/>
              <w:textAlignment w:val="center"/>
              <w:rPr>
                <w:rFonts w:hint="eastAsia" w:ascii="宋体" w:hAnsi="宋体" w:eastAsia="宋体" w:cs="宋体"/>
                <w:sz w:val="21"/>
                <w:szCs w:val="21"/>
                <w:highlight w:val="none"/>
              </w:rPr>
            </w:pPr>
            <w:r>
              <w:rPr>
                <w:rFonts w:hint="eastAsia" w:ascii="宋体" w:hAnsi="宋体" w:eastAsia="宋体" w:cs="宋体"/>
                <w:sz w:val="21"/>
                <w:szCs w:val="21"/>
                <w:highlight w:val="none"/>
              </w:rPr>
              <w:t>二、点播直播模块</w:t>
            </w:r>
          </w:p>
          <w:p w14:paraId="47CD0015">
            <w:pPr>
              <w:widowControl/>
              <w:jc w:val="left"/>
              <w:textAlignment w:val="center"/>
              <w:rPr>
                <w:rFonts w:hint="eastAsia" w:ascii="宋体" w:hAnsi="宋体" w:eastAsia="宋体" w:cs="宋体"/>
                <w:sz w:val="21"/>
                <w:szCs w:val="21"/>
                <w:highlight w:val="none"/>
              </w:rPr>
            </w:pPr>
            <w:r>
              <w:rPr>
                <w:rFonts w:hint="eastAsia" w:ascii="宋体" w:hAnsi="宋体" w:eastAsia="宋体" w:cs="宋体"/>
                <w:sz w:val="21"/>
                <w:szCs w:val="21"/>
                <w:highlight w:val="none"/>
              </w:rPr>
              <w:t>1.支持查看全校的录播资源，可查看录播资源详细信息，包括视频名称</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开课时间</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视频时长</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视频分片数</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主讲老师</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所属学院</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上课教室</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视频大小</w:t>
            </w:r>
            <w:r>
              <w:rPr>
                <w:rFonts w:hint="eastAsia" w:ascii="宋体" w:hAnsi="宋体" w:eastAsia="宋体" w:cs="宋体"/>
                <w:sz w:val="21"/>
                <w:szCs w:val="21"/>
                <w:highlight w:val="none"/>
                <w:lang w:eastAsia="zh-CN"/>
              </w:rPr>
              <w:t>等；</w:t>
            </w:r>
          </w:p>
          <w:p w14:paraId="5B07A578">
            <w:pPr>
              <w:widowControl/>
              <w:jc w:val="left"/>
              <w:textAlignment w:val="center"/>
              <w:rPr>
                <w:rFonts w:hint="eastAsia" w:ascii="宋体" w:hAnsi="宋体" w:eastAsia="宋体" w:cs="宋体"/>
                <w:sz w:val="21"/>
                <w:szCs w:val="21"/>
                <w:highlight w:val="none"/>
              </w:rPr>
            </w:pPr>
            <w:r>
              <w:rPr>
                <w:rFonts w:hint="eastAsia" w:ascii="宋体" w:hAnsi="宋体" w:eastAsia="宋体" w:cs="宋体"/>
                <w:sz w:val="21"/>
                <w:szCs w:val="21"/>
                <w:highlight w:val="none"/>
              </w:rPr>
              <w:t>2.支持对录播资源进行操作，编辑视频名称</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下载</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删除</w:t>
            </w:r>
            <w:r>
              <w:rPr>
                <w:rFonts w:hint="eastAsia" w:ascii="宋体" w:hAnsi="宋体" w:eastAsia="宋体" w:cs="宋体"/>
                <w:sz w:val="21"/>
                <w:szCs w:val="21"/>
                <w:highlight w:val="none"/>
                <w:lang w:eastAsia="zh-CN"/>
              </w:rPr>
              <w:t>等；</w:t>
            </w:r>
          </w:p>
          <w:p w14:paraId="00DE5E40">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3.支持通过学院、授课教室、授课时间</w:t>
            </w:r>
            <w:r>
              <w:rPr>
                <w:rFonts w:hint="eastAsia" w:ascii="宋体" w:hAnsi="宋体" w:eastAsia="宋体" w:cs="宋体"/>
                <w:sz w:val="21"/>
                <w:szCs w:val="21"/>
                <w:highlight w:val="none"/>
                <w:lang w:eastAsia="zh-CN"/>
              </w:rPr>
              <w:t>等</w:t>
            </w:r>
            <w:r>
              <w:rPr>
                <w:rFonts w:hint="eastAsia" w:ascii="宋体" w:hAnsi="宋体" w:eastAsia="宋体" w:cs="宋体"/>
                <w:sz w:val="21"/>
                <w:szCs w:val="21"/>
                <w:highlight w:val="none"/>
              </w:rPr>
              <w:t>进行资源筛选</w:t>
            </w:r>
            <w:r>
              <w:rPr>
                <w:rFonts w:hint="eastAsia" w:ascii="宋体" w:hAnsi="宋体" w:eastAsia="宋体" w:cs="宋体"/>
                <w:sz w:val="21"/>
                <w:szCs w:val="21"/>
                <w:highlight w:val="none"/>
                <w:lang w:eastAsia="zh-CN"/>
              </w:rPr>
              <w:t>；</w:t>
            </w:r>
          </w:p>
          <w:p w14:paraId="4F3D89BE">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4.支持通过搜索不完整课程名称和不完整教师名称进行资源搜索</w:t>
            </w:r>
            <w:r>
              <w:rPr>
                <w:rFonts w:hint="eastAsia" w:ascii="宋体" w:hAnsi="宋体" w:eastAsia="宋体" w:cs="宋体"/>
                <w:sz w:val="21"/>
                <w:szCs w:val="21"/>
                <w:highlight w:val="none"/>
                <w:lang w:eastAsia="zh-CN"/>
              </w:rPr>
              <w:t>；</w:t>
            </w:r>
          </w:p>
          <w:p w14:paraId="3CCEA941">
            <w:pPr>
              <w:widowControl/>
              <w:jc w:val="left"/>
              <w:textAlignment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★5.支持自动识别视频质量，对画面模糊、亮度异常、色彩偏差、无声音、无人员的视频，并支持批量删除。（投标文件中提供具有CMA标识的检测报告扫描件）</w:t>
            </w:r>
          </w:p>
          <w:p w14:paraId="3365CE8C">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6.支持用户创建直播并提前设置直播信息，支持获取直播地址及二维码海报，可通过地址和海报查看直播信息</w:t>
            </w:r>
            <w:r>
              <w:rPr>
                <w:rFonts w:hint="eastAsia" w:ascii="宋体" w:hAnsi="宋体" w:eastAsia="宋体" w:cs="宋体"/>
                <w:sz w:val="21"/>
                <w:szCs w:val="21"/>
                <w:highlight w:val="none"/>
                <w:lang w:eastAsia="zh-CN"/>
              </w:rPr>
              <w:t>；</w:t>
            </w:r>
          </w:p>
          <w:p w14:paraId="23DEE861">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7.支持分类显示所有直播的当前状态，包括未开始、进行中、已结束；支持通过状态筛选不同的直播进行编辑管理</w:t>
            </w:r>
            <w:r>
              <w:rPr>
                <w:rFonts w:hint="eastAsia" w:ascii="宋体" w:hAnsi="宋体" w:eastAsia="宋体" w:cs="宋体"/>
                <w:sz w:val="21"/>
                <w:szCs w:val="21"/>
                <w:highlight w:val="none"/>
                <w:lang w:eastAsia="zh-CN"/>
              </w:rPr>
              <w:t>；</w:t>
            </w:r>
          </w:p>
          <w:p w14:paraId="3C0972E1">
            <w:pPr>
              <w:widowControl/>
              <w:jc w:val="left"/>
              <w:textAlignment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8.在直播结束前，支持教师修改直播的结束时间、名称、封面、直播简介设置，原直播地址和二维码不会失效。支持在网页中复制海报图片。支持一键生成链接并进行分享，支持通过链接登录观看直播视频。（投标文件中提供具有CMA标识的检测报告扫描件）</w:t>
            </w:r>
          </w:p>
          <w:p w14:paraId="68610CE0">
            <w:pPr>
              <w:widowControl/>
              <w:jc w:val="left"/>
              <w:textAlignment w:val="center"/>
              <w:rPr>
                <w:rFonts w:hint="eastAsia" w:ascii="宋体" w:hAnsi="宋体" w:eastAsia="宋体" w:cs="宋体"/>
                <w:sz w:val="21"/>
                <w:szCs w:val="21"/>
                <w:highlight w:val="none"/>
              </w:rPr>
            </w:pPr>
            <w:r>
              <w:rPr>
                <w:rFonts w:hint="eastAsia" w:ascii="宋体" w:hAnsi="宋体" w:eastAsia="宋体" w:cs="宋体"/>
                <w:sz w:val="21"/>
                <w:szCs w:val="21"/>
                <w:highlight w:val="none"/>
              </w:rPr>
              <w:t>9.支持开启直播回放功能；开启后可在原有直播的分享链接中查看已结束的直播内容。</w:t>
            </w:r>
          </w:p>
          <w:p w14:paraId="5A190F15">
            <w:pPr>
              <w:widowControl/>
              <w:jc w:val="left"/>
              <w:textAlignment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三、督导巡课模块</w:t>
            </w:r>
          </w:p>
          <w:p w14:paraId="6D422063">
            <w:pPr>
              <w:widowControl/>
              <w:jc w:val="left"/>
              <w:textAlignment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★1.支持管理员设置督导员的学院巡课权限，设置成功后，督导员在课堂巡课时只能查看到对应学院权限下的课程内容。（投标文件中提供具有CMA标识的检测报告扫描件）</w:t>
            </w:r>
          </w:p>
          <w:p w14:paraId="138F62E1">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2.支持用户通过搜索课程名称、学院、教室、教师、上课时间</w:t>
            </w:r>
            <w:r>
              <w:rPr>
                <w:rFonts w:hint="eastAsia" w:ascii="宋体" w:hAnsi="宋体" w:eastAsia="宋体" w:cs="宋体"/>
                <w:sz w:val="21"/>
                <w:szCs w:val="21"/>
                <w:highlight w:val="none"/>
                <w:lang w:eastAsia="zh-CN"/>
              </w:rPr>
              <w:t>等</w:t>
            </w:r>
            <w:r>
              <w:rPr>
                <w:rFonts w:hint="eastAsia" w:ascii="宋体" w:hAnsi="宋体" w:eastAsia="宋体" w:cs="宋体"/>
                <w:sz w:val="21"/>
                <w:szCs w:val="21"/>
                <w:highlight w:val="none"/>
              </w:rPr>
              <w:t>查找课堂，支持查看进行中的实时课堂音视频和已结束的课堂音视频</w:t>
            </w:r>
            <w:r>
              <w:rPr>
                <w:rFonts w:hint="eastAsia" w:ascii="宋体" w:hAnsi="宋体" w:eastAsia="宋体" w:cs="宋体"/>
                <w:sz w:val="21"/>
                <w:szCs w:val="21"/>
                <w:highlight w:val="none"/>
                <w:lang w:eastAsia="zh-CN"/>
              </w:rPr>
              <w:t>；</w:t>
            </w:r>
          </w:p>
          <w:p w14:paraId="05B960F9">
            <w:pPr>
              <w:widowControl/>
              <w:jc w:val="left"/>
              <w:textAlignment w:val="center"/>
              <w:rPr>
                <w:rFonts w:hint="eastAsia" w:ascii="宋体" w:hAnsi="宋体" w:eastAsia="宋体" w:cs="宋体"/>
                <w:sz w:val="21"/>
                <w:szCs w:val="21"/>
                <w:highlight w:val="none"/>
              </w:rPr>
            </w:pPr>
            <w:r>
              <w:rPr>
                <w:rFonts w:hint="eastAsia" w:ascii="宋体" w:hAnsi="宋体" w:eastAsia="宋体" w:cs="宋体"/>
                <w:sz w:val="21"/>
                <w:szCs w:val="21"/>
                <w:highlight w:val="none"/>
              </w:rPr>
              <w:t>3.支持按建筑-教室的二级目录树查找教室，通过颜色图标区分设备是否在线；支持预览实时画面和授课信息，授课信息包括：课程名称、学院、教师、班级、上课时间</w:t>
            </w:r>
            <w:r>
              <w:rPr>
                <w:rFonts w:hint="eastAsia" w:ascii="宋体" w:hAnsi="宋体" w:eastAsia="宋体" w:cs="宋体"/>
                <w:sz w:val="21"/>
                <w:szCs w:val="21"/>
                <w:highlight w:val="none"/>
                <w:lang w:eastAsia="zh-CN"/>
              </w:rPr>
              <w:t>等；</w:t>
            </w:r>
          </w:p>
          <w:p w14:paraId="0E348582">
            <w:pPr>
              <w:widowControl/>
              <w:jc w:val="left"/>
              <w:textAlignment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★4.支持查看需要完成的督导任务，任务将显示当前状态、截止时间和完成进度</w:t>
            </w:r>
            <w:r>
              <w:rPr>
                <w:rFonts w:hint="eastAsia" w:ascii="宋体" w:hAnsi="宋体" w:eastAsia="宋体" w:cs="宋体"/>
                <w:b/>
                <w:bCs/>
                <w:sz w:val="21"/>
                <w:szCs w:val="21"/>
                <w:highlight w:val="none"/>
                <w:lang w:eastAsia="zh-CN"/>
              </w:rPr>
              <w:t>等</w:t>
            </w:r>
            <w:r>
              <w:rPr>
                <w:rFonts w:hint="eastAsia" w:ascii="宋体" w:hAnsi="宋体" w:eastAsia="宋体" w:cs="宋体"/>
                <w:b/>
                <w:bCs/>
                <w:sz w:val="21"/>
                <w:szCs w:val="21"/>
                <w:highlight w:val="none"/>
              </w:rPr>
              <w:t>；指定课节型任务支持在任务管理页面点击进入课堂评课；指定数量型任务支持在任务管理页面随机进入课堂并进行评课，完成评课后任务进度将同步更新</w:t>
            </w:r>
            <w:r>
              <w:rPr>
                <w:rFonts w:hint="eastAsia" w:ascii="宋体" w:hAnsi="宋体" w:eastAsia="宋体" w:cs="宋体"/>
                <w:b/>
                <w:bCs/>
                <w:sz w:val="21"/>
                <w:szCs w:val="21"/>
                <w:highlight w:val="none"/>
                <w:lang w:eastAsia="zh-CN"/>
              </w:rPr>
              <w:t>；</w:t>
            </w:r>
            <w:r>
              <w:rPr>
                <w:rFonts w:hint="eastAsia" w:ascii="宋体" w:hAnsi="宋体" w:eastAsia="宋体" w:cs="宋体"/>
                <w:b/>
                <w:bCs/>
                <w:sz w:val="21"/>
                <w:szCs w:val="21"/>
                <w:highlight w:val="none"/>
              </w:rPr>
              <w:t>（投标文件中提供具有CMA标识的检测报告扫描件）</w:t>
            </w:r>
          </w:p>
          <w:p w14:paraId="557D11E5">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5.支持使用管理员账号分配校外专家账号；支持校外专家账号进行督导巡课；校外专家初次登录账号时支持自动提醒修改初始密码</w:t>
            </w:r>
            <w:r>
              <w:rPr>
                <w:rFonts w:hint="eastAsia" w:ascii="宋体" w:hAnsi="宋体" w:eastAsia="宋体" w:cs="宋体"/>
                <w:sz w:val="21"/>
                <w:szCs w:val="21"/>
                <w:highlight w:val="none"/>
                <w:lang w:eastAsia="zh-CN"/>
              </w:rPr>
              <w:t>；</w:t>
            </w:r>
          </w:p>
          <w:p w14:paraId="0C750FFA">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6.教室巡课时支持≥3种类型的画面分屏模式，支持选择三分屏、二分屏、单屏</w:t>
            </w:r>
            <w:r>
              <w:rPr>
                <w:rFonts w:hint="eastAsia" w:ascii="宋体" w:hAnsi="宋体" w:eastAsia="宋体" w:cs="宋体"/>
                <w:sz w:val="21"/>
                <w:szCs w:val="21"/>
                <w:highlight w:val="none"/>
                <w:lang w:eastAsia="zh-CN"/>
              </w:rPr>
              <w:t>等</w:t>
            </w:r>
            <w:r>
              <w:rPr>
                <w:rFonts w:hint="eastAsia" w:ascii="宋体" w:hAnsi="宋体" w:eastAsia="宋体" w:cs="宋体"/>
                <w:sz w:val="21"/>
                <w:szCs w:val="21"/>
                <w:highlight w:val="none"/>
              </w:rPr>
              <w:t>模式；支持查看教室内的教师画面、学生画面、电脑画面</w:t>
            </w:r>
            <w:r>
              <w:rPr>
                <w:rFonts w:hint="eastAsia" w:ascii="宋体" w:hAnsi="宋体" w:eastAsia="宋体" w:cs="宋体"/>
                <w:sz w:val="21"/>
                <w:szCs w:val="21"/>
                <w:highlight w:val="none"/>
                <w:lang w:eastAsia="zh-CN"/>
              </w:rPr>
              <w:t>等</w:t>
            </w:r>
            <w:r>
              <w:rPr>
                <w:rFonts w:hint="eastAsia" w:ascii="宋体" w:hAnsi="宋体" w:eastAsia="宋体" w:cs="宋体"/>
                <w:sz w:val="21"/>
                <w:szCs w:val="21"/>
                <w:highlight w:val="none"/>
              </w:rPr>
              <w:t>；支持通过鼠标拖动切换主画面；在二分屏模式下，支持自定义大小窗口的画面内容，支持通过鼠标拖动小窗口改变小窗口的布局位置</w:t>
            </w:r>
            <w:r>
              <w:rPr>
                <w:rFonts w:hint="eastAsia" w:ascii="宋体" w:hAnsi="宋体" w:eastAsia="宋体" w:cs="宋体"/>
                <w:sz w:val="21"/>
                <w:szCs w:val="21"/>
                <w:highlight w:val="none"/>
                <w:lang w:eastAsia="zh-CN"/>
              </w:rPr>
              <w:t>；</w:t>
            </w:r>
          </w:p>
          <w:p w14:paraId="7B85E889">
            <w:pPr>
              <w:widowControl/>
              <w:jc w:val="left"/>
              <w:textAlignment w:val="center"/>
              <w:rPr>
                <w:rFonts w:hint="eastAsia" w:ascii="宋体" w:hAnsi="宋体" w:eastAsia="宋体" w:cs="宋体"/>
                <w:sz w:val="21"/>
                <w:szCs w:val="21"/>
                <w:highlight w:val="none"/>
              </w:rPr>
            </w:pPr>
            <w:r>
              <w:rPr>
                <w:rFonts w:hint="eastAsia" w:ascii="宋体" w:hAnsi="宋体" w:eastAsia="宋体" w:cs="宋体"/>
                <w:sz w:val="21"/>
                <w:szCs w:val="21"/>
                <w:highlight w:val="none"/>
              </w:rPr>
              <w:t>7.支持对课堂录制视频发表评价，发表内容包括文字和视频截图；发表时系统自动添加打点时间与视频关联，发布后支持点击时间点自动跳转到对应视频内容播放。支持通过评课表对课程进行评价，包括评分题打分评价，主观题发表文字和上传图片评价，提交后系统自动计算得出评价得分。</w:t>
            </w:r>
          </w:p>
          <w:p w14:paraId="4C7AC49E">
            <w:pPr>
              <w:widowControl/>
              <w:jc w:val="left"/>
              <w:textAlignment w:val="center"/>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四</w:t>
            </w:r>
            <w:r>
              <w:rPr>
                <w:rFonts w:hint="eastAsia" w:ascii="宋体" w:hAnsi="宋体" w:eastAsia="宋体" w:cs="宋体"/>
                <w:sz w:val="21"/>
                <w:szCs w:val="21"/>
                <w:highlight w:val="none"/>
              </w:rPr>
              <w:t>、移动巡课</w:t>
            </w:r>
          </w:p>
          <w:p w14:paraId="6CBA4F11">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1.平台支持通过H5链接提供移动端听评课功能；支持通过微信、手机浏览器打开，支持对课程视频进行上课中和已下课筛选</w:t>
            </w:r>
            <w:r>
              <w:rPr>
                <w:rFonts w:hint="eastAsia" w:ascii="宋体" w:hAnsi="宋体" w:eastAsia="宋体" w:cs="宋体"/>
                <w:sz w:val="21"/>
                <w:szCs w:val="21"/>
                <w:highlight w:val="none"/>
                <w:lang w:eastAsia="zh-CN"/>
              </w:rPr>
              <w:t>；</w:t>
            </w:r>
          </w:p>
          <w:p w14:paraId="7878A1D2">
            <w:pPr>
              <w:widowControl/>
              <w:jc w:val="left"/>
              <w:textAlignment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★2.支持与平台的课表数据对接，支持根据课程名称、学院、授课教师、班级和课节时间</w:t>
            </w:r>
            <w:r>
              <w:rPr>
                <w:rFonts w:hint="eastAsia" w:ascii="宋体" w:hAnsi="宋体" w:eastAsia="宋体" w:cs="宋体"/>
                <w:b/>
                <w:bCs/>
                <w:sz w:val="21"/>
                <w:szCs w:val="21"/>
                <w:highlight w:val="none"/>
                <w:lang w:eastAsia="zh-CN"/>
              </w:rPr>
              <w:t>等</w:t>
            </w:r>
            <w:r>
              <w:rPr>
                <w:rFonts w:hint="eastAsia" w:ascii="宋体" w:hAnsi="宋体" w:eastAsia="宋体" w:cs="宋体"/>
                <w:b/>
                <w:bCs/>
                <w:sz w:val="21"/>
                <w:szCs w:val="21"/>
                <w:highlight w:val="none"/>
              </w:rPr>
              <w:t>信息查找课堂；巡课时支持自主切换教师全景、学生全景和电脑画面通道</w:t>
            </w:r>
            <w:r>
              <w:rPr>
                <w:rFonts w:hint="eastAsia" w:ascii="宋体" w:hAnsi="宋体" w:eastAsia="宋体" w:cs="宋体"/>
                <w:b/>
                <w:bCs/>
                <w:sz w:val="21"/>
                <w:szCs w:val="21"/>
                <w:highlight w:val="none"/>
                <w:lang w:eastAsia="zh-CN"/>
              </w:rPr>
              <w:t>；</w:t>
            </w:r>
            <w:r>
              <w:rPr>
                <w:rFonts w:hint="eastAsia" w:ascii="宋体" w:hAnsi="宋体" w:eastAsia="宋体" w:cs="宋体"/>
                <w:b/>
                <w:bCs/>
                <w:sz w:val="21"/>
                <w:szCs w:val="21"/>
                <w:highlight w:val="none"/>
              </w:rPr>
              <w:t>（投标文件中提供具有CMA标识的检测报告扫描件）</w:t>
            </w:r>
          </w:p>
          <w:p w14:paraId="1D16D24F">
            <w:pPr>
              <w:widowControl/>
              <w:jc w:val="left"/>
              <w:textAlignment w:val="center"/>
              <w:rPr>
                <w:rFonts w:hint="eastAsia" w:ascii="宋体" w:hAnsi="宋体" w:eastAsia="宋体" w:cs="宋体"/>
                <w:sz w:val="21"/>
                <w:szCs w:val="21"/>
                <w:highlight w:val="none"/>
              </w:rPr>
            </w:pPr>
            <w:r>
              <w:rPr>
                <w:rFonts w:hint="eastAsia" w:ascii="宋体" w:hAnsi="宋体" w:eastAsia="宋体" w:cs="宋体"/>
                <w:sz w:val="21"/>
                <w:szCs w:val="21"/>
                <w:highlight w:val="none"/>
              </w:rPr>
              <w:t>3.支持查看管理员分配的督导任务，任务可显示规定完成时间、任务数量、任务类型、任务状态</w:t>
            </w:r>
            <w:r>
              <w:rPr>
                <w:rFonts w:hint="eastAsia" w:ascii="宋体" w:hAnsi="宋体" w:eastAsia="宋体" w:cs="宋体"/>
                <w:sz w:val="21"/>
                <w:szCs w:val="21"/>
                <w:highlight w:val="none"/>
                <w:lang w:eastAsia="zh-CN"/>
              </w:rPr>
              <w:t>等；</w:t>
            </w:r>
          </w:p>
          <w:p w14:paraId="65DE08F0">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4.支持移动端线下评课，评课后的数据自动回传至平台，可在平台上查看评价记录</w:t>
            </w:r>
            <w:r>
              <w:rPr>
                <w:rFonts w:hint="eastAsia" w:ascii="宋体" w:hAnsi="宋体" w:eastAsia="宋体" w:cs="宋体"/>
                <w:sz w:val="21"/>
                <w:szCs w:val="21"/>
                <w:highlight w:val="none"/>
                <w:lang w:eastAsia="zh-CN"/>
              </w:rPr>
              <w:t>；</w:t>
            </w:r>
          </w:p>
          <w:p w14:paraId="70905E24">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5.移动端支持查看我的评价记录，包括评价的课程信息、评价量表、评分及回放视频</w:t>
            </w:r>
            <w:r>
              <w:rPr>
                <w:rFonts w:hint="eastAsia" w:ascii="宋体" w:hAnsi="宋体" w:eastAsia="宋体" w:cs="宋体"/>
                <w:sz w:val="21"/>
                <w:szCs w:val="21"/>
                <w:highlight w:val="none"/>
                <w:lang w:eastAsia="zh-CN"/>
              </w:rPr>
              <w:t>等。</w:t>
            </w:r>
          </w:p>
          <w:p w14:paraId="3899B5FF">
            <w:pPr>
              <w:widowControl/>
              <w:jc w:val="left"/>
              <w:textAlignment w:val="center"/>
              <w:rPr>
                <w:rFonts w:hint="eastAsia" w:ascii="宋体" w:hAnsi="宋体" w:eastAsia="宋体" w:cs="宋体"/>
                <w:sz w:val="21"/>
                <w:szCs w:val="21"/>
                <w:highlight w:val="none"/>
              </w:rPr>
            </w:pPr>
            <w:r>
              <w:rPr>
                <w:rFonts w:hint="eastAsia" w:ascii="宋体" w:hAnsi="宋体" w:eastAsia="宋体" w:cs="宋体"/>
                <w:sz w:val="21"/>
                <w:szCs w:val="21"/>
                <w:highlight w:val="none"/>
                <w:lang w:eastAsia="zh-CN"/>
              </w:rPr>
              <w:t>五</w:t>
            </w:r>
            <w:r>
              <w:rPr>
                <w:rFonts w:hint="eastAsia" w:ascii="宋体" w:hAnsi="宋体" w:eastAsia="宋体" w:cs="宋体"/>
                <w:sz w:val="21"/>
                <w:szCs w:val="21"/>
                <w:highlight w:val="none"/>
              </w:rPr>
              <w:t>、课程资源平台</w:t>
            </w:r>
          </w:p>
          <w:p w14:paraId="0CD70993">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1.支持提供统一的教学资源门户，可访问平台中的教学资源</w:t>
            </w:r>
            <w:r>
              <w:rPr>
                <w:rFonts w:hint="eastAsia" w:ascii="宋体" w:hAnsi="宋体" w:eastAsia="宋体" w:cs="宋体"/>
                <w:sz w:val="21"/>
                <w:szCs w:val="21"/>
                <w:highlight w:val="none"/>
                <w:lang w:eastAsia="zh-CN"/>
              </w:rPr>
              <w:t>；</w:t>
            </w:r>
          </w:p>
          <w:p w14:paraId="25FE2303">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2.支持管理员自定义门户，可设置门户名称、轮播图、展示模块等内容</w:t>
            </w:r>
            <w:r>
              <w:rPr>
                <w:rFonts w:hint="eastAsia" w:ascii="宋体" w:hAnsi="宋体" w:eastAsia="宋体" w:cs="宋体"/>
                <w:sz w:val="21"/>
                <w:szCs w:val="21"/>
                <w:highlight w:val="none"/>
                <w:lang w:eastAsia="zh-CN"/>
              </w:rPr>
              <w:t>；</w:t>
            </w:r>
          </w:p>
          <w:p w14:paraId="3331EF20">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3.支持管理员创建≥15个自定义课程分类，对教学资源进行分类管理</w:t>
            </w:r>
            <w:r>
              <w:rPr>
                <w:rFonts w:hint="eastAsia" w:ascii="宋体" w:hAnsi="宋体" w:eastAsia="宋体" w:cs="宋体"/>
                <w:sz w:val="21"/>
                <w:szCs w:val="21"/>
                <w:highlight w:val="none"/>
                <w:lang w:eastAsia="zh-CN"/>
              </w:rPr>
              <w:t>；</w:t>
            </w:r>
          </w:p>
          <w:p w14:paraId="39FBAC98">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4.支持管理员在每个课程分类下，添加课程资源，可对资源进行置顶或移除操作</w:t>
            </w:r>
            <w:r>
              <w:rPr>
                <w:rFonts w:hint="eastAsia" w:ascii="宋体" w:hAnsi="宋体" w:eastAsia="宋体" w:cs="宋体"/>
                <w:sz w:val="21"/>
                <w:szCs w:val="21"/>
                <w:highlight w:val="none"/>
                <w:lang w:eastAsia="zh-CN"/>
              </w:rPr>
              <w:t>；</w:t>
            </w:r>
          </w:p>
          <w:p w14:paraId="4D4D762C">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5.支持在个人空间展示教授的课程列表，通过标签显示查看课程状态</w:t>
            </w:r>
            <w:r>
              <w:rPr>
                <w:rFonts w:hint="eastAsia" w:ascii="宋体" w:hAnsi="宋体" w:eastAsia="宋体" w:cs="宋体"/>
                <w:sz w:val="21"/>
                <w:szCs w:val="21"/>
                <w:highlight w:val="none"/>
                <w:lang w:eastAsia="zh-CN"/>
              </w:rPr>
              <w:t>；</w:t>
            </w:r>
          </w:p>
          <w:p w14:paraId="2131771B">
            <w:pPr>
              <w:widowControl/>
              <w:ind w:left="0" w:leftChars="0" w:firstLine="0" w:firstLineChars="0"/>
              <w:jc w:val="left"/>
              <w:textAlignment w:val="center"/>
              <w:rPr>
                <w:rFonts w:hint="eastAsia" w:ascii="宋体" w:hAnsi="宋体" w:eastAsia="宋体" w:cs="宋体"/>
                <w:b w:val="0"/>
                <w:bCs w:val="0"/>
                <w:color w:val="auto"/>
                <w:kern w:val="0"/>
                <w:sz w:val="21"/>
                <w:szCs w:val="21"/>
                <w:lang w:val="en-US" w:eastAsia="zh-CN"/>
              </w:rPr>
            </w:pPr>
            <w:r>
              <w:rPr>
                <w:rFonts w:hint="eastAsia" w:ascii="宋体" w:hAnsi="宋体" w:eastAsia="宋体" w:cs="宋体"/>
                <w:sz w:val="21"/>
                <w:szCs w:val="21"/>
                <w:highlight w:val="none"/>
              </w:rPr>
              <w:t>6.支持展示课程封面、授课老师、学院、开课时间、学习次数、课程状态等信息。</w:t>
            </w:r>
          </w:p>
        </w:tc>
        <w:tc>
          <w:tcPr>
            <w:tcW w:w="549" w:type="pct"/>
            <w:vAlign w:val="center"/>
          </w:tcPr>
          <w:p w14:paraId="08E83BD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bCs/>
                <w:sz w:val="21"/>
                <w:szCs w:val="21"/>
                <w:lang w:val="en-US" w:eastAsia="zh-CN"/>
              </w:rPr>
            </w:pPr>
            <w:r>
              <w:rPr>
                <w:rFonts w:hint="eastAsia" w:cs="宋体"/>
                <w:bCs/>
                <w:sz w:val="21"/>
                <w:szCs w:val="21"/>
                <w:lang w:val="en-US" w:eastAsia="zh-CN"/>
              </w:rPr>
              <w:t>1套</w:t>
            </w:r>
          </w:p>
        </w:tc>
        <w:tc>
          <w:tcPr>
            <w:tcW w:w="393" w:type="pct"/>
            <w:vAlign w:val="center"/>
          </w:tcPr>
          <w:p w14:paraId="36B1791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工业</w:t>
            </w:r>
          </w:p>
        </w:tc>
        <w:tc>
          <w:tcPr>
            <w:tcW w:w="294" w:type="pct"/>
            <w:vAlign w:val="center"/>
          </w:tcPr>
          <w:p w14:paraId="1A8170E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w:t>
            </w:r>
          </w:p>
        </w:tc>
      </w:tr>
      <w:tr w14:paraId="1A2ED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0" w:type="pct"/>
            <w:vAlign w:val="center"/>
          </w:tcPr>
          <w:p w14:paraId="4A1AEAD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8</w:t>
            </w:r>
          </w:p>
        </w:tc>
        <w:tc>
          <w:tcPr>
            <w:tcW w:w="426" w:type="pct"/>
            <w:vAlign w:val="center"/>
          </w:tcPr>
          <w:p w14:paraId="3FD351C3">
            <w:pPr>
              <w:keepNext w:val="0"/>
              <w:keepLines w:val="0"/>
              <w:widowControl/>
              <w:suppressLineNumbers w:val="0"/>
              <w:ind w:left="0" w:leftChars="0" w:firstLine="0" w:firstLineChars="0"/>
              <w:jc w:val="center"/>
              <w:textAlignment w:val="center"/>
              <w:rPr>
                <w:rFonts w:hint="eastAsia" w:ascii="宋体" w:hAnsi="宋体" w:eastAsia="宋体" w:cs="宋体"/>
                <w:bCs/>
                <w:sz w:val="21"/>
                <w:szCs w:val="21"/>
              </w:rPr>
            </w:pPr>
            <w:r>
              <w:rPr>
                <w:rFonts w:hint="eastAsia" w:ascii="宋体" w:hAnsi="宋体" w:eastAsia="宋体" w:cs="宋体"/>
                <w:i w:val="0"/>
                <w:iCs w:val="0"/>
                <w:color w:val="000000"/>
                <w:kern w:val="0"/>
                <w:sz w:val="21"/>
                <w:szCs w:val="21"/>
                <w:u w:val="none"/>
                <w:lang w:val="en-US" w:eastAsia="zh-CN" w:bidi="ar"/>
              </w:rPr>
              <w:t>存储服务器</w:t>
            </w:r>
          </w:p>
        </w:tc>
        <w:tc>
          <w:tcPr>
            <w:tcW w:w="3036" w:type="pct"/>
            <w:shd w:val="clear" w:color="auto" w:fill="auto"/>
            <w:vAlign w:val="center"/>
          </w:tcPr>
          <w:p w14:paraId="09E040CC">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1.国产自主可控，非OEM产品，非Ceph等开源软件灌装</w:t>
            </w:r>
            <w:r>
              <w:rPr>
                <w:rFonts w:hint="eastAsia" w:ascii="宋体" w:hAnsi="宋体" w:eastAsia="宋体" w:cs="宋体"/>
                <w:sz w:val="21"/>
                <w:szCs w:val="21"/>
                <w:highlight w:val="none"/>
                <w:lang w:eastAsia="zh-CN"/>
              </w:rPr>
              <w:t>；</w:t>
            </w:r>
          </w:p>
          <w:p w14:paraId="6209DF35">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2.集群提供不少于570TB存储系统裸容量授权，通过配置纠删方式集群可用空间不少于340TB，单目录支持文件数量≥1000万，单套存储支持文件数量≥100亿</w:t>
            </w:r>
            <w:r>
              <w:rPr>
                <w:rFonts w:hint="eastAsia" w:ascii="宋体" w:hAnsi="宋体" w:eastAsia="宋体" w:cs="宋体"/>
                <w:sz w:val="21"/>
                <w:szCs w:val="21"/>
                <w:highlight w:val="none"/>
                <w:lang w:eastAsia="zh-CN"/>
              </w:rPr>
              <w:t>；</w:t>
            </w:r>
          </w:p>
          <w:p w14:paraId="30AB3530">
            <w:pPr>
              <w:widowControl/>
              <w:jc w:val="left"/>
              <w:textAlignment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★3.支持存储双活访问功能，支持NAS和SAN一体化双活，实现业务连续性需要。双活功能集成到存储软件系统中，无需额外的硬件网关设备</w:t>
            </w:r>
            <w:r>
              <w:rPr>
                <w:rFonts w:hint="eastAsia" w:ascii="宋体" w:hAnsi="宋体" w:eastAsia="宋体" w:cs="宋体"/>
                <w:b/>
                <w:bCs/>
                <w:sz w:val="21"/>
                <w:szCs w:val="21"/>
                <w:highlight w:val="none"/>
                <w:lang w:eastAsia="zh-CN"/>
              </w:rPr>
              <w:t>；</w:t>
            </w:r>
            <w:r>
              <w:rPr>
                <w:rFonts w:hint="eastAsia" w:ascii="宋体" w:hAnsi="宋体" w:eastAsia="宋体" w:cs="宋体"/>
                <w:b/>
                <w:bCs/>
                <w:sz w:val="21"/>
                <w:szCs w:val="21"/>
                <w:highlight w:val="none"/>
              </w:rPr>
              <w:t>（投标文件中提供具有CMA标识的检测报告扫描件）</w:t>
            </w:r>
          </w:p>
          <w:p w14:paraId="4E8FE218">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4.配置不少于3个节点</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单节点配置：内存≥128 GB，≥2颗 CPU，每颗CPU主频≥2.1GHz，物理内核≥12核，≥1张4口10GE IO卡（含光模块），冗余千兆网口，单盘容量不低于3.8TB NVME SSD冗余元数据盘，单盘容量不低于400GB冗余SSD操作系统盘，单盘容量不低于16TB 7.2K 转硬盘12块，冗余电源</w:t>
            </w:r>
            <w:r>
              <w:rPr>
                <w:rFonts w:hint="eastAsia" w:ascii="宋体" w:hAnsi="宋体" w:eastAsia="宋体" w:cs="宋体"/>
                <w:sz w:val="21"/>
                <w:szCs w:val="21"/>
                <w:highlight w:val="none"/>
                <w:lang w:eastAsia="zh-CN"/>
              </w:rPr>
              <w:t>；</w:t>
            </w:r>
          </w:p>
          <w:p w14:paraId="335D4841">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5.配置小文件聚合功能，回收站功能，访问审计功能，多版本功能</w:t>
            </w:r>
            <w:r>
              <w:rPr>
                <w:rFonts w:hint="eastAsia" w:ascii="宋体" w:hAnsi="宋体" w:eastAsia="宋体" w:cs="宋体"/>
                <w:sz w:val="21"/>
                <w:szCs w:val="21"/>
                <w:highlight w:val="none"/>
                <w:lang w:eastAsia="zh-CN"/>
              </w:rPr>
              <w:t>；</w:t>
            </w:r>
          </w:p>
          <w:p w14:paraId="3423B0F3">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6.配置全局统一命名空间访问，负载均衡，不需要额外设备，可实现客户端在存储系统的唯一访问IP地址和域名的负载均衡</w:t>
            </w:r>
            <w:r>
              <w:rPr>
                <w:rFonts w:hint="eastAsia" w:ascii="宋体" w:hAnsi="宋体" w:eastAsia="宋体" w:cs="宋体"/>
                <w:sz w:val="21"/>
                <w:szCs w:val="21"/>
                <w:highlight w:val="none"/>
                <w:lang w:eastAsia="zh-CN"/>
              </w:rPr>
              <w:t>；</w:t>
            </w:r>
          </w:p>
          <w:p w14:paraId="750147E5">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7.在同一个集群内同时提供块存储、文件存储、对象存储服务，支持同时共享使用集群中的所有磁盘，也支持磁盘分区或分组模式</w:t>
            </w:r>
            <w:r>
              <w:rPr>
                <w:rFonts w:hint="eastAsia" w:ascii="宋体" w:hAnsi="宋体" w:eastAsia="宋体" w:cs="宋体"/>
                <w:sz w:val="21"/>
                <w:szCs w:val="21"/>
                <w:highlight w:val="none"/>
                <w:lang w:eastAsia="zh-CN"/>
              </w:rPr>
              <w:t>；</w:t>
            </w:r>
          </w:p>
          <w:p w14:paraId="6455CCEF">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8.原生提供HTTP、CIFS、NFS、FTP、HDFS、POSIX、SNMP、RDMA、iSCSI、S3、Swift等协议和接口</w:t>
            </w:r>
            <w:r>
              <w:rPr>
                <w:rFonts w:hint="eastAsia" w:ascii="宋体" w:hAnsi="宋体" w:eastAsia="宋体" w:cs="宋体"/>
                <w:sz w:val="21"/>
                <w:szCs w:val="21"/>
                <w:highlight w:val="none"/>
                <w:lang w:eastAsia="zh-CN"/>
              </w:rPr>
              <w:t>；</w:t>
            </w:r>
          </w:p>
          <w:p w14:paraId="2A06BB54">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9.采用前端切片技术，所有服务器均有数据写入，保证数据安全性的同时，提升数据读写效率</w:t>
            </w:r>
            <w:r>
              <w:rPr>
                <w:rFonts w:hint="eastAsia" w:ascii="宋体" w:hAnsi="宋体" w:eastAsia="宋体" w:cs="宋体"/>
                <w:sz w:val="21"/>
                <w:szCs w:val="21"/>
                <w:highlight w:val="none"/>
                <w:lang w:eastAsia="zh-CN"/>
              </w:rPr>
              <w:t>；</w:t>
            </w:r>
          </w:p>
          <w:p w14:paraId="7BB4E04E">
            <w:pPr>
              <w:widowControl/>
              <w:jc w:val="left"/>
              <w:textAlignment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★10.存储系统具备原生的权限管理机制，自带客户端以及用户访问权限机制，不是采用LDAP、AD域等第三方权限管理软件实现</w:t>
            </w:r>
            <w:r>
              <w:rPr>
                <w:rFonts w:hint="eastAsia" w:ascii="宋体" w:hAnsi="宋体" w:eastAsia="宋体" w:cs="宋体"/>
                <w:b/>
                <w:bCs/>
                <w:sz w:val="21"/>
                <w:szCs w:val="21"/>
                <w:highlight w:val="none"/>
                <w:lang w:eastAsia="zh-CN"/>
              </w:rPr>
              <w:t>；</w:t>
            </w:r>
            <w:r>
              <w:rPr>
                <w:rFonts w:hint="eastAsia" w:ascii="宋体" w:hAnsi="宋体" w:eastAsia="宋体" w:cs="宋体"/>
                <w:b/>
                <w:bCs/>
                <w:sz w:val="21"/>
                <w:szCs w:val="21"/>
                <w:highlight w:val="none"/>
              </w:rPr>
              <w:t>（投标文件中提供具有CMA标识的检测报告扫描件）</w:t>
            </w:r>
          </w:p>
          <w:p w14:paraId="5AF917AA">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11.配置数据迁移模块，可按需开启、关闭数据迁移进程，无需停止应用</w:t>
            </w:r>
            <w:r>
              <w:rPr>
                <w:rFonts w:hint="eastAsia" w:ascii="宋体" w:hAnsi="宋体" w:eastAsia="宋体" w:cs="宋体"/>
                <w:sz w:val="21"/>
                <w:szCs w:val="21"/>
                <w:highlight w:val="none"/>
                <w:lang w:eastAsia="zh-CN"/>
              </w:rPr>
              <w:t>；</w:t>
            </w:r>
          </w:p>
          <w:p w14:paraId="2A47FDE1">
            <w:pPr>
              <w:widowControl/>
              <w:jc w:val="left"/>
              <w:textAlignment w:val="center"/>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.配置周期性数据扫描模块，预知磁盘是否损坏以及进行数据自动恢复，防止磁盘静默错误导致数据丢失；</w:t>
            </w:r>
          </w:p>
          <w:p w14:paraId="410B630B">
            <w:pPr>
              <w:widowControl/>
              <w:jc w:val="left"/>
              <w:textAlignment w:val="center"/>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★1</w:t>
            </w:r>
            <w:r>
              <w:rPr>
                <w:rFonts w:hint="eastAsia" w:ascii="宋体" w:hAnsi="宋体" w:eastAsia="宋体" w:cs="宋体"/>
                <w:b/>
                <w:bCs/>
                <w:sz w:val="21"/>
                <w:szCs w:val="21"/>
                <w:highlight w:val="none"/>
                <w:lang w:val="en-US" w:eastAsia="zh-CN"/>
              </w:rPr>
              <w:t>3</w:t>
            </w:r>
            <w:r>
              <w:rPr>
                <w:rFonts w:hint="eastAsia" w:ascii="宋体" w:hAnsi="宋体" w:eastAsia="宋体" w:cs="宋体"/>
                <w:b/>
                <w:bCs/>
                <w:sz w:val="21"/>
                <w:szCs w:val="21"/>
                <w:highlight w:val="none"/>
              </w:rPr>
              <w:t>.配置文件级和块级快照功能，当存储设备发生应用故障或者文件损坏时可将数据恢复至某个可用的时间点的状态；快照须采用增量快照，不允许Copy完整数据进行快照，快照数量可达到十万级；支持定时快照</w:t>
            </w:r>
            <w:r>
              <w:rPr>
                <w:rFonts w:hint="eastAsia" w:ascii="宋体" w:hAnsi="宋体" w:eastAsia="宋体" w:cs="宋体"/>
                <w:b/>
                <w:bCs/>
                <w:sz w:val="21"/>
                <w:szCs w:val="21"/>
                <w:highlight w:val="none"/>
                <w:lang w:eastAsia="zh-CN"/>
              </w:rPr>
              <w:t>；</w:t>
            </w:r>
            <w:r>
              <w:rPr>
                <w:rFonts w:hint="eastAsia" w:ascii="宋体" w:hAnsi="宋体" w:eastAsia="宋体" w:cs="宋体"/>
                <w:b/>
                <w:bCs/>
                <w:sz w:val="21"/>
                <w:szCs w:val="21"/>
                <w:highlight w:val="none"/>
              </w:rPr>
              <w:t>（投标文件中提供具有CMA标识的检测报告扫描件）</w:t>
            </w:r>
          </w:p>
          <w:p w14:paraId="2BD746B2">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w:t>
            </w: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rPr>
              <w:t>.配置后端存储节点内部完成数据快速复制功能，三节点集群可在一秒内完成1TB 数据快速内部复制</w:t>
            </w:r>
            <w:r>
              <w:rPr>
                <w:rFonts w:hint="eastAsia" w:ascii="宋体" w:hAnsi="宋体" w:eastAsia="宋体" w:cs="宋体"/>
                <w:sz w:val="21"/>
                <w:szCs w:val="21"/>
                <w:highlight w:val="none"/>
                <w:lang w:eastAsia="zh-CN"/>
              </w:rPr>
              <w:t>；</w:t>
            </w:r>
          </w:p>
          <w:p w14:paraId="7845CF9A">
            <w:pPr>
              <w:widowControl/>
              <w:jc w:val="left"/>
              <w:textAlignment w:val="center"/>
              <w:rPr>
                <w:rFonts w:hint="eastAsia" w:ascii="宋体" w:hAnsi="宋体" w:eastAsia="宋体" w:cs="宋体"/>
                <w:sz w:val="21"/>
                <w:szCs w:val="21"/>
                <w:highlight w:val="none"/>
              </w:rPr>
            </w:pPr>
            <w:r>
              <w:rPr>
                <w:rFonts w:hint="eastAsia" w:ascii="宋体" w:hAnsi="宋体" w:eastAsia="宋体" w:cs="宋体"/>
                <w:sz w:val="21"/>
                <w:szCs w:val="21"/>
                <w:highlight w:val="none"/>
              </w:rPr>
              <w:t>1</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rPr>
              <w:t>.配置防病毒扫描功能，支持标准的防病毒协议；</w:t>
            </w:r>
          </w:p>
          <w:p w14:paraId="68123D08">
            <w:pPr>
              <w:widowControl/>
              <w:jc w:val="left"/>
              <w:textAlignment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1</w:t>
            </w:r>
            <w:r>
              <w:rPr>
                <w:rFonts w:hint="eastAsia" w:ascii="宋体" w:hAnsi="宋体" w:eastAsia="宋体" w:cs="宋体"/>
                <w:sz w:val="21"/>
                <w:szCs w:val="21"/>
                <w:highlight w:val="none"/>
                <w:lang w:val="en-US" w:eastAsia="zh-CN"/>
              </w:rPr>
              <w:t>6</w:t>
            </w:r>
            <w:r>
              <w:rPr>
                <w:rFonts w:hint="eastAsia" w:ascii="宋体" w:hAnsi="宋体" w:eastAsia="宋体" w:cs="宋体"/>
                <w:sz w:val="21"/>
                <w:szCs w:val="21"/>
                <w:highlight w:val="none"/>
              </w:rPr>
              <w:t>.配置异构管理模块，同一个集群内能同时支持不同芯片的服务器，包括但不限于国产申威、龙芯、飞腾、鲲鹏以及通用X86架构服务器的异构统一管理，融合成单一存储系统</w:t>
            </w:r>
            <w:r>
              <w:rPr>
                <w:rFonts w:hint="eastAsia" w:ascii="宋体" w:hAnsi="宋体" w:eastAsia="宋体" w:cs="宋体"/>
                <w:sz w:val="21"/>
                <w:szCs w:val="21"/>
                <w:highlight w:val="none"/>
                <w:lang w:eastAsia="zh-CN"/>
              </w:rPr>
              <w:t>；</w:t>
            </w:r>
          </w:p>
          <w:p w14:paraId="3CE9B4A9">
            <w:pPr>
              <w:widowControl/>
              <w:ind w:left="0" w:leftChars="0" w:firstLine="0" w:firstLineChars="0"/>
              <w:jc w:val="left"/>
              <w:textAlignment w:val="center"/>
              <w:rPr>
                <w:rFonts w:hint="eastAsia" w:ascii="宋体" w:hAnsi="宋体" w:eastAsia="宋体" w:cs="宋体"/>
                <w:color w:val="FF0000"/>
                <w:kern w:val="0"/>
                <w:sz w:val="21"/>
                <w:szCs w:val="21"/>
                <w:lang w:val="en-US" w:eastAsia="zh-CN" w:bidi="ar-SA"/>
              </w:rPr>
            </w:pPr>
            <w:r>
              <w:rPr>
                <w:rFonts w:hint="eastAsia" w:ascii="宋体" w:hAnsi="宋体" w:eastAsia="宋体" w:cs="宋体"/>
                <w:sz w:val="21"/>
                <w:szCs w:val="21"/>
                <w:highlight w:val="none"/>
              </w:rPr>
              <w:t>1</w:t>
            </w:r>
            <w:r>
              <w:rPr>
                <w:rFonts w:hint="eastAsia" w:ascii="宋体" w:hAnsi="宋体" w:eastAsia="宋体" w:cs="宋体"/>
                <w:sz w:val="21"/>
                <w:szCs w:val="21"/>
                <w:highlight w:val="none"/>
                <w:lang w:val="en-US" w:eastAsia="zh-CN"/>
              </w:rPr>
              <w:t>7</w:t>
            </w:r>
            <w:r>
              <w:rPr>
                <w:rFonts w:hint="eastAsia" w:ascii="宋体" w:hAnsi="宋体" w:eastAsia="宋体" w:cs="宋体"/>
                <w:sz w:val="21"/>
                <w:szCs w:val="21"/>
                <w:highlight w:val="none"/>
              </w:rPr>
              <w:t>.提供图形界面的监控管理工具，能够查看网络、硬盘、操作系统、内核等硬件基本信息。</w:t>
            </w:r>
          </w:p>
        </w:tc>
        <w:tc>
          <w:tcPr>
            <w:tcW w:w="549" w:type="pct"/>
            <w:vAlign w:val="center"/>
          </w:tcPr>
          <w:p w14:paraId="6594D37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bCs/>
                <w:sz w:val="21"/>
                <w:szCs w:val="21"/>
                <w:lang w:val="en-US" w:eastAsia="zh-CN"/>
              </w:rPr>
            </w:pPr>
            <w:r>
              <w:rPr>
                <w:rFonts w:hint="eastAsia" w:cs="宋体"/>
                <w:bCs/>
                <w:sz w:val="21"/>
                <w:szCs w:val="21"/>
                <w:lang w:val="en-US" w:eastAsia="zh-CN"/>
              </w:rPr>
              <w:t>1套</w:t>
            </w:r>
          </w:p>
        </w:tc>
        <w:tc>
          <w:tcPr>
            <w:tcW w:w="393" w:type="pct"/>
            <w:vAlign w:val="center"/>
          </w:tcPr>
          <w:p w14:paraId="5839C65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工业</w:t>
            </w:r>
          </w:p>
        </w:tc>
        <w:tc>
          <w:tcPr>
            <w:tcW w:w="294" w:type="pct"/>
            <w:vAlign w:val="center"/>
          </w:tcPr>
          <w:p w14:paraId="13E9E5B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w:t>
            </w:r>
          </w:p>
        </w:tc>
      </w:tr>
      <w:tr w14:paraId="5BECA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0" w:type="pct"/>
            <w:vAlign w:val="center"/>
          </w:tcPr>
          <w:p w14:paraId="270E1F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9</w:t>
            </w:r>
          </w:p>
        </w:tc>
        <w:tc>
          <w:tcPr>
            <w:tcW w:w="426" w:type="pct"/>
            <w:vAlign w:val="center"/>
          </w:tcPr>
          <w:p w14:paraId="2C3734A6">
            <w:pPr>
              <w:keepNext w:val="0"/>
              <w:keepLines w:val="0"/>
              <w:widowControl/>
              <w:suppressLineNumbers w:val="0"/>
              <w:ind w:left="0" w:leftChars="0" w:firstLine="0" w:firstLineChars="0"/>
              <w:jc w:val="center"/>
              <w:textAlignment w:val="center"/>
              <w:rPr>
                <w:rFonts w:hint="eastAsia" w:ascii="宋体" w:hAnsi="宋体" w:eastAsia="宋体" w:cs="宋体"/>
                <w:bCs/>
                <w:color w:val="auto"/>
                <w:sz w:val="21"/>
                <w:szCs w:val="21"/>
              </w:rPr>
            </w:pPr>
            <w:r>
              <w:rPr>
                <w:rFonts w:hint="eastAsia" w:ascii="宋体" w:hAnsi="宋体" w:eastAsia="宋体" w:cs="宋体"/>
                <w:i w:val="0"/>
                <w:iCs w:val="0"/>
                <w:color w:val="000000"/>
                <w:kern w:val="0"/>
                <w:sz w:val="21"/>
                <w:szCs w:val="21"/>
                <w:u w:val="none"/>
                <w:lang w:val="en-US" w:eastAsia="zh-CN" w:bidi="ar"/>
              </w:rPr>
              <w:t>系统集成及质保服务</w:t>
            </w:r>
          </w:p>
        </w:tc>
        <w:tc>
          <w:tcPr>
            <w:tcW w:w="3036" w:type="pct"/>
            <w:shd w:val="clear" w:color="auto" w:fill="auto"/>
            <w:vAlign w:val="center"/>
          </w:tcPr>
          <w:p w14:paraId="06099213">
            <w:pPr>
              <w:adjustRightInd w:val="0"/>
              <w:snapToGrid w:val="0"/>
              <w:jc w:val="left"/>
              <w:rPr>
                <w:rFonts w:hint="eastAsia" w:ascii="宋体" w:hAnsi="宋体" w:eastAsia="宋体" w:cs="宋体"/>
                <w:b/>
                <w:bCs/>
                <w:sz w:val="21"/>
                <w:szCs w:val="21"/>
                <w:highlight w:val="none"/>
              </w:rPr>
            </w:pPr>
            <w:r>
              <w:rPr>
                <w:rFonts w:hint="eastAsia" w:ascii="宋体" w:hAnsi="宋体" w:eastAsia="宋体" w:cs="宋体"/>
                <w:b/>
                <w:bCs/>
                <w:color w:val="000000"/>
                <w:sz w:val="21"/>
                <w:szCs w:val="21"/>
              </w:rPr>
              <w:t>●</w:t>
            </w:r>
            <w:r>
              <w:rPr>
                <w:rFonts w:hint="eastAsia" w:ascii="宋体" w:hAnsi="宋体" w:eastAsia="宋体" w:cs="宋体"/>
                <w:b/>
                <w:bCs/>
                <w:sz w:val="21"/>
                <w:szCs w:val="21"/>
                <w:highlight w:val="none"/>
                <w:lang w:val="en-US" w:eastAsia="zh-CN"/>
              </w:rPr>
              <w:t>1.</w:t>
            </w:r>
            <w:r>
              <w:rPr>
                <w:rFonts w:hint="eastAsia" w:ascii="宋体" w:hAnsi="宋体" w:eastAsia="宋体" w:cs="宋体"/>
                <w:b/>
                <w:bCs/>
                <w:sz w:val="21"/>
                <w:szCs w:val="21"/>
                <w:highlight w:val="none"/>
              </w:rPr>
              <w:t>设备安装调试及系统所需网线、高清线、</w:t>
            </w:r>
            <w:r>
              <w:rPr>
                <w:rFonts w:hint="eastAsia"/>
                <w:b/>
                <w:bCs/>
                <w:szCs w:val="21"/>
                <w:highlight w:val="none"/>
              </w:rPr>
              <w:t>POE千兆交换机、</w:t>
            </w:r>
            <w:r>
              <w:rPr>
                <w:rFonts w:hint="eastAsia" w:ascii="宋体" w:hAnsi="宋体" w:eastAsia="宋体" w:cs="宋体"/>
                <w:b/>
                <w:bCs/>
                <w:sz w:val="21"/>
                <w:szCs w:val="21"/>
                <w:highlight w:val="none"/>
              </w:rPr>
              <w:t>插排、水晶头等</w:t>
            </w:r>
            <w:r>
              <w:rPr>
                <w:rFonts w:hint="eastAsia" w:ascii="宋体" w:hAnsi="宋体" w:eastAsia="宋体" w:cs="宋体"/>
                <w:b/>
                <w:bCs/>
                <w:sz w:val="21"/>
                <w:szCs w:val="21"/>
                <w:highlight w:val="none"/>
                <w:lang w:eastAsia="zh-CN"/>
              </w:rPr>
              <w:t>辅助设备和耗材；</w:t>
            </w:r>
          </w:p>
          <w:p w14:paraId="2ABF7BA1">
            <w:pPr>
              <w:adjustRightInd w:val="0"/>
              <w:snapToGrid w:val="0"/>
              <w:jc w:val="left"/>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2</w:t>
            </w:r>
            <w:r>
              <w:rPr>
                <w:rFonts w:hint="eastAsia" w:ascii="宋体" w:hAnsi="宋体" w:eastAsia="宋体" w:cs="宋体"/>
                <w:sz w:val="21"/>
                <w:szCs w:val="21"/>
                <w:highlight w:val="none"/>
              </w:rPr>
              <w:t>.提供课表对接服务，支持对接学校的数据中台及课表系统标准API接口对接，实现按课表安排</w:t>
            </w:r>
            <w:r>
              <w:rPr>
                <w:rFonts w:hint="eastAsia" w:ascii="宋体" w:hAnsi="宋体" w:eastAsia="宋体" w:cs="宋体"/>
                <w:sz w:val="21"/>
                <w:szCs w:val="21"/>
                <w:highlight w:val="none"/>
                <w:lang w:eastAsia="zh-CN"/>
              </w:rPr>
              <w:t>同步</w:t>
            </w:r>
            <w:r>
              <w:rPr>
                <w:rFonts w:hint="eastAsia" w:ascii="宋体" w:hAnsi="宋体" w:eastAsia="宋体" w:cs="宋体"/>
                <w:sz w:val="21"/>
                <w:szCs w:val="21"/>
                <w:highlight w:val="none"/>
              </w:rPr>
              <w:t>控制教室录播主机的开启、关闭</w:t>
            </w:r>
            <w:r>
              <w:rPr>
                <w:rFonts w:hint="eastAsia" w:ascii="宋体" w:hAnsi="宋体" w:eastAsia="宋体" w:cs="宋体"/>
                <w:sz w:val="21"/>
                <w:szCs w:val="21"/>
                <w:highlight w:val="none"/>
                <w:lang w:eastAsia="zh-CN"/>
              </w:rPr>
              <w:t>；</w:t>
            </w:r>
          </w:p>
          <w:p w14:paraId="5D637FEA">
            <w:pPr>
              <w:adjustRightInd w:val="0"/>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3</w:t>
            </w:r>
            <w:r>
              <w:rPr>
                <w:rFonts w:hint="eastAsia" w:ascii="宋体" w:hAnsi="宋体" w:eastAsia="宋体" w:cs="宋体"/>
                <w:sz w:val="21"/>
                <w:szCs w:val="21"/>
                <w:highlight w:val="none"/>
              </w:rPr>
              <w:t>.提供教职工信息对接服务，和学校数据中台及教务系统对接教工学生信息标准API接口，保障系统数据一致</w:t>
            </w:r>
            <w:r>
              <w:rPr>
                <w:rFonts w:hint="eastAsia" w:ascii="宋体" w:hAnsi="宋体" w:eastAsia="宋体" w:cs="宋体"/>
                <w:sz w:val="21"/>
                <w:szCs w:val="21"/>
                <w:highlight w:val="none"/>
                <w:lang w:eastAsia="zh-CN"/>
              </w:rPr>
              <w:t>同步；</w:t>
            </w:r>
          </w:p>
          <w:p w14:paraId="19246693">
            <w:pPr>
              <w:adjustRightInd w:val="0"/>
              <w:snapToGrid w:val="0"/>
              <w:jc w:val="left"/>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4</w:t>
            </w:r>
            <w:r>
              <w:rPr>
                <w:rFonts w:hint="eastAsia" w:ascii="宋体" w:hAnsi="宋体" w:eastAsia="宋体" w:cs="宋体"/>
                <w:sz w:val="21"/>
                <w:szCs w:val="21"/>
                <w:highlight w:val="none"/>
              </w:rPr>
              <w:t>.提供单点登录系统对接，满足学校统一登录需求（需要学校配合提供相关H5页面和接口信息文档）</w:t>
            </w:r>
            <w:r>
              <w:rPr>
                <w:rFonts w:hint="eastAsia" w:ascii="宋体" w:hAnsi="宋体" w:eastAsia="宋体" w:cs="宋体"/>
                <w:sz w:val="21"/>
                <w:szCs w:val="21"/>
                <w:highlight w:val="none"/>
                <w:lang w:eastAsia="zh-CN"/>
              </w:rPr>
              <w:t>；</w:t>
            </w:r>
          </w:p>
          <w:p w14:paraId="7CC1628A">
            <w:pPr>
              <w:numPr>
                <w:ilvl w:val="0"/>
                <w:numId w:val="0"/>
              </w:numPr>
              <w:adjustRightInd w:val="0"/>
              <w:snapToGrid w:val="0"/>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5.与校方已建成智慧教室、录播教室、微格实训室对接，实现音视频资源共享和管理；</w:t>
            </w:r>
          </w:p>
          <w:p w14:paraId="33AFF8E2">
            <w:pPr>
              <w:adjustRightInd w:val="0"/>
              <w:snapToGrid w:val="0"/>
              <w:ind w:left="0" w:leftChars="0" w:firstLine="0" w:firstLineChars="0"/>
              <w:jc w:val="left"/>
              <w:rPr>
                <w:rFonts w:hint="eastAsia" w:ascii="宋体" w:hAnsi="宋体" w:eastAsia="宋体" w:cs="宋体"/>
                <w:b w:val="0"/>
                <w:bCs w:val="0"/>
                <w:color w:val="auto"/>
                <w:kern w:val="0"/>
                <w:sz w:val="21"/>
                <w:szCs w:val="21"/>
                <w:lang w:val="en-US" w:eastAsia="zh-CN" w:bidi="ar-SA"/>
              </w:rPr>
            </w:pPr>
            <w:r>
              <w:rPr>
                <w:rFonts w:hint="eastAsia" w:ascii="宋体" w:hAnsi="宋体" w:eastAsia="宋体" w:cs="宋体"/>
                <w:b/>
                <w:bCs/>
                <w:sz w:val="21"/>
                <w:szCs w:val="21"/>
                <w:highlight w:val="none"/>
              </w:rPr>
              <w:t>★</w:t>
            </w:r>
            <w:r>
              <w:rPr>
                <w:rFonts w:hint="eastAsia" w:cs="宋体"/>
                <w:b/>
                <w:bCs/>
                <w:sz w:val="21"/>
                <w:szCs w:val="21"/>
                <w:highlight w:val="none"/>
                <w:lang w:val="en-US" w:eastAsia="zh-CN"/>
              </w:rPr>
              <w:t>6</w:t>
            </w:r>
            <w:r>
              <w:rPr>
                <w:rFonts w:hint="eastAsia" w:ascii="宋体" w:hAnsi="宋体" w:eastAsia="宋体" w:cs="宋体"/>
                <w:b/>
                <w:bCs/>
                <w:sz w:val="21"/>
                <w:szCs w:val="21"/>
                <w:highlight w:val="none"/>
                <w:lang w:val="en-US" w:eastAsia="zh-CN"/>
              </w:rPr>
              <w:t>.提供不低于5年的整体质保服务，须提供加盖</w:t>
            </w:r>
            <w:r>
              <w:rPr>
                <w:rFonts w:hint="eastAsia"/>
                <w:b/>
                <w:bCs/>
                <w:lang w:val="en-US" w:eastAsia="zh-CN"/>
              </w:rPr>
              <w:t>投标人</w:t>
            </w:r>
            <w:r>
              <w:rPr>
                <w:rFonts w:hint="eastAsia" w:ascii="宋体" w:hAnsi="宋体" w:eastAsia="宋体" w:cs="宋体"/>
                <w:b/>
                <w:bCs/>
                <w:sz w:val="21"/>
                <w:szCs w:val="21"/>
                <w:highlight w:val="none"/>
                <w:lang w:val="en-US" w:eastAsia="zh-CN"/>
              </w:rPr>
              <w:t>公章的服务承诺函。</w:t>
            </w:r>
          </w:p>
        </w:tc>
        <w:tc>
          <w:tcPr>
            <w:tcW w:w="549" w:type="pct"/>
            <w:vAlign w:val="center"/>
          </w:tcPr>
          <w:p w14:paraId="243F1CE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bCs/>
                <w:color w:val="auto"/>
                <w:sz w:val="21"/>
                <w:szCs w:val="21"/>
                <w:lang w:val="en-US" w:eastAsia="zh-CN"/>
              </w:rPr>
            </w:pPr>
            <w:r>
              <w:rPr>
                <w:rFonts w:hint="eastAsia" w:cs="宋体"/>
                <w:bCs/>
                <w:color w:val="auto"/>
                <w:sz w:val="21"/>
                <w:szCs w:val="21"/>
                <w:lang w:val="en-US" w:eastAsia="zh-CN"/>
              </w:rPr>
              <w:t>1项</w:t>
            </w:r>
          </w:p>
        </w:tc>
        <w:tc>
          <w:tcPr>
            <w:tcW w:w="393" w:type="pct"/>
            <w:vAlign w:val="center"/>
          </w:tcPr>
          <w:p w14:paraId="08B28BC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bCs/>
                <w:color w:val="auto"/>
                <w:sz w:val="21"/>
                <w:szCs w:val="21"/>
                <w:lang w:val="en-US" w:eastAsia="zh-CN"/>
              </w:rPr>
            </w:pPr>
            <w:r>
              <w:rPr>
                <w:rFonts w:hint="eastAsia" w:ascii="宋体" w:hAnsi="宋体" w:eastAsia="宋体" w:cs="宋体"/>
                <w:bCs/>
                <w:color w:val="auto"/>
                <w:sz w:val="21"/>
                <w:szCs w:val="21"/>
                <w:lang w:val="en-US" w:eastAsia="zh-CN"/>
              </w:rPr>
              <w:t>工业</w:t>
            </w:r>
          </w:p>
        </w:tc>
        <w:tc>
          <w:tcPr>
            <w:tcW w:w="294" w:type="pct"/>
            <w:vAlign w:val="center"/>
          </w:tcPr>
          <w:p w14:paraId="6B6FF16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eastAsia="宋体" w:cs="宋体"/>
                <w:bCs/>
                <w:color w:val="auto"/>
                <w:sz w:val="21"/>
                <w:szCs w:val="21"/>
                <w:lang w:val="en-US" w:eastAsia="zh-CN"/>
              </w:rPr>
            </w:pPr>
            <w:r>
              <w:rPr>
                <w:rFonts w:hint="eastAsia" w:ascii="宋体" w:hAnsi="宋体" w:eastAsia="宋体" w:cs="宋体"/>
                <w:bCs/>
                <w:color w:val="auto"/>
                <w:sz w:val="21"/>
                <w:szCs w:val="21"/>
                <w:lang w:val="en-US" w:eastAsia="zh-CN"/>
              </w:rPr>
              <w:t>/</w:t>
            </w:r>
          </w:p>
        </w:tc>
      </w:tr>
    </w:tbl>
    <w:p w14:paraId="34D5CAC4">
      <w:pPr>
        <w:rPr>
          <w:rFonts w:hint="eastAsia"/>
        </w:rPr>
      </w:pPr>
    </w:p>
    <w:p w14:paraId="0A2EB4F8">
      <w:pPr>
        <w:spacing w:line="360" w:lineRule="auto"/>
        <w:ind w:firstLine="437"/>
        <w:outlineLvl w:val="1"/>
        <w:rPr>
          <w:rFonts w:hint="eastAsia" w:ascii="宋体" w:hAnsi="宋体" w:eastAsia="宋体" w:cs="宋体"/>
          <w:b/>
          <w:bCs/>
          <w:sz w:val="24"/>
          <w:szCs w:val="18"/>
        </w:rPr>
      </w:pPr>
      <w:r>
        <w:rPr>
          <w:rFonts w:hint="eastAsia" w:ascii="宋体" w:hAnsi="宋体" w:eastAsia="宋体" w:cs="宋体"/>
          <w:b/>
          <w:bCs/>
          <w:sz w:val="24"/>
          <w:szCs w:val="18"/>
        </w:rPr>
        <w:t>三、报价要求</w:t>
      </w:r>
    </w:p>
    <w:p w14:paraId="4345D8D6">
      <w:pPr>
        <w:rPr>
          <w:rFonts w:ascii="Times New Roman" w:hAnsi="宋体" w:eastAsia="宋体" w:cs="Times New Roman"/>
          <w:sz w:val="24"/>
          <w:szCs w:val="22"/>
        </w:rPr>
      </w:pPr>
      <w:r>
        <w:rPr>
          <w:rFonts w:hint="eastAsia" w:ascii="宋体" w:hAnsi="宋体" w:eastAsia="宋体" w:cs="宋体"/>
          <w:bCs/>
          <w:sz w:val="24"/>
          <w:szCs w:val="18"/>
        </w:rPr>
        <w:t>本项目报投标总价，投标人的报价包含但不限于拆除、清运、材料、安装、运输劳务、利润、税金、政策性文件规定及合同包含的所有风险、责任、义务等，即为完成招标文件要求的供货内容所包含的一切应有费用，采购人后期不再追加费用，投标人自行考虑投标风险</w:t>
      </w:r>
      <w:r>
        <w:rPr>
          <w:rFonts w:hint="eastAsia" w:ascii="宋体" w:hAnsi="宋体" w:eastAsia="宋体" w:cs="宋体"/>
          <w:bCs/>
          <w:sz w:val="24"/>
          <w:szCs w:val="18"/>
          <w:lang w:eastAsia="zh-CN"/>
        </w:rPr>
        <w:t>。</w:t>
      </w:r>
    </w:p>
    <w:p w14:paraId="21AB01A0">
      <w:pPr>
        <w:rPr>
          <w:rFonts w:hint="eastAsia" w:ascii="Times New Roman" w:hAnsi="宋体" w:eastAsia="宋体" w:cs="Times New Roman"/>
          <w:sz w:val="24"/>
          <w:szCs w:val="22"/>
        </w:rPr>
      </w:pPr>
      <w:r>
        <w:rPr>
          <w:rFonts w:ascii="Times New Roman" w:hAnsi="宋体" w:eastAsia="宋体" w:cs="Times New Roman"/>
          <w:sz w:val="24"/>
          <w:szCs w:val="22"/>
        </w:rPr>
        <w:br w:type="page"/>
      </w:r>
    </w:p>
    <w:p w14:paraId="57BC7AF9">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Times New Roman"/>
          <w:b/>
          <w:sz w:val="24"/>
          <w:szCs w:val="28"/>
        </w:rPr>
      </w:pPr>
      <w:r>
        <w:rPr>
          <w:rFonts w:hint="eastAsia" w:ascii="宋体" w:hAnsi="宋体" w:eastAsia="宋体" w:cs="Times New Roman"/>
          <w:b/>
          <w:sz w:val="24"/>
          <w:szCs w:val="28"/>
          <w:lang w:val="en-US" w:eastAsia="zh-CN"/>
        </w:rPr>
        <w:t>三</w:t>
      </w:r>
      <w:r>
        <w:rPr>
          <w:rFonts w:hint="eastAsia" w:ascii="宋体" w:hAnsi="宋体" w:eastAsia="宋体" w:cs="Times New Roman"/>
          <w:b/>
          <w:sz w:val="24"/>
          <w:szCs w:val="28"/>
        </w:rPr>
        <w:t>、综合评分表（综合评分项目适用）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344"/>
        <w:gridCol w:w="4767"/>
        <w:gridCol w:w="1277"/>
      </w:tblGrid>
      <w:tr w14:paraId="286EA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665" w:type="pct"/>
            <w:tcBorders>
              <w:top w:val="single" w:color="auto" w:sz="4" w:space="0"/>
              <w:left w:val="single" w:color="auto" w:sz="4" w:space="0"/>
              <w:bottom w:val="single" w:color="auto" w:sz="4" w:space="0"/>
              <w:right w:val="single" w:color="auto" w:sz="4" w:space="0"/>
            </w:tcBorders>
            <w:vAlign w:val="center"/>
          </w:tcPr>
          <w:p w14:paraId="72C39774">
            <w:pPr>
              <w:keepNext w:val="0"/>
              <w:keepLines w:val="0"/>
              <w:pageBreakBefore w:val="0"/>
              <w:kinsoku/>
              <w:wordWrap w:val="0"/>
              <w:overflowPunct/>
              <w:topLinePunct w:val="0"/>
              <w:autoSpaceDE/>
              <w:autoSpaceDN/>
              <w:bidi w:val="0"/>
              <w:adjustRightInd/>
              <w:snapToGrid/>
              <w:spacing w:line="440" w:lineRule="exact"/>
              <w:ind w:right="0"/>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类别</w:t>
            </w:r>
          </w:p>
        </w:tc>
        <w:tc>
          <w:tcPr>
            <w:tcW w:w="788" w:type="pct"/>
            <w:tcBorders>
              <w:top w:val="single" w:color="auto" w:sz="4" w:space="0"/>
              <w:left w:val="single" w:color="auto" w:sz="4" w:space="0"/>
              <w:bottom w:val="single" w:color="auto" w:sz="4" w:space="0"/>
              <w:right w:val="single" w:color="auto" w:sz="4" w:space="0"/>
            </w:tcBorders>
            <w:vAlign w:val="center"/>
          </w:tcPr>
          <w:p w14:paraId="0184E78D">
            <w:pPr>
              <w:keepNext w:val="0"/>
              <w:keepLines w:val="0"/>
              <w:pageBreakBefore w:val="0"/>
              <w:kinsoku/>
              <w:wordWrap w:val="0"/>
              <w:overflowPunct/>
              <w:topLinePunct w:val="0"/>
              <w:autoSpaceDE/>
              <w:autoSpaceDN/>
              <w:bidi w:val="0"/>
              <w:adjustRightInd/>
              <w:snapToGrid/>
              <w:spacing w:line="440" w:lineRule="exact"/>
              <w:ind w:right="0"/>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评分内容</w:t>
            </w:r>
          </w:p>
        </w:tc>
        <w:tc>
          <w:tcPr>
            <w:tcW w:w="2796" w:type="pct"/>
            <w:tcBorders>
              <w:top w:val="single" w:color="auto" w:sz="4" w:space="0"/>
              <w:left w:val="single" w:color="auto" w:sz="4" w:space="0"/>
              <w:bottom w:val="single" w:color="auto" w:sz="4" w:space="0"/>
              <w:right w:val="single" w:color="auto" w:sz="4" w:space="0"/>
            </w:tcBorders>
            <w:vAlign w:val="center"/>
          </w:tcPr>
          <w:p w14:paraId="7BC21770">
            <w:pPr>
              <w:keepNext w:val="0"/>
              <w:keepLines w:val="0"/>
              <w:pageBreakBefore w:val="0"/>
              <w:kinsoku/>
              <w:wordWrap w:val="0"/>
              <w:overflowPunct/>
              <w:topLinePunct w:val="0"/>
              <w:autoSpaceDE/>
              <w:autoSpaceDN/>
              <w:bidi w:val="0"/>
              <w:adjustRightInd/>
              <w:snapToGrid/>
              <w:spacing w:line="440" w:lineRule="exact"/>
              <w:ind w:right="0"/>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评分标准</w:t>
            </w:r>
          </w:p>
        </w:tc>
        <w:tc>
          <w:tcPr>
            <w:tcW w:w="749" w:type="pct"/>
            <w:tcBorders>
              <w:top w:val="single" w:color="auto" w:sz="4" w:space="0"/>
              <w:left w:val="single" w:color="auto" w:sz="4" w:space="0"/>
              <w:bottom w:val="single" w:color="auto" w:sz="4" w:space="0"/>
              <w:right w:val="single" w:color="auto" w:sz="4" w:space="0"/>
            </w:tcBorders>
            <w:vAlign w:val="center"/>
          </w:tcPr>
          <w:p w14:paraId="1BFE1371">
            <w:pPr>
              <w:keepNext w:val="0"/>
              <w:keepLines w:val="0"/>
              <w:pageBreakBefore w:val="0"/>
              <w:kinsoku/>
              <w:wordWrap w:val="0"/>
              <w:overflowPunct/>
              <w:topLinePunct w:val="0"/>
              <w:autoSpaceDE/>
              <w:autoSpaceDN/>
              <w:bidi w:val="0"/>
              <w:adjustRightInd/>
              <w:snapToGrid/>
              <w:spacing w:line="440" w:lineRule="exact"/>
              <w:ind w:right="0"/>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分值范围</w:t>
            </w:r>
          </w:p>
        </w:tc>
      </w:tr>
      <w:tr w14:paraId="6C393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pct"/>
            <w:vMerge w:val="restart"/>
            <w:tcBorders>
              <w:top w:val="single" w:color="auto" w:sz="4" w:space="0"/>
              <w:left w:val="single" w:color="auto" w:sz="4" w:space="0"/>
              <w:right w:val="single" w:color="auto" w:sz="4" w:space="0"/>
            </w:tcBorders>
            <w:vAlign w:val="center"/>
          </w:tcPr>
          <w:p w14:paraId="023D5829">
            <w:pPr>
              <w:keepNext w:val="0"/>
              <w:keepLines w:val="0"/>
              <w:pageBreakBefore w:val="0"/>
              <w:kinsoku/>
              <w:wordWrap w:val="0"/>
              <w:overflowPunct/>
              <w:topLinePunct w:val="0"/>
              <w:autoSpaceDE/>
              <w:autoSpaceDN/>
              <w:bidi w:val="0"/>
              <w:adjustRightInd/>
              <w:snapToGrid/>
              <w:spacing w:line="440" w:lineRule="exact"/>
              <w:ind w:right="0"/>
              <w:jc w:val="center"/>
              <w:textAlignment w:val="auto"/>
              <w:rPr>
                <w:rFonts w:hint="eastAsia" w:ascii="宋体" w:hAnsi="宋体" w:eastAsia="宋体" w:cs="宋体"/>
                <w:sz w:val="24"/>
                <w:szCs w:val="24"/>
              </w:rPr>
            </w:pPr>
            <w:r>
              <w:rPr>
                <w:rFonts w:hint="eastAsia" w:ascii="宋体" w:hAnsi="宋体" w:eastAsia="宋体" w:cs="宋体"/>
                <w:sz w:val="24"/>
                <w:szCs w:val="24"/>
              </w:rPr>
              <w:t>技术资信分</w:t>
            </w:r>
          </w:p>
          <w:p w14:paraId="2E0CE69E">
            <w:pPr>
              <w:keepNext w:val="0"/>
              <w:keepLines w:val="0"/>
              <w:pageBreakBefore w:val="0"/>
              <w:kinsoku/>
              <w:wordWrap w:val="0"/>
              <w:overflowPunct/>
              <w:topLinePunct w:val="0"/>
              <w:autoSpaceDE/>
              <w:autoSpaceDN/>
              <w:bidi w:val="0"/>
              <w:adjustRightInd/>
              <w:snapToGrid/>
              <w:spacing w:line="440" w:lineRule="exact"/>
              <w:ind w:right="0"/>
              <w:jc w:val="center"/>
              <w:textAlignment w:val="auto"/>
              <w:rPr>
                <w:rFonts w:hint="eastAsia" w:ascii="宋体" w:hAnsi="宋体" w:eastAsia="宋体" w:cs="宋体"/>
                <w:b/>
                <w:bCs/>
                <w:sz w:val="24"/>
                <w:szCs w:val="24"/>
              </w:rPr>
            </w:pPr>
            <w:r>
              <w:rPr>
                <w:rFonts w:hint="eastAsia" w:ascii="宋体" w:hAnsi="宋体" w:eastAsia="宋体" w:cs="宋体"/>
                <w:sz w:val="24"/>
                <w:szCs w:val="24"/>
                <w:u w:val="none"/>
                <w:lang w:val="en-US" w:eastAsia="zh-CN"/>
              </w:rPr>
              <w:t>（</w:t>
            </w:r>
            <w:r>
              <w:rPr>
                <w:rFonts w:hint="eastAsia" w:ascii="宋体" w:hAnsi="宋体" w:eastAsia="宋体" w:cs="宋体"/>
                <w:sz w:val="24"/>
                <w:szCs w:val="24"/>
                <w:u w:val="single"/>
                <w:lang w:val="en-US" w:eastAsia="zh-CN"/>
              </w:rPr>
              <w:t>70</w:t>
            </w:r>
            <w:r>
              <w:rPr>
                <w:rFonts w:hint="eastAsia" w:ascii="宋体" w:hAnsi="宋体" w:eastAsia="宋体" w:cs="宋体"/>
                <w:sz w:val="24"/>
                <w:szCs w:val="24"/>
              </w:rPr>
              <w:t>分）</w:t>
            </w:r>
          </w:p>
        </w:tc>
        <w:tc>
          <w:tcPr>
            <w:tcW w:w="788" w:type="pct"/>
            <w:tcBorders>
              <w:top w:val="single" w:color="auto" w:sz="4" w:space="0"/>
              <w:left w:val="single" w:color="auto" w:sz="4" w:space="0"/>
              <w:bottom w:val="single" w:color="auto" w:sz="4" w:space="0"/>
              <w:right w:val="single" w:color="auto" w:sz="4" w:space="0"/>
            </w:tcBorders>
            <w:vAlign w:val="center"/>
          </w:tcPr>
          <w:p w14:paraId="6E6390F2">
            <w:pPr>
              <w:keepNext w:val="0"/>
              <w:keepLines w:val="0"/>
              <w:pageBreakBefore w:val="0"/>
              <w:widowControl/>
              <w:suppressLineNumbers w:val="0"/>
              <w:kinsoku/>
              <w:wordWrap w:val="0"/>
              <w:overflowPunct/>
              <w:topLinePunct w:val="0"/>
              <w:autoSpaceDE/>
              <w:autoSpaceDN/>
              <w:bidi w:val="0"/>
              <w:adjustRightInd/>
              <w:snapToGrid/>
              <w:spacing w:line="440" w:lineRule="exact"/>
              <w:ind w:right="0"/>
              <w:jc w:val="center"/>
              <w:textAlignment w:val="auto"/>
              <w:rPr>
                <w:rFonts w:hint="eastAsia" w:ascii="宋体" w:hAnsi="宋体" w:eastAsia="宋体" w:cs="宋体"/>
                <w:bCs/>
                <w:sz w:val="24"/>
                <w:szCs w:val="24"/>
              </w:rPr>
            </w:pPr>
            <w:r>
              <w:rPr>
                <w:rFonts w:hint="eastAsia" w:ascii="宋体" w:hAnsi="宋体" w:eastAsia="宋体" w:cs="宋体"/>
                <w:color w:val="000000"/>
                <w:kern w:val="0"/>
                <w:sz w:val="24"/>
                <w:szCs w:val="24"/>
                <w:lang w:val="en-US" w:eastAsia="zh-CN" w:bidi="ar"/>
              </w:rPr>
              <w:t>所投产品技术参数及要求响应情况</w:t>
            </w:r>
          </w:p>
        </w:tc>
        <w:tc>
          <w:tcPr>
            <w:tcW w:w="2796" w:type="pct"/>
            <w:tcBorders>
              <w:top w:val="single" w:color="auto" w:sz="4" w:space="0"/>
              <w:left w:val="single" w:color="auto" w:sz="4" w:space="0"/>
              <w:bottom w:val="single" w:color="auto" w:sz="4" w:space="0"/>
              <w:right w:val="single" w:color="auto" w:sz="4" w:space="0"/>
            </w:tcBorders>
            <w:shd w:val="clear" w:color="auto" w:fill="auto"/>
            <w:vAlign w:val="center"/>
          </w:tcPr>
          <w:p w14:paraId="000086EB">
            <w:pPr>
              <w:keepNext w:val="0"/>
              <w:keepLines w:val="0"/>
              <w:pageBreakBefore w:val="0"/>
              <w:widowControl/>
              <w:suppressLineNumbers w:val="0"/>
              <w:kinsoku/>
              <w:wordWrap w:val="0"/>
              <w:overflowPunct/>
              <w:topLinePunct w:val="0"/>
              <w:autoSpaceDE/>
              <w:autoSpaceDN/>
              <w:bidi w:val="0"/>
              <w:adjustRightInd/>
              <w:snapToGrid/>
              <w:spacing w:line="440" w:lineRule="exact"/>
              <w:ind w:right="0"/>
              <w:jc w:val="left"/>
              <w:textAlignment w:val="auto"/>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根据投标文件对采购需求技术参数要求的响应情况进行评分：采购需求“技术参数及要求”中标记“★”参数代表重要指标项，每满足一项得2分，共</w:t>
            </w:r>
            <w:r>
              <w:rPr>
                <w:rFonts w:hint="eastAsia" w:ascii="宋体" w:hAnsi="宋体" w:eastAsia="宋体" w:cs="宋体"/>
                <w:b w:val="0"/>
                <w:bCs w:val="0"/>
                <w:color w:val="000000"/>
                <w:sz w:val="24"/>
                <w:szCs w:val="24"/>
                <w:lang w:val="en-US" w:eastAsia="zh-CN"/>
              </w:rPr>
              <w:t>17</w:t>
            </w:r>
            <w:r>
              <w:rPr>
                <w:rFonts w:hint="eastAsia" w:ascii="宋体" w:hAnsi="宋体" w:eastAsia="宋体" w:cs="宋体"/>
                <w:b w:val="0"/>
                <w:bCs w:val="0"/>
                <w:color w:val="000000"/>
                <w:sz w:val="24"/>
                <w:szCs w:val="24"/>
              </w:rPr>
              <w:t>项，共计</w:t>
            </w:r>
            <w:r>
              <w:rPr>
                <w:rFonts w:hint="eastAsia" w:ascii="宋体" w:hAnsi="宋体" w:eastAsia="宋体" w:cs="宋体"/>
                <w:b w:val="0"/>
                <w:bCs w:val="0"/>
                <w:color w:val="000000"/>
                <w:sz w:val="24"/>
                <w:szCs w:val="24"/>
                <w:lang w:val="en-US" w:eastAsia="zh-CN"/>
              </w:rPr>
              <w:t>34</w:t>
            </w:r>
            <w:r>
              <w:rPr>
                <w:rFonts w:hint="eastAsia" w:ascii="宋体" w:hAnsi="宋体" w:eastAsia="宋体" w:cs="宋体"/>
                <w:b w:val="0"/>
                <w:bCs w:val="0"/>
                <w:color w:val="000000"/>
                <w:sz w:val="24"/>
                <w:szCs w:val="24"/>
              </w:rPr>
              <w:t>分；</w:t>
            </w:r>
          </w:p>
          <w:p w14:paraId="462F9D97">
            <w:pPr>
              <w:keepNext w:val="0"/>
              <w:keepLines w:val="0"/>
              <w:pageBreakBefore w:val="0"/>
              <w:widowControl/>
              <w:suppressLineNumbers w:val="0"/>
              <w:kinsoku/>
              <w:wordWrap w:val="0"/>
              <w:overflowPunct/>
              <w:topLinePunct w:val="0"/>
              <w:autoSpaceDE/>
              <w:autoSpaceDN/>
              <w:bidi w:val="0"/>
              <w:adjustRightInd/>
              <w:snapToGrid/>
              <w:spacing w:line="440" w:lineRule="exact"/>
              <w:ind w:right="0"/>
              <w:jc w:val="both"/>
              <w:textAlignment w:val="auto"/>
              <w:rPr>
                <w:rFonts w:hint="eastAsia" w:ascii="宋体" w:hAnsi="宋体" w:eastAsia="宋体" w:cs="宋体"/>
                <w:color w:val="000000"/>
                <w:kern w:val="0"/>
                <w:sz w:val="24"/>
                <w:szCs w:val="24"/>
                <w:lang w:val="en-US" w:eastAsia="zh-CN" w:bidi="ar-SA"/>
              </w:rPr>
            </w:pPr>
            <w:r>
              <w:rPr>
                <w:rFonts w:hint="eastAsia" w:ascii="宋体" w:hAnsi="宋体" w:eastAsia="宋体" w:cs="宋体"/>
                <w:b/>
                <w:bCs/>
                <w:color w:val="000000"/>
                <w:kern w:val="0"/>
                <w:sz w:val="24"/>
                <w:szCs w:val="24"/>
                <w:lang w:val="en-US" w:eastAsia="zh-CN" w:bidi="ar"/>
              </w:rPr>
              <w:t>注：以投标文件格式6.2技术响应表和“技术参数及要求”中证明材料要求作为评审依据</w:t>
            </w:r>
            <w:r>
              <w:rPr>
                <w:rFonts w:hint="eastAsia" w:ascii="宋体" w:hAnsi="宋体" w:eastAsia="宋体" w:cs="宋体"/>
                <w:color w:val="000000"/>
                <w:kern w:val="0"/>
                <w:sz w:val="24"/>
                <w:szCs w:val="24"/>
                <w:lang w:val="en-US" w:eastAsia="zh-CN" w:bidi="ar"/>
              </w:rPr>
              <w:t>。</w:t>
            </w:r>
          </w:p>
        </w:tc>
        <w:tc>
          <w:tcPr>
            <w:tcW w:w="749" w:type="pct"/>
            <w:tcBorders>
              <w:top w:val="single" w:color="auto" w:sz="4" w:space="0"/>
              <w:left w:val="single" w:color="auto" w:sz="4" w:space="0"/>
              <w:bottom w:val="single" w:color="auto" w:sz="4" w:space="0"/>
              <w:right w:val="single" w:color="auto" w:sz="4" w:space="0"/>
            </w:tcBorders>
            <w:vAlign w:val="center"/>
          </w:tcPr>
          <w:p w14:paraId="154CAB06">
            <w:pPr>
              <w:keepNext w:val="0"/>
              <w:keepLines w:val="0"/>
              <w:pageBreakBefore w:val="0"/>
              <w:kinsoku/>
              <w:wordWrap w:val="0"/>
              <w:overflowPunct/>
              <w:topLinePunct w:val="0"/>
              <w:autoSpaceDE/>
              <w:autoSpaceDN/>
              <w:bidi w:val="0"/>
              <w:adjustRightInd/>
              <w:snapToGrid/>
              <w:spacing w:line="440" w:lineRule="exact"/>
              <w:ind w:right="0"/>
              <w:jc w:val="center"/>
              <w:textAlignment w:val="auto"/>
              <w:rPr>
                <w:rFonts w:hint="eastAsia" w:ascii="宋体" w:hAnsi="宋体" w:eastAsia="宋体" w:cs="宋体"/>
                <w:b/>
                <w:bCs/>
                <w:sz w:val="24"/>
                <w:szCs w:val="24"/>
                <w:lang w:val="en-US" w:eastAsia="zh-CN"/>
              </w:rPr>
            </w:pPr>
            <w:r>
              <w:rPr>
                <w:rFonts w:hint="eastAsia" w:ascii="宋体" w:hAnsi="宋体" w:eastAsia="宋体" w:cs="宋体"/>
                <w:b w:val="0"/>
                <w:bCs w:val="0"/>
                <w:sz w:val="24"/>
                <w:szCs w:val="24"/>
                <w:lang w:val="en-US" w:eastAsia="zh-CN"/>
              </w:rPr>
              <w:t>0-34分</w:t>
            </w:r>
          </w:p>
        </w:tc>
      </w:tr>
      <w:tr w14:paraId="32634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pct"/>
            <w:vMerge w:val="continue"/>
            <w:tcBorders>
              <w:left w:val="single" w:color="auto" w:sz="4" w:space="0"/>
              <w:right w:val="single" w:color="auto" w:sz="4" w:space="0"/>
            </w:tcBorders>
            <w:vAlign w:val="center"/>
          </w:tcPr>
          <w:p w14:paraId="17D2E711">
            <w:pPr>
              <w:keepNext w:val="0"/>
              <w:keepLines w:val="0"/>
              <w:pageBreakBefore w:val="0"/>
              <w:kinsoku/>
              <w:wordWrap w:val="0"/>
              <w:overflowPunct/>
              <w:topLinePunct w:val="0"/>
              <w:autoSpaceDE/>
              <w:autoSpaceDN/>
              <w:bidi w:val="0"/>
              <w:adjustRightInd/>
              <w:snapToGrid/>
              <w:spacing w:line="440" w:lineRule="exact"/>
              <w:ind w:right="0" w:firstLine="435"/>
              <w:jc w:val="center"/>
              <w:textAlignment w:val="auto"/>
              <w:rPr>
                <w:rFonts w:hint="eastAsia" w:ascii="宋体" w:hAnsi="宋体" w:eastAsia="宋体" w:cs="宋体"/>
                <w:b/>
                <w:bCs/>
                <w:sz w:val="24"/>
                <w:szCs w:val="24"/>
              </w:rPr>
            </w:pPr>
          </w:p>
        </w:tc>
        <w:tc>
          <w:tcPr>
            <w:tcW w:w="788" w:type="pct"/>
            <w:tcBorders>
              <w:top w:val="single" w:color="auto" w:sz="4" w:space="0"/>
              <w:left w:val="single" w:color="auto" w:sz="4" w:space="0"/>
              <w:bottom w:val="single" w:color="auto" w:sz="4" w:space="0"/>
              <w:right w:val="single" w:color="auto" w:sz="4" w:space="0"/>
            </w:tcBorders>
            <w:vAlign w:val="center"/>
          </w:tcPr>
          <w:p w14:paraId="7F3B822D">
            <w:pPr>
              <w:keepNext w:val="0"/>
              <w:keepLines w:val="0"/>
              <w:pageBreakBefore w:val="0"/>
              <w:kinsoku/>
              <w:wordWrap w:val="0"/>
              <w:overflowPunct/>
              <w:topLinePunct w:val="0"/>
              <w:autoSpaceDE/>
              <w:autoSpaceDN/>
              <w:bidi w:val="0"/>
              <w:adjustRightInd/>
              <w:snapToGrid/>
              <w:spacing w:line="440" w:lineRule="exact"/>
              <w:ind w:right="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售后服务承诺函</w:t>
            </w:r>
          </w:p>
        </w:tc>
        <w:tc>
          <w:tcPr>
            <w:tcW w:w="2796" w:type="pct"/>
            <w:tcBorders>
              <w:top w:val="single" w:color="auto" w:sz="4" w:space="0"/>
              <w:left w:val="single" w:color="auto" w:sz="4" w:space="0"/>
              <w:bottom w:val="single" w:color="auto" w:sz="4" w:space="0"/>
              <w:right w:val="single" w:color="auto" w:sz="4" w:space="0"/>
            </w:tcBorders>
            <w:shd w:val="clear" w:color="auto" w:fill="auto"/>
            <w:vAlign w:val="center"/>
          </w:tcPr>
          <w:p w14:paraId="719EAA22">
            <w:pPr>
              <w:keepNext w:val="0"/>
              <w:keepLines w:val="0"/>
              <w:pageBreakBefore w:val="0"/>
              <w:widowControl w:val="0"/>
              <w:kinsoku/>
              <w:wordWrap w:val="0"/>
              <w:overflowPunct/>
              <w:topLinePunct w:val="0"/>
              <w:autoSpaceDE/>
              <w:autoSpaceDN/>
              <w:bidi w:val="0"/>
              <w:adjustRightInd/>
              <w:snapToGrid/>
              <w:spacing w:line="440" w:lineRule="exact"/>
              <w:ind w:right="0"/>
              <w:jc w:val="lef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投标文件</w:t>
            </w:r>
            <w:r>
              <w:rPr>
                <w:rFonts w:hint="eastAsia" w:ascii="宋体" w:hAnsi="宋体" w:eastAsia="宋体" w:cs="宋体"/>
                <w:b w:val="0"/>
                <w:bCs w:val="0"/>
                <w:color w:val="auto"/>
                <w:sz w:val="24"/>
                <w:szCs w:val="24"/>
                <w:lang w:val="en-US" w:eastAsia="zh-CN"/>
              </w:rPr>
              <w:t>中提供“督导巡课处理终端”、“存储服务器”投标人针对此项目的售后服务承诺函</w:t>
            </w:r>
            <w:r>
              <w:rPr>
                <w:rFonts w:hint="eastAsia" w:ascii="宋体" w:hAnsi="宋体" w:eastAsia="宋体" w:cs="宋体"/>
                <w:b w:val="0"/>
                <w:bCs w:val="0"/>
                <w:color w:val="auto"/>
                <w:sz w:val="24"/>
                <w:szCs w:val="24"/>
              </w:rPr>
              <w:t>，</w:t>
            </w:r>
            <w:r>
              <w:rPr>
                <w:rFonts w:hint="eastAsia" w:ascii="宋体" w:hAnsi="宋体" w:eastAsia="宋体" w:cs="宋体"/>
                <w:b w:val="0"/>
                <w:bCs w:val="0"/>
                <w:color w:val="auto"/>
                <w:sz w:val="24"/>
                <w:szCs w:val="24"/>
                <w:lang w:val="en-US" w:eastAsia="zh-CN"/>
              </w:rPr>
              <w:t>每提供一个得1分，满分2分</w:t>
            </w:r>
            <w:r>
              <w:rPr>
                <w:rFonts w:hint="eastAsia" w:ascii="宋体" w:hAnsi="宋体" w:eastAsia="宋体" w:cs="宋体"/>
                <w:b w:val="0"/>
                <w:bCs w:val="0"/>
                <w:color w:val="auto"/>
                <w:sz w:val="24"/>
                <w:szCs w:val="24"/>
              </w:rPr>
              <w:t>。</w:t>
            </w:r>
          </w:p>
          <w:p w14:paraId="5C5C83A6">
            <w:pPr>
              <w:pStyle w:val="2"/>
              <w:keepNext w:val="0"/>
              <w:keepLines w:val="0"/>
              <w:pageBreakBefore w:val="0"/>
              <w:widowControl w:val="0"/>
              <w:kinsoku/>
              <w:wordWrap w:val="0"/>
              <w:overflowPunct/>
              <w:topLinePunct w:val="0"/>
              <w:autoSpaceDE/>
              <w:autoSpaceDN/>
              <w:bidi w:val="0"/>
              <w:adjustRightInd/>
              <w:snapToGrid/>
              <w:spacing w:after="0" w:line="440" w:lineRule="exact"/>
              <w:ind w:left="0" w:leftChars="0" w:firstLine="0" w:firstLineChars="0"/>
              <w:textAlignment w:val="auto"/>
              <w:rPr>
                <w:rFonts w:hint="eastAsia" w:ascii="宋体" w:hAnsi="宋体" w:eastAsia="宋体" w:cs="宋体"/>
                <w:sz w:val="24"/>
                <w:szCs w:val="24"/>
                <w:lang w:val="en-US" w:eastAsia="zh-CN"/>
              </w:rPr>
            </w:pPr>
            <w:r>
              <w:rPr>
                <w:rFonts w:hint="eastAsia" w:ascii="宋体" w:hAnsi="宋体" w:eastAsia="宋体" w:cs="宋体"/>
                <w:b/>
                <w:bCs/>
                <w:color w:val="000000"/>
                <w:kern w:val="0"/>
                <w:sz w:val="24"/>
                <w:szCs w:val="24"/>
                <w:lang w:val="en-US" w:eastAsia="zh-CN" w:bidi="ar"/>
              </w:rPr>
              <w:t>注：投标文件提供承诺函，格式自拟，不提供不得分</w:t>
            </w:r>
            <w:r>
              <w:rPr>
                <w:rFonts w:hint="eastAsia" w:ascii="宋体" w:hAnsi="宋体" w:eastAsia="宋体" w:cs="宋体"/>
                <w:color w:val="000000"/>
                <w:kern w:val="0"/>
                <w:sz w:val="24"/>
                <w:szCs w:val="24"/>
                <w:lang w:val="en-US" w:eastAsia="zh-CN" w:bidi="ar"/>
              </w:rPr>
              <w:t>。</w:t>
            </w:r>
          </w:p>
        </w:tc>
        <w:tc>
          <w:tcPr>
            <w:tcW w:w="749" w:type="pct"/>
            <w:tcBorders>
              <w:top w:val="single" w:color="auto" w:sz="4" w:space="0"/>
              <w:left w:val="single" w:color="auto" w:sz="4" w:space="0"/>
              <w:bottom w:val="single" w:color="auto" w:sz="4" w:space="0"/>
              <w:right w:val="single" w:color="auto" w:sz="4" w:space="0"/>
            </w:tcBorders>
            <w:vAlign w:val="center"/>
          </w:tcPr>
          <w:p w14:paraId="2C4EF97D">
            <w:pPr>
              <w:keepNext w:val="0"/>
              <w:keepLines w:val="0"/>
              <w:pageBreakBefore w:val="0"/>
              <w:kinsoku/>
              <w:wordWrap w:val="0"/>
              <w:overflowPunct/>
              <w:topLinePunct w:val="0"/>
              <w:autoSpaceDE/>
              <w:autoSpaceDN/>
              <w:bidi w:val="0"/>
              <w:adjustRightInd/>
              <w:snapToGrid/>
              <w:spacing w:line="440" w:lineRule="exact"/>
              <w:ind w:right="0"/>
              <w:jc w:val="center"/>
              <w:textAlignment w:val="auto"/>
              <w:rPr>
                <w:rFonts w:hint="eastAsia" w:ascii="宋体" w:hAnsi="宋体" w:eastAsia="宋体" w:cs="宋体"/>
                <w:b/>
                <w:bCs/>
                <w:sz w:val="24"/>
                <w:szCs w:val="24"/>
                <w:lang w:val="en-US" w:eastAsia="zh-CN"/>
              </w:rPr>
            </w:pPr>
            <w:r>
              <w:rPr>
                <w:rFonts w:hint="eastAsia" w:ascii="宋体" w:hAnsi="宋体" w:eastAsia="宋体" w:cs="宋体"/>
                <w:b w:val="0"/>
                <w:bCs w:val="0"/>
                <w:sz w:val="24"/>
                <w:szCs w:val="24"/>
                <w:lang w:val="en-US" w:eastAsia="zh-CN"/>
              </w:rPr>
              <w:t>0-2分</w:t>
            </w:r>
          </w:p>
        </w:tc>
      </w:tr>
      <w:tr w14:paraId="14C94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pct"/>
            <w:vMerge w:val="continue"/>
            <w:tcBorders>
              <w:left w:val="single" w:color="auto" w:sz="4" w:space="0"/>
              <w:right w:val="single" w:color="auto" w:sz="4" w:space="0"/>
            </w:tcBorders>
            <w:vAlign w:val="center"/>
          </w:tcPr>
          <w:p w14:paraId="00A8B9F9">
            <w:pPr>
              <w:keepNext w:val="0"/>
              <w:keepLines w:val="0"/>
              <w:pageBreakBefore w:val="0"/>
              <w:kinsoku/>
              <w:wordWrap w:val="0"/>
              <w:overflowPunct/>
              <w:topLinePunct w:val="0"/>
              <w:autoSpaceDE/>
              <w:autoSpaceDN/>
              <w:bidi w:val="0"/>
              <w:adjustRightInd/>
              <w:snapToGrid/>
              <w:spacing w:line="440" w:lineRule="exact"/>
              <w:ind w:right="0" w:firstLine="435"/>
              <w:jc w:val="center"/>
              <w:textAlignment w:val="auto"/>
              <w:rPr>
                <w:rFonts w:hint="eastAsia" w:ascii="宋体" w:hAnsi="宋体" w:eastAsia="宋体" w:cs="宋体"/>
                <w:b/>
                <w:bCs/>
                <w:sz w:val="24"/>
                <w:szCs w:val="24"/>
              </w:rPr>
            </w:pPr>
          </w:p>
        </w:tc>
        <w:tc>
          <w:tcPr>
            <w:tcW w:w="788" w:type="pct"/>
            <w:tcBorders>
              <w:top w:val="single" w:color="auto" w:sz="4" w:space="0"/>
              <w:left w:val="single" w:color="auto" w:sz="4" w:space="0"/>
              <w:bottom w:val="single" w:color="auto" w:sz="4" w:space="0"/>
              <w:right w:val="single" w:color="auto" w:sz="4" w:space="0"/>
            </w:tcBorders>
            <w:vAlign w:val="center"/>
          </w:tcPr>
          <w:p w14:paraId="4D68E6DA">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0" w:right="0" w:firstLine="0" w:firstLineChars="0"/>
              <w:jc w:val="center"/>
              <w:textAlignment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供应</w:t>
            </w:r>
          </w:p>
          <w:p w14:paraId="574C03EB">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0" w:leftChars="0" w:right="0" w:rightChars="0" w:firstLine="0" w:firstLineChars="0"/>
              <w:jc w:val="center"/>
              <w:textAlignment w:val="center"/>
              <w:rPr>
                <w:rFonts w:hint="eastAsia" w:ascii="宋体" w:hAnsi="宋体" w:eastAsia="宋体" w:cs="宋体"/>
                <w:sz w:val="24"/>
                <w:szCs w:val="24"/>
              </w:rPr>
            </w:pPr>
            <w:r>
              <w:rPr>
                <w:rFonts w:hint="eastAsia" w:ascii="宋体" w:hAnsi="宋体" w:eastAsia="宋体" w:cs="宋体"/>
                <w:color w:val="auto"/>
                <w:kern w:val="0"/>
                <w:sz w:val="24"/>
                <w:szCs w:val="24"/>
                <w:highlight w:val="none"/>
                <w:lang w:bidi="ar"/>
              </w:rPr>
              <w:t>商资质</w:t>
            </w:r>
          </w:p>
        </w:tc>
        <w:tc>
          <w:tcPr>
            <w:tcW w:w="2796" w:type="pct"/>
            <w:tcBorders>
              <w:top w:val="single" w:color="auto" w:sz="4" w:space="0"/>
              <w:left w:val="single" w:color="auto" w:sz="4" w:space="0"/>
              <w:bottom w:val="single" w:color="auto" w:sz="4" w:space="0"/>
              <w:right w:val="single" w:color="auto" w:sz="4" w:space="0"/>
            </w:tcBorders>
            <w:shd w:val="clear" w:color="auto" w:fill="auto"/>
            <w:vAlign w:val="center"/>
          </w:tcPr>
          <w:p w14:paraId="08FC5375">
            <w:pPr>
              <w:pStyle w:val="6"/>
              <w:keepNext w:val="0"/>
              <w:keepLines w:val="0"/>
              <w:pageBreakBefore w:val="0"/>
              <w:kinsoku/>
              <w:overflowPunct/>
              <w:topLinePunct w:val="0"/>
              <w:autoSpaceDE/>
              <w:autoSpaceDN/>
              <w:bidi w:val="0"/>
              <w:adjustRightInd/>
              <w:snapToGrid/>
              <w:spacing w:line="440" w:lineRule="exact"/>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投标人具有有效期内的质量管理体系认证、环境管理体系认证、职业健康安全管理体系认证、信息技术管理体系认证证书，每提供一个得1分，共计4分。</w:t>
            </w:r>
          </w:p>
          <w:p w14:paraId="69A08404">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0" w:leftChars="0" w:right="0" w:rightChars="0" w:firstLine="0" w:firstLineChars="0"/>
              <w:textAlignment w:val="center"/>
              <w:rPr>
                <w:rFonts w:hint="eastAsia" w:ascii="宋体" w:hAnsi="宋体" w:eastAsia="宋体" w:cs="宋体"/>
                <w:color w:val="000000"/>
                <w:kern w:val="0"/>
                <w:sz w:val="24"/>
                <w:szCs w:val="24"/>
                <w:lang w:val="en-US" w:eastAsia="zh-CN" w:bidi="ar-SA"/>
              </w:rPr>
            </w:pPr>
            <w:r>
              <w:rPr>
                <w:rFonts w:hint="eastAsia" w:ascii="宋体" w:hAnsi="宋体" w:eastAsia="宋体" w:cs="宋体"/>
                <w:b/>
                <w:bCs/>
                <w:color w:val="auto"/>
                <w:kern w:val="0"/>
                <w:sz w:val="24"/>
                <w:szCs w:val="24"/>
                <w:highlight w:val="none"/>
                <w:lang w:val="en-US" w:eastAsia="zh-CN" w:bidi="ar"/>
              </w:rPr>
              <w:t>注：投标文件中提供认证证书扫描件及全国认证认可信息公共服务平台官网证书信息查询截图。</w:t>
            </w:r>
          </w:p>
        </w:tc>
        <w:tc>
          <w:tcPr>
            <w:tcW w:w="749" w:type="pct"/>
            <w:tcBorders>
              <w:top w:val="single" w:color="auto" w:sz="4" w:space="0"/>
              <w:left w:val="single" w:color="auto" w:sz="4" w:space="0"/>
              <w:bottom w:val="single" w:color="auto" w:sz="4" w:space="0"/>
              <w:right w:val="single" w:color="auto" w:sz="4" w:space="0"/>
            </w:tcBorders>
            <w:vAlign w:val="center"/>
          </w:tcPr>
          <w:p w14:paraId="0CC06A87">
            <w:pPr>
              <w:keepNext w:val="0"/>
              <w:keepLines w:val="0"/>
              <w:pageBreakBefore w:val="0"/>
              <w:kinsoku/>
              <w:wordWrap w:val="0"/>
              <w:overflowPunct/>
              <w:topLinePunct w:val="0"/>
              <w:autoSpaceDE/>
              <w:autoSpaceDN/>
              <w:bidi w:val="0"/>
              <w:adjustRightInd/>
              <w:snapToGrid/>
              <w:spacing w:line="440" w:lineRule="exact"/>
              <w:ind w:right="0"/>
              <w:jc w:val="center"/>
              <w:textAlignment w:val="auto"/>
              <w:rPr>
                <w:rFonts w:hint="eastAsia" w:ascii="宋体" w:hAnsi="宋体" w:eastAsia="宋体" w:cs="宋体"/>
                <w:b/>
                <w:bCs/>
                <w:sz w:val="24"/>
                <w:szCs w:val="24"/>
                <w:lang w:val="en-US" w:eastAsia="zh-CN"/>
              </w:rPr>
            </w:pPr>
            <w:r>
              <w:rPr>
                <w:rFonts w:hint="eastAsia" w:ascii="宋体" w:hAnsi="宋体" w:eastAsia="宋体" w:cs="宋体"/>
                <w:b w:val="0"/>
                <w:bCs w:val="0"/>
                <w:sz w:val="24"/>
                <w:szCs w:val="24"/>
                <w:lang w:val="en-US" w:eastAsia="zh-CN"/>
              </w:rPr>
              <w:t>0-4分</w:t>
            </w:r>
          </w:p>
        </w:tc>
      </w:tr>
      <w:tr w14:paraId="44F44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pct"/>
            <w:vMerge w:val="continue"/>
            <w:tcBorders>
              <w:left w:val="single" w:color="auto" w:sz="4" w:space="0"/>
              <w:right w:val="single" w:color="auto" w:sz="4" w:space="0"/>
            </w:tcBorders>
            <w:vAlign w:val="center"/>
          </w:tcPr>
          <w:p w14:paraId="3C0711A6">
            <w:pPr>
              <w:keepNext w:val="0"/>
              <w:keepLines w:val="0"/>
              <w:pageBreakBefore w:val="0"/>
              <w:kinsoku/>
              <w:wordWrap w:val="0"/>
              <w:overflowPunct/>
              <w:topLinePunct w:val="0"/>
              <w:autoSpaceDE/>
              <w:autoSpaceDN/>
              <w:bidi w:val="0"/>
              <w:adjustRightInd/>
              <w:snapToGrid/>
              <w:spacing w:line="440" w:lineRule="exact"/>
              <w:ind w:right="0" w:firstLine="435"/>
              <w:jc w:val="center"/>
              <w:textAlignment w:val="auto"/>
              <w:rPr>
                <w:rFonts w:hint="eastAsia" w:ascii="宋体" w:hAnsi="宋体" w:eastAsia="宋体" w:cs="宋体"/>
                <w:b/>
                <w:bCs/>
                <w:sz w:val="24"/>
                <w:szCs w:val="24"/>
              </w:rPr>
            </w:pPr>
          </w:p>
        </w:tc>
        <w:tc>
          <w:tcPr>
            <w:tcW w:w="788" w:type="pct"/>
            <w:tcBorders>
              <w:top w:val="single" w:color="auto" w:sz="4" w:space="0"/>
              <w:left w:val="single" w:color="auto" w:sz="4" w:space="0"/>
              <w:bottom w:val="single" w:color="auto" w:sz="4" w:space="0"/>
              <w:right w:val="single" w:color="auto" w:sz="4" w:space="0"/>
            </w:tcBorders>
            <w:vAlign w:val="center"/>
          </w:tcPr>
          <w:p w14:paraId="2A5F4F6C">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0" w:right="0" w:firstLine="0" w:firstLineChars="0"/>
              <w:jc w:val="center"/>
              <w:textAlignment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供应</w:t>
            </w:r>
          </w:p>
          <w:p w14:paraId="37DF5E70">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0" w:leftChars="0" w:right="0" w:rightChars="0" w:firstLine="0" w:firstLineChars="0"/>
              <w:jc w:val="center"/>
              <w:textAlignment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商资质</w:t>
            </w:r>
          </w:p>
        </w:tc>
        <w:tc>
          <w:tcPr>
            <w:tcW w:w="2796" w:type="pct"/>
            <w:tcBorders>
              <w:top w:val="single" w:color="auto" w:sz="4" w:space="0"/>
              <w:left w:val="single" w:color="auto" w:sz="4" w:space="0"/>
              <w:bottom w:val="single" w:color="auto" w:sz="4" w:space="0"/>
              <w:right w:val="single" w:color="auto" w:sz="4" w:space="0"/>
            </w:tcBorders>
            <w:shd w:val="clear" w:color="auto" w:fill="auto"/>
            <w:vAlign w:val="center"/>
          </w:tcPr>
          <w:p w14:paraId="4289E855">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0" w:leftChars="0" w:right="0" w:rightChars="0" w:firstLine="0" w:firstLineChars="0"/>
              <w:textAlignment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1.投标人具有信息系统安全集成服务资质，得1分；</w:t>
            </w:r>
          </w:p>
          <w:p w14:paraId="4F8206CC">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0" w:leftChars="0" w:right="0" w:rightChars="0" w:firstLine="0" w:firstLineChars="0"/>
              <w:textAlignment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2.投标人具有信息系统安全运维服务资质，得1分。</w:t>
            </w:r>
          </w:p>
          <w:p w14:paraId="6D5FB469">
            <w:pPr>
              <w:pStyle w:val="2"/>
              <w:keepNext w:val="0"/>
              <w:keepLines w:val="0"/>
              <w:pageBreakBefore w:val="0"/>
              <w:kinsoku/>
              <w:overflowPunct/>
              <w:topLinePunct w:val="0"/>
              <w:autoSpaceDE/>
              <w:autoSpaceDN/>
              <w:bidi w:val="0"/>
              <w:adjustRightInd/>
              <w:snapToGrid/>
              <w:spacing w:after="0" w:line="440" w:lineRule="exact"/>
              <w:ind w:left="0" w:leftChars="0" w:firstLine="0" w:firstLineChars="0"/>
              <w:rPr>
                <w:rFonts w:hint="eastAsia" w:ascii="宋体" w:hAnsi="宋体" w:eastAsia="宋体" w:cs="宋体"/>
                <w:sz w:val="24"/>
                <w:szCs w:val="24"/>
              </w:rPr>
            </w:pPr>
            <w:r>
              <w:rPr>
                <w:rFonts w:hint="eastAsia" w:ascii="宋体" w:hAnsi="宋体" w:eastAsia="宋体" w:cs="宋体"/>
                <w:b/>
                <w:bCs/>
                <w:color w:val="auto"/>
                <w:kern w:val="0"/>
                <w:sz w:val="24"/>
                <w:szCs w:val="24"/>
                <w:highlight w:val="none"/>
                <w:lang w:bidi="ar"/>
              </w:rPr>
              <w:t>注：投标文件中提供上述证书扫描件</w:t>
            </w:r>
            <w:r>
              <w:rPr>
                <w:rFonts w:hint="eastAsia" w:ascii="宋体" w:hAnsi="宋体" w:eastAsia="宋体" w:cs="宋体"/>
                <w:b/>
                <w:bCs/>
                <w:color w:val="auto"/>
                <w:kern w:val="0"/>
                <w:sz w:val="24"/>
                <w:szCs w:val="24"/>
                <w:highlight w:val="none"/>
                <w:lang w:eastAsia="zh-CN" w:bidi="ar"/>
              </w:rPr>
              <w:t>。</w:t>
            </w:r>
          </w:p>
        </w:tc>
        <w:tc>
          <w:tcPr>
            <w:tcW w:w="749" w:type="pct"/>
            <w:tcBorders>
              <w:top w:val="single" w:color="auto" w:sz="4" w:space="0"/>
              <w:left w:val="single" w:color="auto" w:sz="4" w:space="0"/>
              <w:bottom w:val="single" w:color="auto" w:sz="4" w:space="0"/>
              <w:right w:val="single" w:color="auto" w:sz="4" w:space="0"/>
            </w:tcBorders>
            <w:vAlign w:val="center"/>
          </w:tcPr>
          <w:p w14:paraId="6F51765B">
            <w:pPr>
              <w:keepNext w:val="0"/>
              <w:keepLines w:val="0"/>
              <w:pageBreakBefore w:val="0"/>
              <w:kinsoku/>
              <w:wordWrap w:val="0"/>
              <w:overflowPunct/>
              <w:topLinePunct w:val="0"/>
              <w:autoSpaceDE/>
              <w:autoSpaceDN/>
              <w:bidi w:val="0"/>
              <w:adjustRightInd/>
              <w:snapToGrid/>
              <w:spacing w:line="440" w:lineRule="exact"/>
              <w:ind w:right="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0-2分</w:t>
            </w:r>
          </w:p>
        </w:tc>
      </w:tr>
      <w:tr w14:paraId="00905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pct"/>
            <w:vMerge w:val="continue"/>
            <w:tcBorders>
              <w:left w:val="single" w:color="auto" w:sz="4" w:space="0"/>
              <w:right w:val="single" w:color="auto" w:sz="4" w:space="0"/>
            </w:tcBorders>
            <w:vAlign w:val="center"/>
          </w:tcPr>
          <w:p w14:paraId="70EC45E9">
            <w:pPr>
              <w:keepNext w:val="0"/>
              <w:keepLines w:val="0"/>
              <w:pageBreakBefore w:val="0"/>
              <w:kinsoku/>
              <w:wordWrap w:val="0"/>
              <w:overflowPunct/>
              <w:topLinePunct w:val="0"/>
              <w:autoSpaceDE/>
              <w:autoSpaceDN/>
              <w:bidi w:val="0"/>
              <w:adjustRightInd/>
              <w:snapToGrid/>
              <w:spacing w:line="440" w:lineRule="exact"/>
              <w:ind w:right="0" w:firstLine="435"/>
              <w:jc w:val="center"/>
              <w:textAlignment w:val="auto"/>
              <w:rPr>
                <w:rFonts w:hint="eastAsia" w:ascii="宋体" w:hAnsi="宋体" w:eastAsia="宋体" w:cs="宋体"/>
                <w:b/>
                <w:bCs/>
                <w:sz w:val="24"/>
                <w:szCs w:val="24"/>
              </w:rPr>
            </w:pPr>
          </w:p>
        </w:tc>
        <w:tc>
          <w:tcPr>
            <w:tcW w:w="788" w:type="pct"/>
            <w:tcBorders>
              <w:top w:val="single" w:color="auto" w:sz="4" w:space="0"/>
              <w:left w:val="single" w:color="auto" w:sz="4" w:space="0"/>
              <w:bottom w:val="single" w:color="auto" w:sz="4" w:space="0"/>
              <w:right w:val="single" w:color="auto" w:sz="4" w:space="0"/>
            </w:tcBorders>
            <w:vAlign w:val="center"/>
          </w:tcPr>
          <w:p w14:paraId="74528253">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0" w:leftChars="0" w:right="0" w:rightChars="0" w:firstLine="0" w:firstLineChars="0"/>
              <w:jc w:val="center"/>
              <w:textAlignment w:val="center"/>
              <w:rPr>
                <w:rFonts w:hint="eastAsia" w:ascii="宋体" w:hAnsi="宋体" w:eastAsia="宋体" w:cs="宋体"/>
                <w:sz w:val="24"/>
                <w:szCs w:val="24"/>
              </w:rPr>
            </w:pPr>
            <w:r>
              <w:rPr>
                <w:rFonts w:hint="eastAsia" w:ascii="宋体" w:hAnsi="宋体" w:eastAsia="宋体" w:cs="宋体"/>
                <w:color w:val="auto"/>
                <w:kern w:val="0"/>
                <w:sz w:val="24"/>
                <w:szCs w:val="24"/>
                <w:highlight w:val="none"/>
                <w:lang w:bidi="ar"/>
              </w:rPr>
              <w:t>人员技术实力</w:t>
            </w:r>
          </w:p>
        </w:tc>
        <w:tc>
          <w:tcPr>
            <w:tcW w:w="2796" w:type="pct"/>
            <w:tcBorders>
              <w:top w:val="single" w:color="auto" w:sz="4" w:space="0"/>
              <w:left w:val="single" w:color="auto" w:sz="4" w:space="0"/>
              <w:bottom w:val="single" w:color="auto" w:sz="4" w:space="0"/>
              <w:right w:val="single" w:color="auto" w:sz="4" w:space="0"/>
            </w:tcBorders>
            <w:shd w:val="clear" w:color="auto" w:fill="auto"/>
            <w:vAlign w:val="center"/>
          </w:tcPr>
          <w:p w14:paraId="11DE34C2">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0" w:right="0" w:firstLine="0" w:firstLineChars="0"/>
              <w:textAlignment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投标人拟为本项目配备的项目组成员：</w:t>
            </w:r>
          </w:p>
          <w:p w14:paraId="24601262">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right="0"/>
              <w:textAlignment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1</w:t>
            </w:r>
            <w:r>
              <w:rPr>
                <w:rFonts w:hint="eastAsia" w:ascii="宋体" w:hAnsi="宋体" w:eastAsia="宋体" w:cs="宋体"/>
                <w:sz w:val="24"/>
                <w:szCs w:val="24"/>
                <w:highlight w:val="none"/>
              </w:rPr>
              <w:t>.</w:t>
            </w:r>
            <w:r>
              <w:rPr>
                <w:rFonts w:hint="eastAsia" w:ascii="宋体" w:hAnsi="宋体" w:eastAsia="宋体" w:cs="宋体"/>
                <w:color w:val="auto"/>
                <w:kern w:val="0"/>
                <w:sz w:val="24"/>
                <w:szCs w:val="24"/>
                <w:highlight w:val="none"/>
                <w:lang w:val="en-US" w:eastAsia="zh-CN" w:bidi="ar"/>
              </w:rPr>
              <w:t>拟派项目技术人员具有拟派项目技术人员具有网络工程师（中级）的，得1分；</w:t>
            </w:r>
          </w:p>
          <w:p w14:paraId="756E2AFD">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right="0"/>
              <w:textAlignment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2</w:t>
            </w:r>
            <w:r>
              <w:rPr>
                <w:rFonts w:hint="eastAsia" w:ascii="宋体" w:hAnsi="宋体" w:eastAsia="宋体" w:cs="宋体"/>
                <w:sz w:val="24"/>
                <w:szCs w:val="24"/>
                <w:highlight w:val="none"/>
              </w:rPr>
              <w:t>.</w:t>
            </w:r>
            <w:r>
              <w:rPr>
                <w:rFonts w:hint="eastAsia" w:ascii="宋体" w:hAnsi="宋体" w:eastAsia="宋体" w:cs="宋体"/>
                <w:color w:val="auto"/>
                <w:kern w:val="0"/>
                <w:sz w:val="24"/>
                <w:szCs w:val="24"/>
                <w:highlight w:val="none"/>
                <w:lang w:val="en-US" w:eastAsia="zh-CN" w:bidi="ar"/>
              </w:rPr>
              <w:t>拟派项目技术人员具有信息安全保障人员（安全集成）认证证书的，得1分。</w:t>
            </w:r>
          </w:p>
          <w:p w14:paraId="7C71A90C">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right="0"/>
              <w:textAlignment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3</w:t>
            </w:r>
            <w:r>
              <w:rPr>
                <w:rFonts w:hint="eastAsia" w:ascii="宋体" w:hAnsi="宋体" w:eastAsia="宋体" w:cs="宋体"/>
                <w:sz w:val="24"/>
                <w:szCs w:val="24"/>
                <w:highlight w:val="none"/>
              </w:rPr>
              <w:t>.</w:t>
            </w:r>
            <w:r>
              <w:rPr>
                <w:rFonts w:hint="eastAsia" w:ascii="宋体" w:hAnsi="宋体" w:eastAsia="宋体" w:cs="宋体"/>
                <w:color w:val="auto"/>
                <w:kern w:val="0"/>
                <w:sz w:val="24"/>
                <w:szCs w:val="24"/>
                <w:highlight w:val="none"/>
                <w:lang w:val="en-US" w:eastAsia="zh-CN" w:bidi="ar"/>
              </w:rPr>
              <w:t>拟派项目技术人员具有信息安全保障人员（安全运维）认证证书的，得1分。</w:t>
            </w:r>
          </w:p>
          <w:p w14:paraId="3B620717">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right="0"/>
              <w:textAlignment w:val="center"/>
              <w:rPr>
                <w:rFonts w:hint="eastAsia" w:ascii="宋体" w:hAnsi="宋体" w:eastAsia="宋体" w:cs="宋体"/>
                <w:b/>
                <w:bCs/>
                <w:color w:val="auto"/>
                <w:kern w:val="0"/>
                <w:sz w:val="24"/>
                <w:szCs w:val="24"/>
                <w:highlight w:val="none"/>
                <w:lang w:val="en-US" w:eastAsia="zh-CN" w:bidi="ar"/>
              </w:rPr>
            </w:pPr>
            <w:r>
              <w:rPr>
                <w:rFonts w:hint="eastAsia" w:ascii="宋体" w:hAnsi="宋体" w:eastAsia="宋体" w:cs="宋体"/>
                <w:b/>
                <w:bCs/>
                <w:color w:val="auto"/>
                <w:kern w:val="0"/>
                <w:sz w:val="24"/>
                <w:szCs w:val="24"/>
                <w:highlight w:val="none"/>
                <w:lang w:val="en-US" w:eastAsia="zh-CN" w:bidi="ar"/>
              </w:rPr>
              <w:t>注：投标文件中同时提供：</w:t>
            </w:r>
          </w:p>
          <w:p w14:paraId="614C06F7">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0" w:right="0" w:firstLine="0" w:firstLineChars="0"/>
              <w:textAlignment w:val="center"/>
              <w:rPr>
                <w:rFonts w:hint="eastAsia" w:ascii="宋体" w:hAnsi="宋体" w:eastAsia="宋体" w:cs="宋体"/>
                <w:b/>
                <w:bCs/>
                <w:color w:val="auto"/>
                <w:kern w:val="0"/>
                <w:sz w:val="24"/>
                <w:szCs w:val="24"/>
                <w:highlight w:val="none"/>
                <w:lang w:bidi="ar"/>
              </w:rPr>
            </w:pPr>
            <w:r>
              <w:rPr>
                <w:rFonts w:hint="eastAsia" w:ascii="宋体" w:hAnsi="宋体" w:eastAsia="宋体" w:cs="宋体"/>
                <w:b/>
                <w:bCs/>
                <w:color w:val="auto"/>
                <w:kern w:val="0"/>
                <w:sz w:val="24"/>
                <w:szCs w:val="24"/>
                <w:highlight w:val="none"/>
                <w:lang w:eastAsia="zh-CN" w:bidi="ar"/>
              </w:rPr>
              <w:t>（</w:t>
            </w:r>
            <w:r>
              <w:rPr>
                <w:rFonts w:hint="eastAsia" w:ascii="宋体" w:hAnsi="宋体" w:eastAsia="宋体" w:cs="宋体"/>
                <w:b/>
                <w:bCs/>
                <w:color w:val="auto"/>
                <w:kern w:val="0"/>
                <w:sz w:val="24"/>
                <w:szCs w:val="24"/>
                <w:highlight w:val="none"/>
                <w:lang w:bidi="ar"/>
              </w:rPr>
              <w:t>1）拟配备人员名单及证书扫描件；</w:t>
            </w:r>
          </w:p>
          <w:p w14:paraId="06884424">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0" w:right="0" w:firstLine="0" w:firstLineChars="0"/>
              <w:textAlignment w:val="center"/>
              <w:rPr>
                <w:rFonts w:hint="eastAsia" w:ascii="宋体" w:hAnsi="宋体" w:eastAsia="宋体" w:cs="宋体"/>
                <w:b/>
                <w:bCs/>
                <w:color w:val="auto"/>
                <w:kern w:val="0"/>
                <w:sz w:val="24"/>
                <w:szCs w:val="24"/>
                <w:highlight w:val="none"/>
                <w:lang w:bidi="ar"/>
              </w:rPr>
            </w:pPr>
            <w:r>
              <w:rPr>
                <w:rFonts w:hint="eastAsia" w:ascii="宋体" w:hAnsi="宋体" w:eastAsia="宋体" w:cs="宋体"/>
                <w:b/>
                <w:bCs/>
                <w:color w:val="auto"/>
                <w:kern w:val="0"/>
                <w:sz w:val="24"/>
                <w:szCs w:val="24"/>
                <w:highlight w:val="none"/>
                <w:lang w:eastAsia="zh-CN" w:bidi="ar"/>
              </w:rPr>
              <w:t>（</w:t>
            </w:r>
            <w:r>
              <w:rPr>
                <w:rFonts w:hint="eastAsia" w:ascii="宋体" w:hAnsi="宋体" w:eastAsia="宋体" w:cs="宋体"/>
                <w:b/>
                <w:bCs/>
                <w:color w:val="auto"/>
                <w:kern w:val="0"/>
                <w:sz w:val="24"/>
                <w:szCs w:val="24"/>
                <w:highlight w:val="none"/>
                <w:lang w:bidi="ar"/>
              </w:rPr>
              <w:t>2）投标人为上述人员缴纳的近三个月内（任意一个月）社保证明材料。</w:t>
            </w:r>
          </w:p>
          <w:p w14:paraId="7FAD4AA0">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0" w:leftChars="0" w:right="0" w:rightChars="0" w:firstLine="0" w:firstLineChars="0"/>
              <w:textAlignment w:val="center"/>
              <w:rPr>
                <w:rFonts w:hint="eastAsia" w:ascii="宋体" w:hAnsi="宋体" w:eastAsia="宋体" w:cs="宋体"/>
                <w:b/>
                <w:bCs/>
                <w:kern w:val="2"/>
                <w:sz w:val="24"/>
                <w:szCs w:val="24"/>
                <w:lang w:val="en-US" w:eastAsia="zh-CN" w:bidi="ar-SA"/>
              </w:rPr>
            </w:pPr>
            <w:r>
              <w:rPr>
                <w:rFonts w:hint="eastAsia" w:ascii="宋体" w:hAnsi="宋体" w:eastAsia="宋体" w:cs="宋体"/>
                <w:b/>
                <w:bCs/>
                <w:color w:val="auto"/>
                <w:kern w:val="0"/>
                <w:sz w:val="24"/>
                <w:szCs w:val="24"/>
                <w:highlight w:val="none"/>
                <w:lang w:eastAsia="zh-CN" w:bidi="ar"/>
              </w:rPr>
              <w:t>（</w:t>
            </w:r>
            <w:r>
              <w:rPr>
                <w:rFonts w:hint="eastAsia" w:ascii="宋体" w:hAnsi="宋体" w:eastAsia="宋体" w:cs="宋体"/>
                <w:b/>
                <w:bCs/>
                <w:color w:val="auto"/>
                <w:kern w:val="0"/>
                <w:sz w:val="24"/>
                <w:szCs w:val="24"/>
                <w:highlight w:val="none"/>
                <w:lang w:bidi="ar"/>
              </w:rPr>
              <w:t>3）同一个人员具有多个证书，不重复计分。</w:t>
            </w:r>
          </w:p>
        </w:tc>
        <w:tc>
          <w:tcPr>
            <w:tcW w:w="749" w:type="pct"/>
            <w:tcBorders>
              <w:top w:val="single" w:color="auto" w:sz="4" w:space="0"/>
              <w:left w:val="single" w:color="auto" w:sz="4" w:space="0"/>
              <w:bottom w:val="single" w:color="auto" w:sz="4" w:space="0"/>
              <w:right w:val="single" w:color="auto" w:sz="4" w:space="0"/>
            </w:tcBorders>
            <w:vAlign w:val="center"/>
          </w:tcPr>
          <w:p w14:paraId="6C820D00">
            <w:pPr>
              <w:keepNext w:val="0"/>
              <w:keepLines w:val="0"/>
              <w:pageBreakBefore w:val="0"/>
              <w:kinsoku/>
              <w:wordWrap w:val="0"/>
              <w:overflowPunct/>
              <w:topLinePunct w:val="0"/>
              <w:autoSpaceDE/>
              <w:autoSpaceDN/>
              <w:bidi w:val="0"/>
              <w:adjustRightInd/>
              <w:snapToGrid/>
              <w:spacing w:line="440" w:lineRule="exact"/>
              <w:ind w:right="0"/>
              <w:jc w:val="center"/>
              <w:textAlignment w:val="auto"/>
              <w:rPr>
                <w:rFonts w:hint="eastAsia" w:ascii="宋体" w:hAnsi="宋体" w:eastAsia="宋体" w:cs="宋体"/>
                <w:b/>
                <w:bCs/>
                <w:sz w:val="24"/>
                <w:szCs w:val="24"/>
                <w:lang w:val="en-US" w:eastAsia="zh-CN"/>
              </w:rPr>
            </w:pPr>
            <w:r>
              <w:rPr>
                <w:rFonts w:hint="eastAsia" w:ascii="宋体" w:hAnsi="宋体" w:eastAsia="宋体" w:cs="宋体"/>
                <w:b w:val="0"/>
                <w:bCs w:val="0"/>
                <w:color w:val="auto"/>
                <w:sz w:val="24"/>
                <w:szCs w:val="24"/>
                <w:lang w:val="en-US" w:eastAsia="zh-CN"/>
              </w:rPr>
              <w:t>0-3分</w:t>
            </w:r>
          </w:p>
        </w:tc>
      </w:tr>
      <w:tr w14:paraId="2AACD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pct"/>
            <w:vMerge w:val="continue"/>
            <w:tcBorders>
              <w:left w:val="single" w:color="auto" w:sz="4" w:space="0"/>
              <w:right w:val="single" w:color="auto" w:sz="4" w:space="0"/>
            </w:tcBorders>
            <w:vAlign w:val="center"/>
          </w:tcPr>
          <w:p w14:paraId="5E716224">
            <w:pPr>
              <w:keepNext w:val="0"/>
              <w:keepLines w:val="0"/>
              <w:pageBreakBefore w:val="0"/>
              <w:kinsoku/>
              <w:wordWrap w:val="0"/>
              <w:overflowPunct/>
              <w:topLinePunct w:val="0"/>
              <w:autoSpaceDE/>
              <w:autoSpaceDN/>
              <w:bidi w:val="0"/>
              <w:adjustRightInd/>
              <w:snapToGrid/>
              <w:spacing w:line="440" w:lineRule="exact"/>
              <w:ind w:right="0" w:firstLine="435"/>
              <w:jc w:val="center"/>
              <w:textAlignment w:val="auto"/>
              <w:rPr>
                <w:rFonts w:hint="eastAsia" w:ascii="宋体" w:hAnsi="宋体" w:eastAsia="宋体" w:cs="宋体"/>
                <w:b/>
                <w:bCs/>
                <w:sz w:val="24"/>
                <w:szCs w:val="24"/>
              </w:rPr>
            </w:pPr>
          </w:p>
        </w:tc>
        <w:tc>
          <w:tcPr>
            <w:tcW w:w="788" w:type="pct"/>
            <w:tcBorders>
              <w:top w:val="single" w:color="auto" w:sz="4" w:space="0"/>
              <w:left w:val="single" w:color="auto" w:sz="4" w:space="0"/>
              <w:bottom w:val="single" w:color="auto" w:sz="4" w:space="0"/>
              <w:right w:val="single" w:color="auto" w:sz="4" w:space="0"/>
            </w:tcBorders>
            <w:vAlign w:val="center"/>
          </w:tcPr>
          <w:p w14:paraId="29D8E281">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0" w:leftChars="0" w:right="0" w:rightChars="0" w:firstLine="0" w:firstLineChars="0"/>
              <w:jc w:val="both"/>
              <w:textAlignment w:val="auto"/>
              <w:rPr>
                <w:rFonts w:hint="eastAsia" w:ascii="宋体" w:hAnsi="宋体" w:eastAsia="宋体" w:cs="宋体"/>
                <w:bCs/>
                <w:color w:val="auto"/>
                <w:sz w:val="24"/>
                <w:szCs w:val="24"/>
                <w:lang w:val="en-US" w:eastAsia="zh-CN"/>
              </w:rPr>
            </w:pPr>
            <w:r>
              <w:rPr>
                <w:rFonts w:hint="eastAsia" w:ascii="宋体" w:hAnsi="宋体" w:eastAsia="宋体" w:cs="宋体"/>
                <w:color w:val="auto"/>
                <w:kern w:val="0"/>
                <w:sz w:val="24"/>
                <w:szCs w:val="24"/>
                <w:highlight w:val="none"/>
                <w:lang w:bidi="ar"/>
              </w:rPr>
              <w:t>投标人业绩</w:t>
            </w:r>
          </w:p>
        </w:tc>
        <w:tc>
          <w:tcPr>
            <w:tcW w:w="2796" w:type="pct"/>
            <w:tcBorders>
              <w:top w:val="single" w:color="auto" w:sz="4" w:space="0"/>
              <w:left w:val="single" w:color="auto" w:sz="4" w:space="0"/>
              <w:bottom w:val="single" w:color="auto" w:sz="4" w:space="0"/>
              <w:right w:val="single" w:color="auto" w:sz="4" w:space="0"/>
            </w:tcBorders>
            <w:shd w:val="clear" w:color="auto" w:fill="auto"/>
            <w:vAlign w:val="center"/>
          </w:tcPr>
          <w:p w14:paraId="28DB1D28">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0" w:leftChars="0" w:right="0" w:rightChars="0" w:firstLine="0" w:firstLineChars="0"/>
              <w:textAlignment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自20</w:t>
            </w:r>
            <w:r>
              <w:rPr>
                <w:rFonts w:hint="eastAsia" w:ascii="宋体" w:hAnsi="宋体" w:eastAsia="宋体" w:cs="宋体"/>
                <w:color w:val="auto"/>
                <w:kern w:val="0"/>
                <w:sz w:val="24"/>
                <w:szCs w:val="24"/>
                <w:highlight w:val="none"/>
                <w:lang w:val="en-US" w:eastAsia="zh-CN" w:bidi="ar"/>
              </w:rPr>
              <w:t>22</w:t>
            </w:r>
            <w:r>
              <w:rPr>
                <w:rFonts w:hint="eastAsia" w:ascii="宋体" w:hAnsi="宋体" w:eastAsia="宋体" w:cs="宋体"/>
                <w:color w:val="auto"/>
                <w:kern w:val="0"/>
                <w:sz w:val="24"/>
                <w:szCs w:val="24"/>
                <w:highlight w:val="none"/>
                <w:lang w:bidi="ar"/>
              </w:rPr>
              <w:t>年1月1日以来（以合同签订时间为准），投标人具有</w:t>
            </w:r>
            <w:r>
              <w:rPr>
                <w:rFonts w:hint="eastAsia" w:ascii="宋体" w:hAnsi="宋体" w:eastAsia="宋体" w:cs="宋体"/>
                <w:color w:val="auto"/>
                <w:kern w:val="0"/>
                <w:sz w:val="24"/>
                <w:szCs w:val="24"/>
                <w:highlight w:val="none"/>
                <w:lang w:val="en-US" w:eastAsia="zh-CN" w:bidi="ar"/>
              </w:rPr>
              <w:t>督导巡课系统或录播系统供货安装</w:t>
            </w:r>
            <w:r>
              <w:rPr>
                <w:rFonts w:hint="eastAsia" w:ascii="宋体" w:hAnsi="宋体" w:eastAsia="宋体" w:cs="宋体"/>
                <w:color w:val="auto"/>
                <w:kern w:val="0"/>
                <w:sz w:val="24"/>
                <w:szCs w:val="24"/>
                <w:highlight w:val="none"/>
                <w:lang w:bidi="ar"/>
              </w:rPr>
              <w:t>业绩的，每提供1个业绩得</w:t>
            </w:r>
            <w:r>
              <w:rPr>
                <w:rFonts w:hint="eastAsia" w:ascii="宋体" w:hAnsi="宋体" w:eastAsia="宋体" w:cs="宋体"/>
                <w:color w:val="auto"/>
                <w:kern w:val="0"/>
                <w:sz w:val="24"/>
                <w:szCs w:val="24"/>
                <w:highlight w:val="none"/>
                <w:lang w:val="en-US" w:eastAsia="zh-CN" w:bidi="ar"/>
              </w:rPr>
              <w:t>2.5</w:t>
            </w:r>
            <w:r>
              <w:rPr>
                <w:rFonts w:hint="eastAsia" w:ascii="宋体" w:hAnsi="宋体" w:eastAsia="宋体" w:cs="宋体"/>
                <w:color w:val="auto"/>
                <w:kern w:val="0"/>
                <w:sz w:val="24"/>
                <w:szCs w:val="24"/>
                <w:highlight w:val="none"/>
                <w:lang w:bidi="ar"/>
              </w:rPr>
              <w:t>分，满分</w:t>
            </w:r>
            <w:r>
              <w:rPr>
                <w:rFonts w:hint="eastAsia" w:cs="宋体"/>
                <w:color w:val="auto"/>
                <w:kern w:val="0"/>
                <w:sz w:val="24"/>
                <w:szCs w:val="24"/>
                <w:highlight w:val="none"/>
                <w:lang w:val="en-US" w:eastAsia="zh-CN" w:bidi="ar"/>
              </w:rPr>
              <w:t>5</w:t>
            </w:r>
            <w:r>
              <w:rPr>
                <w:rFonts w:hint="eastAsia" w:ascii="宋体" w:hAnsi="宋体" w:eastAsia="宋体" w:cs="宋体"/>
                <w:color w:val="auto"/>
                <w:kern w:val="0"/>
                <w:sz w:val="24"/>
                <w:szCs w:val="24"/>
                <w:highlight w:val="none"/>
                <w:lang w:bidi="ar"/>
              </w:rPr>
              <w:t>分。</w:t>
            </w:r>
          </w:p>
          <w:p w14:paraId="24BA8F14">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0" w:leftChars="0" w:right="0" w:rightChars="0" w:firstLine="0" w:firstLineChars="0"/>
              <w:textAlignment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b/>
                <w:bCs/>
                <w:color w:val="auto"/>
                <w:kern w:val="0"/>
                <w:sz w:val="24"/>
                <w:szCs w:val="24"/>
                <w:highlight w:val="none"/>
                <w:lang w:bidi="ar"/>
              </w:rPr>
              <w:t>注：投标文件中同时提供业绩合同及验收证明材料扫描件，如合同或验收证明材料无法体现项目内容、合同签订日期等评审内容，须另附业主单位证明材料，否则不得分。以上业绩须为已完成项目业绩。</w:t>
            </w:r>
          </w:p>
        </w:tc>
        <w:tc>
          <w:tcPr>
            <w:tcW w:w="749" w:type="pct"/>
            <w:tcBorders>
              <w:top w:val="single" w:color="auto" w:sz="4" w:space="0"/>
              <w:left w:val="single" w:color="auto" w:sz="4" w:space="0"/>
              <w:bottom w:val="single" w:color="auto" w:sz="4" w:space="0"/>
              <w:right w:val="single" w:color="auto" w:sz="4" w:space="0"/>
            </w:tcBorders>
            <w:vAlign w:val="center"/>
          </w:tcPr>
          <w:p w14:paraId="4C7CA791">
            <w:pPr>
              <w:keepNext w:val="0"/>
              <w:keepLines w:val="0"/>
              <w:pageBreakBefore w:val="0"/>
              <w:kinsoku/>
              <w:wordWrap w:val="0"/>
              <w:overflowPunct/>
              <w:topLinePunct w:val="0"/>
              <w:autoSpaceDE/>
              <w:autoSpaceDN/>
              <w:bidi w:val="0"/>
              <w:adjustRightInd/>
              <w:snapToGrid/>
              <w:spacing w:line="440" w:lineRule="exact"/>
              <w:ind w:right="0"/>
              <w:jc w:val="center"/>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0-5分</w:t>
            </w:r>
          </w:p>
        </w:tc>
      </w:tr>
      <w:tr w14:paraId="1C831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pct"/>
            <w:vMerge w:val="continue"/>
            <w:tcBorders>
              <w:left w:val="single" w:color="auto" w:sz="4" w:space="0"/>
              <w:right w:val="single" w:color="auto" w:sz="4" w:space="0"/>
            </w:tcBorders>
            <w:vAlign w:val="center"/>
          </w:tcPr>
          <w:p w14:paraId="27048DA9">
            <w:pPr>
              <w:keepNext w:val="0"/>
              <w:keepLines w:val="0"/>
              <w:pageBreakBefore w:val="0"/>
              <w:kinsoku/>
              <w:wordWrap w:val="0"/>
              <w:overflowPunct/>
              <w:topLinePunct w:val="0"/>
              <w:autoSpaceDE/>
              <w:autoSpaceDN/>
              <w:bidi w:val="0"/>
              <w:adjustRightInd/>
              <w:snapToGrid/>
              <w:spacing w:line="440" w:lineRule="exact"/>
              <w:ind w:right="0" w:firstLine="435"/>
              <w:jc w:val="center"/>
              <w:textAlignment w:val="auto"/>
              <w:rPr>
                <w:rFonts w:hint="eastAsia" w:ascii="宋体" w:hAnsi="宋体" w:eastAsia="宋体" w:cs="宋体"/>
                <w:b/>
                <w:bCs/>
                <w:sz w:val="24"/>
                <w:szCs w:val="24"/>
              </w:rPr>
            </w:pPr>
          </w:p>
        </w:tc>
        <w:tc>
          <w:tcPr>
            <w:tcW w:w="788" w:type="pct"/>
            <w:tcBorders>
              <w:top w:val="single" w:color="auto" w:sz="4" w:space="0"/>
              <w:left w:val="single" w:color="auto" w:sz="4" w:space="0"/>
              <w:bottom w:val="single" w:color="auto" w:sz="4" w:space="0"/>
              <w:right w:val="single" w:color="auto" w:sz="4" w:space="0"/>
            </w:tcBorders>
            <w:vAlign w:val="center"/>
          </w:tcPr>
          <w:p w14:paraId="2AE916D1">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0" w:leftChars="0" w:right="0" w:rightChars="0" w:firstLine="0" w:firstLineChars="0"/>
              <w:jc w:val="center"/>
              <w:textAlignment w:val="center"/>
              <w:rPr>
                <w:rFonts w:hint="eastAsia" w:ascii="宋体" w:hAnsi="宋体" w:eastAsia="宋体" w:cs="宋体"/>
                <w:bCs/>
                <w:sz w:val="24"/>
                <w:szCs w:val="24"/>
                <w:lang w:val="en-US" w:eastAsia="zh-CN"/>
              </w:rPr>
            </w:pPr>
            <w:r>
              <w:rPr>
                <w:rFonts w:hint="eastAsia" w:ascii="宋体" w:hAnsi="宋体" w:eastAsia="宋体" w:cs="宋体"/>
                <w:color w:val="auto"/>
                <w:kern w:val="0"/>
                <w:sz w:val="24"/>
                <w:szCs w:val="24"/>
                <w:highlight w:val="none"/>
                <w:lang w:bidi="ar"/>
              </w:rPr>
              <w:t>实施方案</w:t>
            </w:r>
          </w:p>
        </w:tc>
        <w:tc>
          <w:tcPr>
            <w:tcW w:w="2796" w:type="pct"/>
            <w:tcBorders>
              <w:top w:val="single" w:color="auto" w:sz="4" w:space="0"/>
              <w:left w:val="single" w:color="auto" w:sz="4" w:space="0"/>
              <w:bottom w:val="single" w:color="auto" w:sz="4" w:space="0"/>
              <w:right w:val="single" w:color="auto" w:sz="4" w:space="0"/>
            </w:tcBorders>
            <w:shd w:val="clear" w:color="auto" w:fill="auto"/>
            <w:vAlign w:val="center"/>
          </w:tcPr>
          <w:p w14:paraId="28D97888">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0" w:leftChars="0" w:right="0" w:rightChars="0" w:firstLine="0" w:firstLineChars="0"/>
              <w:jc w:val="left"/>
              <w:textAlignment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根据投标文件中提供的项目实施方案（包括但不限于现场施工方案、实施计划、人员组织与管理、安全管理、工期管理等内容）进行综合评审：</w:t>
            </w:r>
          </w:p>
          <w:p w14:paraId="0CD0D019">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0" w:leftChars="0" w:right="0" w:rightChars="0" w:firstLine="0" w:firstLineChars="0"/>
              <w:jc w:val="left"/>
              <w:textAlignment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1</w:t>
            </w:r>
            <w:r>
              <w:rPr>
                <w:rFonts w:hint="eastAsia" w:ascii="宋体" w:hAnsi="宋体" w:eastAsia="宋体" w:cs="宋体"/>
                <w:sz w:val="24"/>
                <w:szCs w:val="24"/>
                <w:highlight w:val="none"/>
              </w:rPr>
              <w:t>.</w:t>
            </w:r>
            <w:r>
              <w:rPr>
                <w:rFonts w:hint="eastAsia" w:ascii="宋体" w:hAnsi="宋体" w:eastAsia="宋体" w:cs="宋体"/>
                <w:color w:val="auto"/>
                <w:kern w:val="0"/>
                <w:sz w:val="24"/>
                <w:szCs w:val="24"/>
                <w:highlight w:val="none"/>
                <w:lang w:val="en-US" w:eastAsia="zh-CN" w:bidi="ar"/>
              </w:rPr>
              <w:t>方案详细完整，针对性和可行性完全满足项目需求的，得5分；</w:t>
            </w:r>
          </w:p>
          <w:p w14:paraId="54B52931">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0" w:leftChars="0" w:right="0" w:rightChars="0" w:firstLine="0" w:firstLineChars="0"/>
              <w:jc w:val="left"/>
              <w:textAlignment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2</w:t>
            </w:r>
            <w:r>
              <w:rPr>
                <w:rFonts w:hint="eastAsia" w:ascii="宋体" w:hAnsi="宋体" w:eastAsia="宋体" w:cs="宋体"/>
                <w:sz w:val="24"/>
                <w:szCs w:val="24"/>
                <w:highlight w:val="none"/>
              </w:rPr>
              <w:t>.</w:t>
            </w:r>
            <w:r>
              <w:rPr>
                <w:rFonts w:hint="eastAsia" w:ascii="宋体" w:hAnsi="宋体" w:eastAsia="宋体" w:cs="宋体"/>
                <w:color w:val="auto"/>
                <w:kern w:val="0"/>
                <w:sz w:val="24"/>
                <w:szCs w:val="24"/>
                <w:highlight w:val="none"/>
                <w:lang w:val="en-US" w:eastAsia="zh-CN" w:bidi="ar"/>
              </w:rPr>
              <w:t>方案较为详细，针对性和可行性较能满足项目需求的，得3分；</w:t>
            </w:r>
          </w:p>
          <w:p w14:paraId="0220EABD">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0" w:leftChars="0" w:right="0" w:rightChars="0" w:firstLine="0" w:firstLineChars="0"/>
              <w:jc w:val="left"/>
              <w:textAlignment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3</w:t>
            </w:r>
            <w:r>
              <w:rPr>
                <w:rFonts w:hint="eastAsia" w:ascii="宋体" w:hAnsi="宋体" w:eastAsia="宋体" w:cs="宋体"/>
                <w:sz w:val="24"/>
                <w:szCs w:val="24"/>
                <w:highlight w:val="none"/>
              </w:rPr>
              <w:t>.</w:t>
            </w:r>
            <w:r>
              <w:rPr>
                <w:rFonts w:hint="eastAsia" w:ascii="宋体" w:hAnsi="宋体" w:eastAsia="宋体" w:cs="宋体"/>
                <w:color w:val="auto"/>
                <w:kern w:val="0"/>
                <w:sz w:val="24"/>
                <w:szCs w:val="24"/>
                <w:highlight w:val="none"/>
                <w:lang w:val="en-US" w:eastAsia="zh-CN" w:bidi="ar"/>
              </w:rPr>
              <w:t>方案不够完整，有待提升完善的，得1分；</w:t>
            </w:r>
          </w:p>
          <w:p w14:paraId="736CC2A9">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0" w:leftChars="0" w:right="0" w:rightChars="0" w:firstLine="0" w:firstLineChars="0"/>
              <w:jc w:val="left"/>
              <w:textAlignment w:val="center"/>
              <w:rPr>
                <w:rFonts w:hint="eastAsia" w:ascii="宋体" w:hAnsi="宋体" w:eastAsia="宋体" w:cs="宋体"/>
                <w:color w:val="auto"/>
                <w:sz w:val="24"/>
                <w:szCs w:val="24"/>
                <w:lang w:val="en-US" w:eastAsia="zh-CN"/>
              </w:rPr>
            </w:pPr>
            <w:r>
              <w:rPr>
                <w:rFonts w:hint="eastAsia" w:ascii="宋体" w:hAnsi="宋体" w:eastAsia="宋体" w:cs="宋体"/>
                <w:color w:val="auto"/>
                <w:kern w:val="0"/>
                <w:sz w:val="24"/>
                <w:szCs w:val="24"/>
                <w:highlight w:val="none"/>
                <w:lang w:val="en-US" w:eastAsia="zh-CN" w:bidi="ar"/>
              </w:rPr>
              <w:t>4</w:t>
            </w:r>
            <w:r>
              <w:rPr>
                <w:rFonts w:hint="eastAsia" w:ascii="宋体" w:hAnsi="宋体" w:eastAsia="宋体" w:cs="宋体"/>
                <w:sz w:val="24"/>
                <w:szCs w:val="24"/>
                <w:highlight w:val="none"/>
              </w:rPr>
              <w:t>.</w:t>
            </w:r>
            <w:r>
              <w:rPr>
                <w:rFonts w:hint="eastAsia" w:ascii="宋体" w:hAnsi="宋体" w:eastAsia="宋体" w:cs="宋体"/>
                <w:color w:val="auto"/>
                <w:kern w:val="0"/>
                <w:sz w:val="24"/>
                <w:szCs w:val="24"/>
                <w:highlight w:val="none"/>
                <w:lang w:val="en-US" w:eastAsia="zh-CN" w:bidi="ar"/>
              </w:rPr>
              <w:t>方案不满足项目需求或者未提供的，不得分。</w:t>
            </w:r>
          </w:p>
        </w:tc>
        <w:tc>
          <w:tcPr>
            <w:tcW w:w="749" w:type="pct"/>
            <w:tcBorders>
              <w:top w:val="single" w:color="auto" w:sz="4" w:space="0"/>
              <w:left w:val="single" w:color="auto" w:sz="4" w:space="0"/>
              <w:bottom w:val="single" w:color="auto" w:sz="4" w:space="0"/>
              <w:right w:val="single" w:color="auto" w:sz="4" w:space="0"/>
            </w:tcBorders>
            <w:vAlign w:val="center"/>
          </w:tcPr>
          <w:p w14:paraId="4C17C7E4">
            <w:pPr>
              <w:keepNext w:val="0"/>
              <w:keepLines w:val="0"/>
              <w:pageBreakBefore w:val="0"/>
              <w:kinsoku/>
              <w:wordWrap w:val="0"/>
              <w:overflowPunct/>
              <w:topLinePunct w:val="0"/>
              <w:autoSpaceDE/>
              <w:autoSpaceDN/>
              <w:bidi w:val="0"/>
              <w:adjustRightInd/>
              <w:snapToGrid/>
              <w:spacing w:line="440" w:lineRule="exact"/>
              <w:ind w:right="0"/>
              <w:jc w:val="center"/>
              <w:textAlignment w:val="auto"/>
              <w:rPr>
                <w:rFonts w:hint="eastAsia" w:ascii="宋体" w:hAnsi="宋体" w:eastAsia="宋体" w:cs="宋体"/>
                <w:b/>
                <w:bCs/>
                <w:sz w:val="24"/>
                <w:szCs w:val="24"/>
                <w:lang w:val="en-US" w:eastAsia="zh-CN"/>
              </w:rPr>
            </w:pPr>
            <w:r>
              <w:rPr>
                <w:rFonts w:hint="eastAsia" w:ascii="宋体" w:hAnsi="宋体" w:eastAsia="宋体" w:cs="宋体"/>
                <w:b w:val="0"/>
                <w:bCs w:val="0"/>
                <w:sz w:val="24"/>
                <w:szCs w:val="24"/>
                <w:lang w:val="en-US" w:eastAsia="zh-CN"/>
              </w:rPr>
              <w:t>0-5分</w:t>
            </w:r>
          </w:p>
        </w:tc>
      </w:tr>
      <w:tr w14:paraId="38A29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pct"/>
            <w:vMerge w:val="continue"/>
            <w:tcBorders>
              <w:left w:val="single" w:color="auto" w:sz="4" w:space="0"/>
              <w:right w:val="single" w:color="auto" w:sz="4" w:space="0"/>
            </w:tcBorders>
            <w:vAlign w:val="center"/>
          </w:tcPr>
          <w:p w14:paraId="244EFD60">
            <w:pPr>
              <w:keepNext w:val="0"/>
              <w:keepLines w:val="0"/>
              <w:pageBreakBefore w:val="0"/>
              <w:kinsoku/>
              <w:wordWrap w:val="0"/>
              <w:overflowPunct/>
              <w:topLinePunct w:val="0"/>
              <w:autoSpaceDE/>
              <w:autoSpaceDN/>
              <w:bidi w:val="0"/>
              <w:adjustRightInd/>
              <w:snapToGrid/>
              <w:spacing w:line="440" w:lineRule="exact"/>
              <w:ind w:right="0" w:firstLine="435"/>
              <w:jc w:val="center"/>
              <w:textAlignment w:val="auto"/>
              <w:rPr>
                <w:rFonts w:hint="eastAsia" w:ascii="宋体" w:hAnsi="宋体" w:eastAsia="宋体" w:cs="宋体"/>
                <w:b/>
                <w:bCs/>
                <w:sz w:val="24"/>
                <w:szCs w:val="24"/>
              </w:rPr>
            </w:pPr>
          </w:p>
        </w:tc>
        <w:tc>
          <w:tcPr>
            <w:tcW w:w="788" w:type="pct"/>
            <w:tcBorders>
              <w:top w:val="single" w:color="auto" w:sz="4" w:space="0"/>
              <w:left w:val="single" w:color="auto" w:sz="4" w:space="0"/>
              <w:bottom w:val="single" w:color="auto" w:sz="4" w:space="0"/>
              <w:right w:val="single" w:color="auto" w:sz="4" w:space="0"/>
            </w:tcBorders>
            <w:vAlign w:val="center"/>
          </w:tcPr>
          <w:p w14:paraId="430BD23A">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0" w:leftChars="0" w:right="0" w:rightChars="0" w:firstLine="0" w:firstLineChars="0"/>
              <w:jc w:val="center"/>
              <w:textAlignment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售后服务</w:t>
            </w:r>
            <w:r>
              <w:rPr>
                <w:rFonts w:hint="eastAsia" w:ascii="宋体" w:hAnsi="宋体" w:eastAsia="宋体" w:cs="宋体"/>
                <w:color w:val="auto"/>
                <w:kern w:val="0"/>
                <w:sz w:val="24"/>
                <w:szCs w:val="24"/>
                <w:highlight w:val="none"/>
                <w:lang w:val="en-US" w:eastAsia="zh-CN" w:bidi="ar"/>
              </w:rPr>
              <w:t>方案</w:t>
            </w:r>
          </w:p>
        </w:tc>
        <w:tc>
          <w:tcPr>
            <w:tcW w:w="2796" w:type="pct"/>
            <w:tcBorders>
              <w:top w:val="single" w:color="auto" w:sz="4" w:space="0"/>
              <w:left w:val="single" w:color="auto" w:sz="4" w:space="0"/>
              <w:bottom w:val="single" w:color="auto" w:sz="4" w:space="0"/>
              <w:right w:val="single" w:color="auto" w:sz="4" w:space="0"/>
            </w:tcBorders>
            <w:shd w:val="clear" w:color="auto" w:fill="auto"/>
            <w:vAlign w:val="center"/>
          </w:tcPr>
          <w:p w14:paraId="6477A02A">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0" w:leftChars="0" w:right="0" w:rightChars="0" w:firstLine="0" w:firstLineChars="0"/>
              <w:jc w:val="left"/>
              <w:textAlignment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000000"/>
                <w:kern w:val="0"/>
                <w:sz w:val="24"/>
                <w:szCs w:val="24"/>
                <w:lang w:val="en-US" w:eastAsia="zh-CN" w:bidi="ar"/>
              </w:rPr>
              <w:t>根据投标文件中提供的</w:t>
            </w:r>
            <w:r>
              <w:rPr>
                <w:rFonts w:hint="eastAsia" w:ascii="宋体" w:hAnsi="宋体" w:eastAsia="宋体" w:cs="宋体"/>
                <w:color w:val="auto"/>
                <w:kern w:val="0"/>
                <w:sz w:val="24"/>
                <w:szCs w:val="24"/>
                <w:highlight w:val="none"/>
                <w:lang w:val="en-US" w:eastAsia="zh-CN" w:bidi="ar"/>
              </w:rPr>
              <w:t>售后服务与维保方案进行评分，从服务体系、质量承诺、服务响应等进行综合评审：</w:t>
            </w:r>
          </w:p>
          <w:p w14:paraId="46254DD5">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0" w:leftChars="0" w:right="0" w:rightChars="0" w:firstLine="0" w:firstLineChars="0"/>
              <w:jc w:val="left"/>
              <w:textAlignment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1</w:t>
            </w:r>
            <w:r>
              <w:rPr>
                <w:rFonts w:hint="eastAsia" w:ascii="宋体" w:hAnsi="宋体" w:eastAsia="宋体" w:cs="宋体"/>
                <w:sz w:val="24"/>
                <w:szCs w:val="24"/>
                <w:highlight w:val="none"/>
              </w:rPr>
              <w:t>.</w:t>
            </w:r>
            <w:r>
              <w:rPr>
                <w:rFonts w:hint="eastAsia" w:ascii="宋体" w:hAnsi="宋体" w:eastAsia="宋体" w:cs="宋体"/>
                <w:color w:val="auto"/>
                <w:kern w:val="0"/>
                <w:sz w:val="24"/>
                <w:szCs w:val="24"/>
                <w:highlight w:val="none"/>
                <w:lang w:val="en-US" w:eastAsia="zh-CN" w:bidi="ar"/>
              </w:rPr>
              <w:t>方案完善详细，针对性强，可操作性强，得5分；</w:t>
            </w:r>
          </w:p>
          <w:p w14:paraId="77633CF9">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0" w:leftChars="0" w:right="0" w:rightChars="0" w:firstLine="0" w:firstLineChars="0"/>
              <w:jc w:val="left"/>
              <w:textAlignment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2</w:t>
            </w:r>
            <w:r>
              <w:rPr>
                <w:rFonts w:hint="eastAsia" w:ascii="宋体" w:hAnsi="宋体" w:eastAsia="宋体" w:cs="宋体"/>
                <w:sz w:val="24"/>
                <w:szCs w:val="24"/>
                <w:highlight w:val="none"/>
              </w:rPr>
              <w:t>.</w:t>
            </w:r>
            <w:r>
              <w:rPr>
                <w:rFonts w:hint="eastAsia" w:ascii="宋体" w:hAnsi="宋体" w:eastAsia="宋体" w:cs="宋体"/>
                <w:color w:val="auto"/>
                <w:kern w:val="0"/>
                <w:sz w:val="24"/>
                <w:szCs w:val="24"/>
                <w:highlight w:val="none"/>
                <w:lang w:val="en-US" w:eastAsia="zh-CN" w:bidi="ar"/>
              </w:rPr>
              <w:t>方案较为完善，针对性较强，可操作性较强,得3分；</w:t>
            </w:r>
          </w:p>
          <w:p w14:paraId="521E602F">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0" w:leftChars="0" w:right="0" w:rightChars="0" w:firstLine="0" w:firstLineChars="0"/>
              <w:jc w:val="left"/>
              <w:textAlignment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3</w:t>
            </w:r>
            <w:r>
              <w:rPr>
                <w:rFonts w:hint="eastAsia" w:ascii="宋体" w:hAnsi="宋体" w:eastAsia="宋体" w:cs="宋体"/>
                <w:sz w:val="24"/>
                <w:szCs w:val="24"/>
                <w:highlight w:val="none"/>
              </w:rPr>
              <w:t>.</w:t>
            </w:r>
            <w:r>
              <w:rPr>
                <w:rFonts w:hint="eastAsia" w:ascii="宋体" w:hAnsi="宋体" w:eastAsia="宋体" w:cs="宋体"/>
                <w:color w:val="auto"/>
                <w:kern w:val="0"/>
                <w:sz w:val="24"/>
                <w:szCs w:val="24"/>
                <w:highlight w:val="none"/>
                <w:lang w:val="en-US" w:eastAsia="zh-CN" w:bidi="ar"/>
              </w:rPr>
              <w:t>方案有待提升，针对性、可操作性有待改善,得1分；</w:t>
            </w:r>
          </w:p>
          <w:p w14:paraId="4FB66E63">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0" w:leftChars="0" w:right="0" w:rightChars="0" w:firstLine="0" w:firstLineChars="0"/>
              <w:jc w:val="left"/>
              <w:textAlignment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4</w:t>
            </w:r>
            <w:r>
              <w:rPr>
                <w:rFonts w:hint="eastAsia" w:ascii="宋体" w:hAnsi="宋体" w:eastAsia="宋体" w:cs="宋体"/>
                <w:sz w:val="24"/>
                <w:szCs w:val="24"/>
                <w:highlight w:val="none"/>
              </w:rPr>
              <w:t>.</w:t>
            </w:r>
            <w:r>
              <w:rPr>
                <w:rFonts w:hint="eastAsia" w:ascii="宋体" w:hAnsi="宋体" w:eastAsia="宋体" w:cs="宋体"/>
                <w:color w:val="auto"/>
                <w:kern w:val="0"/>
                <w:sz w:val="24"/>
                <w:szCs w:val="24"/>
                <w:highlight w:val="none"/>
                <w:lang w:val="en-US" w:eastAsia="zh-CN" w:bidi="ar"/>
              </w:rPr>
              <w:t>差或未提供，不得分。</w:t>
            </w:r>
          </w:p>
        </w:tc>
        <w:tc>
          <w:tcPr>
            <w:tcW w:w="749" w:type="pct"/>
            <w:tcBorders>
              <w:top w:val="single" w:color="auto" w:sz="4" w:space="0"/>
              <w:left w:val="single" w:color="auto" w:sz="4" w:space="0"/>
              <w:bottom w:val="single" w:color="auto" w:sz="4" w:space="0"/>
              <w:right w:val="single" w:color="auto" w:sz="4" w:space="0"/>
            </w:tcBorders>
            <w:vAlign w:val="center"/>
          </w:tcPr>
          <w:p w14:paraId="0905ACB4">
            <w:pPr>
              <w:keepNext w:val="0"/>
              <w:keepLines w:val="0"/>
              <w:pageBreakBefore w:val="0"/>
              <w:kinsoku/>
              <w:wordWrap w:val="0"/>
              <w:overflowPunct/>
              <w:topLinePunct w:val="0"/>
              <w:autoSpaceDE/>
              <w:autoSpaceDN/>
              <w:bidi w:val="0"/>
              <w:adjustRightInd/>
              <w:snapToGrid/>
              <w:spacing w:line="440" w:lineRule="exact"/>
              <w:ind w:left="0" w:leftChars="0" w:right="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0-5分</w:t>
            </w:r>
          </w:p>
        </w:tc>
      </w:tr>
      <w:tr w14:paraId="005AA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pct"/>
            <w:vMerge w:val="continue"/>
            <w:tcBorders>
              <w:left w:val="single" w:color="auto" w:sz="4" w:space="0"/>
              <w:right w:val="single" w:color="auto" w:sz="4" w:space="0"/>
            </w:tcBorders>
            <w:vAlign w:val="center"/>
          </w:tcPr>
          <w:p w14:paraId="3608B3D7">
            <w:pPr>
              <w:keepNext w:val="0"/>
              <w:keepLines w:val="0"/>
              <w:pageBreakBefore w:val="0"/>
              <w:kinsoku/>
              <w:wordWrap w:val="0"/>
              <w:overflowPunct/>
              <w:topLinePunct w:val="0"/>
              <w:autoSpaceDE/>
              <w:autoSpaceDN/>
              <w:bidi w:val="0"/>
              <w:adjustRightInd/>
              <w:snapToGrid/>
              <w:spacing w:line="440" w:lineRule="exact"/>
              <w:ind w:right="0" w:firstLine="435"/>
              <w:jc w:val="center"/>
              <w:textAlignment w:val="auto"/>
              <w:rPr>
                <w:rFonts w:hint="eastAsia" w:ascii="宋体" w:hAnsi="宋体" w:eastAsia="宋体" w:cs="宋体"/>
                <w:b/>
                <w:bCs/>
                <w:sz w:val="24"/>
                <w:szCs w:val="24"/>
              </w:rPr>
            </w:pPr>
          </w:p>
        </w:tc>
        <w:tc>
          <w:tcPr>
            <w:tcW w:w="788" w:type="pct"/>
            <w:tcBorders>
              <w:top w:val="single" w:color="auto" w:sz="4" w:space="0"/>
              <w:left w:val="single" w:color="auto" w:sz="4" w:space="0"/>
              <w:bottom w:val="single" w:color="auto" w:sz="4" w:space="0"/>
              <w:right w:val="single" w:color="auto" w:sz="4" w:space="0"/>
            </w:tcBorders>
            <w:vAlign w:val="center"/>
          </w:tcPr>
          <w:p w14:paraId="2C7E1F08">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0" w:leftChars="0" w:right="0" w:rightChars="0" w:firstLine="0" w:firstLineChars="0"/>
              <w:jc w:val="center"/>
              <w:textAlignment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000000"/>
                <w:kern w:val="0"/>
                <w:sz w:val="24"/>
                <w:szCs w:val="24"/>
                <w:lang w:val="en-US" w:eastAsia="zh-CN" w:bidi="ar"/>
              </w:rPr>
              <w:t>培训方案</w:t>
            </w:r>
          </w:p>
        </w:tc>
        <w:tc>
          <w:tcPr>
            <w:tcW w:w="2796" w:type="pct"/>
            <w:tcBorders>
              <w:top w:val="single" w:color="auto" w:sz="4" w:space="0"/>
              <w:left w:val="single" w:color="auto" w:sz="4" w:space="0"/>
              <w:bottom w:val="single" w:color="auto" w:sz="4" w:space="0"/>
              <w:right w:val="single" w:color="auto" w:sz="4" w:space="0"/>
            </w:tcBorders>
            <w:shd w:val="clear" w:color="auto" w:fill="auto"/>
            <w:vAlign w:val="center"/>
          </w:tcPr>
          <w:p w14:paraId="003AC40A">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0" w:leftChars="0" w:right="0" w:rightChars="0" w:firstLine="0" w:firstLineChars="0"/>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根据投标文件中提供的项目培训方案（包括但不限于培训内容、培训方式、培训计划）内容的进行综合评审： </w:t>
            </w:r>
          </w:p>
          <w:p w14:paraId="31F0FD42">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0" w:leftChars="0" w:right="0" w:rightChars="0" w:firstLine="0" w:firstLineChars="0"/>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1</w:t>
            </w:r>
            <w:r>
              <w:rPr>
                <w:rFonts w:hint="eastAsia" w:ascii="宋体" w:hAnsi="宋体" w:eastAsia="宋体" w:cs="宋体"/>
                <w:sz w:val="24"/>
                <w:szCs w:val="24"/>
                <w:highlight w:val="none"/>
              </w:rPr>
              <w:t>.</w:t>
            </w:r>
            <w:r>
              <w:rPr>
                <w:rFonts w:hint="eastAsia" w:ascii="宋体" w:hAnsi="宋体" w:eastAsia="宋体" w:cs="宋体"/>
                <w:color w:val="000000"/>
                <w:kern w:val="0"/>
                <w:sz w:val="24"/>
                <w:szCs w:val="24"/>
                <w:lang w:val="en-US" w:eastAsia="zh-CN" w:bidi="ar"/>
              </w:rPr>
              <w:t xml:space="preserve">方案全面细致、措施完善、完全满足培训服务要求的，得5分； </w:t>
            </w:r>
          </w:p>
          <w:p w14:paraId="38E5C393">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0" w:leftChars="0" w:right="0" w:rightChars="0" w:firstLine="0" w:firstLineChars="0"/>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2</w:t>
            </w:r>
            <w:r>
              <w:rPr>
                <w:rFonts w:hint="eastAsia" w:ascii="宋体" w:hAnsi="宋体" w:eastAsia="宋体" w:cs="宋体"/>
                <w:sz w:val="24"/>
                <w:szCs w:val="24"/>
                <w:highlight w:val="none"/>
              </w:rPr>
              <w:t>.</w:t>
            </w:r>
            <w:r>
              <w:rPr>
                <w:rFonts w:hint="eastAsia" w:ascii="宋体" w:hAnsi="宋体" w:eastAsia="宋体" w:cs="宋体"/>
                <w:color w:val="000000"/>
                <w:kern w:val="0"/>
                <w:sz w:val="24"/>
                <w:szCs w:val="24"/>
                <w:lang w:val="en-US" w:eastAsia="zh-CN" w:bidi="ar"/>
              </w:rPr>
              <w:t xml:space="preserve">方案较为全面、措施较好、部分满足培训服务要求的，得 3分； </w:t>
            </w:r>
          </w:p>
          <w:p w14:paraId="03093CB6">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0" w:leftChars="0" w:right="0" w:rightChars="0" w:firstLine="0" w:firstLineChars="0"/>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3</w:t>
            </w:r>
            <w:r>
              <w:rPr>
                <w:rFonts w:hint="eastAsia" w:ascii="宋体" w:hAnsi="宋体" w:eastAsia="宋体" w:cs="宋体"/>
                <w:sz w:val="24"/>
                <w:szCs w:val="24"/>
                <w:highlight w:val="none"/>
              </w:rPr>
              <w:t>.</w:t>
            </w:r>
            <w:r>
              <w:rPr>
                <w:rFonts w:hint="eastAsia" w:ascii="宋体" w:hAnsi="宋体" w:eastAsia="宋体" w:cs="宋体"/>
                <w:color w:val="000000"/>
                <w:kern w:val="0"/>
                <w:sz w:val="24"/>
                <w:szCs w:val="24"/>
                <w:lang w:val="en-US" w:eastAsia="zh-CN" w:bidi="ar"/>
              </w:rPr>
              <w:t xml:space="preserve">方案缺少内容较多、措施较少、有待提升完善的，得1分； </w:t>
            </w:r>
          </w:p>
          <w:p w14:paraId="22E46EC4">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0" w:leftChars="0" w:right="0" w:rightChars="0" w:firstLine="0" w:firstLineChars="0"/>
              <w:textAlignment w:val="center"/>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000000"/>
                <w:kern w:val="0"/>
                <w:sz w:val="24"/>
                <w:szCs w:val="24"/>
                <w:lang w:val="en-US" w:eastAsia="zh-CN" w:bidi="ar"/>
              </w:rPr>
              <w:t>4</w:t>
            </w:r>
            <w:r>
              <w:rPr>
                <w:rFonts w:hint="eastAsia" w:ascii="宋体" w:hAnsi="宋体" w:eastAsia="宋体" w:cs="宋体"/>
                <w:sz w:val="24"/>
                <w:szCs w:val="24"/>
                <w:highlight w:val="none"/>
              </w:rPr>
              <w:t>.</w:t>
            </w:r>
            <w:r>
              <w:rPr>
                <w:rFonts w:hint="eastAsia" w:ascii="宋体" w:hAnsi="宋体" w:eastAsia="宋体" w:cs="宋体"/>
                <w:color w:val="000000"/>
                <w:kern w:val="0"/>
                <w:sz w:val="24"/>
                <w:szCs w:val="24"/>
                <w:lang w:val="en-US" w:eastAsia="zh-CN" w:bidi="ar"/>
              </w:rPr>
              <w:t>方案不满足项目需求或者未提供的，不得分。</w:t>
            </w:r>
          </w:p>
        </w:tc>
        <w:tc>
          <w:tcPr>
            <w:tcW w:w="749" w:type="pct"/>
            <w:tcBorders>
              <w:top w:val="single" w:color="auto" w:sz="4" w:space="0"/>
              <w:left w:val="single" w:color="auto" w:sz="4" w:space="0"/>
              <w:bottom w:val="single" w:color="auto" w:sz="4" w:space="0"/>
              <w:right w:val="single" w:color="auto" w:sz="4" w:space="0"/>
            </w:tcBorders>
            <w:vAlign w:val="center"/>
          </w:tcPr>
          <w:p w14:paraId="78193D4C">
            <w:pPr>
              <w:keepNext w:val="0"/>
              <w:keepLines w:val="0"/>
              <w:pageBreakBefore w:val="0"/>
              <w:kinsoku/>
              <w:wordWrap w:val="0"/>
              <w:overflowPunct/>
              <w:topLinePunct w:val="0"/>
              <w:autoSpaceDE/>
              <w:autoSpaceDN/>
              <w:bidi w:val="0"/>
              <w:adjustRightInd/>
              <w:snapToGrid/>
              <w:spacing w:line="440" w:lineRule="exact"/>
              <w:ind w:left="0" w:leftChars="0" w:right="0" w:firstLine="0" w:firstLine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0-5分</w:t>
            </w:r>
          </w:p>
        </w:tc>
      </w:tr>
      <w:tr w14:paraId="5CFB2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pct"/>
            <w:vMerge w:val="continue"/>
            <w:tcBorders>
              <w:left w:val="single" w:color="auto" w:sz="4" w:space="0"/>
              <w:right w:val="single" w:color="auto" w:sz="4" w:space="0"/>
            </w:tcBorders>
            <w:vAlign w:val="center"/>
          </w:tcPr>
          <w:p w14:paraId="2F82BB22">
            <w:pPr>
              <w:keepNext w:val="0"/>
              <w:keepLines w:val="0"/>
              <w:pageBreakBefore w:val="0"/>
              <w:kinsoku/>
              <w:wordWrap w:val="0"/>
              <w:overflowPunct/>
              <w:topLinePunct w:val="0"/>
              <w:autoSpaceDE/>
              <w:autoSpaceDN/>
              <w:bidi w:val="0"/>
              <w:adjustRightInd/>
              <w:snapToGrid/>
              <w:spacing w:line="440" w:lineRule="exact"/>
              <w:ind w:right="0" w:firstLine="435"/>
              <w:jc w:val="center"/>
              <w:textAlignment w:val="auto"/>
              <w:rPr>
                <w:rFonts w:hint="eastAsia" w:ascii="宋体" w:hAnsi="宋体" w:eastAsia="宋体" w:cs="宋体"/>
                <w:b/>
                <w:bCs/>
                <w:sz w:val="24"/>
                <w:szCs w:val="24"/>
              </w:rPr>
            </w:pPr>
          </w:p>
        </w:tc>
        <w:tc>
          <w:tcPr>
            <w:tcW w:w="788" w:type="pct"/>
            <w:tcBorders>
              <w:top w:val="single" w:color="auto" w:sz="4" w:space="0"/>
              <w:left w:val="single" w:color="auto" w:sz="4" w:space="0"/>
              <w:bottom w:val="single" w:color="auto" w:sz="4" w:space="0"/>
              <w:right w:val="single" w:color="auto" w:sz="4" w:space="0"/>
            </w:tcBorders>
            <w:vAlign w:val="center"/>
          </w:tcPr>
          <w:p w14:paraId="025F33E9">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0" w:leftChars="0" w:right="0" w:rightChars="0" w:firstLine="0" w:firstLineChars="0"/>
              <w:jc w:val="center"/>
              <w:textAlignment w:val="center"/>
              <w:rPr>
                <w:rFonts w:hint="eastAsia" w:ascii="宋体" w:hAnsi="宋体" w:eastAsia="宋体" w:cs="宋体"/>
                <w:bCs/>
                <w:sz w:val="24"/>
                <w:szCs w:val="24"/>
              </w:rPr>
            </w:pPr>
            <w:r>
              <w:rPr>
                <w:rFonts w:hint="eastAsia" w:ascii="宋体" w:hAnsi="宋体" w:eastAsia="宋体" w:cs="宋体"/>
                <w:color w:val="auto"/>
                <w:kern w:val="0"/>
                <w:sz w:val="24"/>
                <w:szCs w:val="24"/>
                <w:highlight w:val="none"/>
                <w:lang w:val="en-US" w:eastAsia="zh-CN" w:bidi="ar"/>
              </w:rPr>
              <w:t>应急预案</w:t>
            </w:r>
          </w:p>
        </w:tc>
        <w:tc>
          <w:tcPr>
            <w:tcW w:w="2796" w:type="pct"/>
            <w:tcBorders>
              <w:top w:val="single" w:color="auto" w:sz="4" w:space="0"/>
              <w:left w:val="single" w:color="auto" w:sz="4" w:space="0"/>
              <w:bottom w:val="single" w:color="auto" w:sz="4" w:space="0"/>
              <w:right w:val="single" w:color="auto" w:sz="4" w:space="0"/>
            </w:tcBorders>
            <w:shd w:val="clear" w:color="auto" w:fill="auto"/>
            <w:vAlign w:val="center"/>
          </w:tcPr>
          <w:p w14:paraId="7C006C0E">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0" w:leftChars="0" w:right="0" w:rightChars="0" w:firstLine="0" w:firstLineChars="0"/>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根据投标文件中提供的应急预案，充分考虑到发生系统故障、突发事件等特殊情况时的应急措施</w:t>
            </w:r>
            <w:r>
              <w:rPr>
                <w:rFonts w:hint="eastAsia" w:ascii="宋体" w:hAnsi="宋体" w:eastAsia="宋体" w:cs="宋体"/>
                <w:color w:val="auto"/>
                <w:kern w:val="0"/>
                <w:sz w:val="24"/>
                <w:szCs w:val="24"/>
                <w:highlight w:val="none"/>
                <w:lang w:val="en-US" w:eastAsia="zh-CN" w:bidi="ar"/>
              </w:rPr>
              <w:t>进行综合评审</w:t>
            </w:r>
            <w:r>
              <w:rPr>
                <w:rFonts w:hint="eastAsia" w:ascii="宋体" w:hAnsi="宋体" w:eastAsia="宋体" w:cs="宋体"/>
                <w:color w:val="000000"/>
                <w:kern w:val="0"/>
                <w:sz w:val="24"/>
                <w:szCs w:val="24"/>
                <w:lang w:val="en-US" w:eastAsia="zh-CN" w:bidi="ar"/>
              </w:rPr>
              <w:t>：</w:t>
            </w:r>
          </w:p>
          <w:p w14:paraId="7CC18E5F">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0" w:leftChars="0" w:right="0" w:rightChars="0" w:firstLine="0" w:firstLineChars="0"/>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1</w:t>
            </w:r>
            <w:r>
              <w:rPr>
                <w:rFonts w:hint="eastAsia" w:ascii="宋体" w:hAnsi="宋体" w:eastAsia="宋体" w:cs="宋体"/>
                <w:sz w:val="24"/>
                <w:szCs w:val="24"/>
                <w:highlight w:val="none"/>
              </w:rPr>
              <w:t>.</w:t>
            </w:r>
            <w:r>
              <w:rPr>
                <w:rFonts w:hint="eastAsia" w:ascii="宋体" w:hAnsi="宋体" w:eastAsia="宋体" w:cs="宋体"/>
                <w:color w:val="000000"/>
                <w:kern w:val="0"/>
                <w:sz w:val="24"/>
                <w:szCs w:val="24"/>
                <w:lang w:val="en-US" w:eastAsia="zh-CN" w:bidi="ar"/>
              </w:rPr>
              <w:t>应急措施可行性强、思路清晰、贴合实际情况，得5分；</w:t>
            </w:r>
          </w:p>
          <w:p w14:paraId="6F8AD6FB">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0" w:leftChars="0" w:right="0" w:rightChars="0" w:firstLine="0" w:firstLineChars="0"/>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2</w:t>
            </w:r>
            <w:r>
              <w:rPr>
                <w:rFonts w:hint="eastAsia" w:ascii="宋体" w:hAnsi="宋体" w:eastAsia="宋体" w:cs="宋体"/>
                <w:sz w:val="24"/>
                <w:szCs w:val="24"/>
                <w:highlight w:val="none"/>
              </w:rPr>
              <w:t>.</w:t>
            </w:r>
            <w:r>
              <w:rPr>
                <w:rFonts w:hint="eastAsia" w:ascii="宋体" w:hAnsi="宋体" w:eastAsia="宋体" w:cs="宋体"/>
                <w:color w:val="000000"/>
                <w:kern w:val="0"/>
                <w:sz w:val="24"/>
                <w:szCs w:val="24"/>
                <w:lang w:val="en-US" w:eastAsia="zh-CN" w:bidi="ar"/>
              </w:rPr>
              <w:t>应急措施较为可行、思路较为清晰，得3分；</w:t>
            </w:r>
          </w:p>
          <w:p w14:paraId="09D93EE4">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0" w:leftChars="0" w:right="0" w:rightChars="0" w:firstLine="0" w:firstLineChars="0"/>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3</w:t>
            </w:r>
            <w:r>
              <w:rPr>
                <w:rFonts w:hint="eastAsia" w:ascii="宋体" w:hAnsi="宋体" w:eastAsia="宋体" w:cs="宋体"/>
                <w:sz w:val="24"/>
                <w:szCs w:val="24"/>
                <w:highlight w:val="none"/>
              </w:rPr>
              <w:t>.</w:t>
            </w:r>
            <w:r>
              <w:rPr>
                <w:rFonts w:hint="eastAsia" w:ascii="宋体" w:hAnsi="宋体" w:eastAsia="宋体" w:cs="宋体"/>
                <w:color w:val="000000"/>
                <w:kern w:val="0"/>
                <w:sz w:val="24"/>
                <w:szCs w:val="24"/>
                <w:lang w:val="en-US" w:eastAsia="zh-CN" w:bidi="ar"/>
              </w:rPr>
              <w:t>应急措施简单有待完善的，得1分；</w:t>
            </w:r>
          </w:p>
          <w:p w14:paraId="590D23C3">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440" w:lineRule="exact"/>
              <w:ind w:left="0" w:leftChars="0" w:right="0" w:rightChars="0" w:firstLine="0" w:firstLineChars="0"/>
              <w:textAlignment w:val="center"/>
              <w:rPr>
                <w:rFonts w:hint="eastAsia" w:ascii="宋体" w:hAnsi="宋体" w:eastAsia="宋体" w:cs="宋体"/>
                <w:color w:val="auto"/>
                <w:sz w:val="24"/>
                <w:szCs w:val="24"/>
                <w:lang w:val="en-US" w:eastAsia="zh-CN"/>
              </w:rPr>
            </w:pPr>
            <w:r>
              <w:rPr>
                <w:rFonts w:hint="eastAsia" w:ascii="宋体" w:hAnsi="宋体" w:eastAsia="宋体" w:cs="宋体"/>
                <w:color w:val="000000"/>
                <w:kern w:val="0"/>
                <w:sz w:val="24"/>
                <w:szCs w:val="24"/>
                <w:lang w:val="en-US" w:eastAsia="zh-CN" w:bidi="ar"/>
              </w:rPr>
              <w:t>4</w:t>
            </w:r>
            <w:r>
              <w:rPr>
                <w:rFonts w:hint="eastAsia" w:ascii="宋体" w:hAnsi="宋体" w:eastAsia="宋体" w:cs="宋体"/>
                <w:sz w:val="24"/>
                <w:szCs w:val="24"/>
                <w:highlight w:val="none"/>
              </w:rPr>
              <w:t>.</w:t>
            </w:r>
            <w:r>
              <w:rPr>
                <w:rFonts w:hint="eastAsia" w:ascii="宋体" w:hAnsi="宋体" w:eastAsia="宋体" w:cs="宋体"/>
                <w:color w:val="000000"/>
                <w:kern w:val="0"/>
                <w:sz w:val="24"/>
                <w:szCs w:val="24"/>
                <w:lang w:val="en-US" w:eastAsia="zh-CN" w:bidi="ar"/>
              </w:rPr>
              <w:t>差或未提供不得分。</w:t>
            </w:r>
          </w:p>
        </w:tc>
        <w:tc>
          <w:tcPr>
            <w:tcW w:w="749" w:type="pct"/>
            <w:tcBorders>
              <w:top w:val="single" w:color="auto" w:sz="4" w:space="0"/>
              <w:left w:val="single" w:color="auto" w:sz="4" w:space="0"/>
              <w:bottom w:val="single" w:color="auto" w:sz="4" w:space="0"/>
              <w:right w:val="single" w:color="auto" w:sz="4" w:space="0"/>
            </w:tcBorders>
            <w:vAlign w:val="center"/>
          </w:tcPr>
          <w:p w14:paraId="49EB6B29">
            <w:pPr>
              <w:keepNext w:val="0"/>
              <w:keepLines w:val="0"/>
              <w:pageBreakBefore w:val="0"/>
              <w:kinsoku/>
              <w:wordWrap w:val="0"/>
              <w:overflowPunct/>
              <w:topLinePunct w:val="0"/>
              <w:autoSpaceDE/>
              <w:autoSpaceDN/>
              <w:bidi w:val="0"/>
              <w:adjustRightInd/>
              <w:snapToGrid/>
              <w:spacing w:line="440" w:lineRule="exact"/>
              <w:ind w:right="0"/>
              <w:jc w:val="center"/>
              <w:textAlignment w:val="auto"/>
              <w:rPr>
                <w:rFonts w:hint="eastAsia" w:ascii="宋体" w:hAnsi="宋体" w:eastAsia="宋体" w:cs="宋体"/>
                <w:b/>
                <w:bCs/>
                <w:sz w:val="24"/>
                <w:szCs w:val="24"/>
                <w:lang w:val="en-US" w:eastAsia="zh-CN"/>
              </w:rPr>
            </w:pPr>
            <w:r>
              <w:rPr>
                <w:rFonts w:hint="eastAsia" w:ascii="宋体" w:hAnsi="宋体" w:eastAsia="宋体" w:cs="宋体"/>
                <w:b w:val="0"/>
                <w:bCs w:val="0"/>
                <w:sz w:val="24"/>
                <w:szCs w:val="24"/>
                <w:lang w:val="en-US" w:eastAsia="zh-CN"/>
              </w:rPr>
              <w:t>0-5分</w:t>
            </w:r>
          </w:p>
        </w:tc>
      </w:tr>
      <w:tr w14:paraId="36B07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5" w:type="pct"/>
            <w:tcBorders>
              <w:left w:val="single" w:color="auto" w:sz="4" w:space="0"/>
              <w:right w:val="single" w:color="auto" w:sz="4" w:space="0"/>
            </w:tcBorders>
            <w:vAlign w:val="center"/>
          </w:tcPr>
          <w:p w14:paraId="2E51527D">
            <w:pPr>
              <w:keepNext w:val="0"/>
              <w:keepLines w:val="0"/>
              <w:pageBreakBefore w:val="0"/>
              <w:widowControl w:val="0"/>
              <w:kinsoku/>
              <w:wordWrap w:val="0"/>
              <w:overflowPunct/>
              <w:topLinePunct w:val="0"/>
              <w:autoSpaceDE/>
              <w:autoSpaceDN/>
              <w:bidi w:val="0"/>
              <w:adjustRightInd/>
              <w:snapToGrid/>
              <w:spacing w:line="440" w:lineRule="exact"/>
              <w:ind w:right="0"/>
              <w:jc w:val="center"/>
              <w:textAlignment w:val="auto"/>
              <w:rPr>
                <w:rFonts w:hint="eastAsia" w:ascii="宋体" w:hAnsi="宋体" w:eastAsia="宋体" w:cs="宋体"/>
                <w:sz w:val="24"/>
                <w:szCs w:val="24"/>
              </w:rPr>
            </w:pPr>
            <w:r>
              <w:rPr>
                <w:rFonts w:hint="eastAsia" w:ascii="宋体" w:hAnsi="宋体" w:eastAsia="宋体" w:cs="宋体"/>
                <w:sz w:val="24"/>
                <w:szCs w:val="24"/>
              </w:rPr>
              <w:t>价格分</w:t>
            </w:r>
          </w:p>
          <w:p w14:paraId="52A49F29">
            <w:pPr>
              <w:keepNext w:val="0"/>
              <w:keepLines w:val="0"/>
              <w:pageBreakBefore w:val="0"/>
              <w:widowControl w:val="0"/>
              <w:kinsoku/>
              <w:wordWrap w:val="0"/>
              <w:overflowPunct/>
              <w:topLinePunct w:val="0"/>
              <w:autoSpaceDE/>
              <w:autoSpaceDN/>
              <w:bidi w:val="0"/>
              <w:adjustRightInd/>
              <w:snapToGrid/>
              <w:spacing w:line="440" w:lineRule="exact"/>
              <w:ind w:right="0"/>
              <w:jc w:val="center"/>
              <w:textAlignment w:val="auto"/>
              <w:rPr>
                <w:rFonts w:hint="eastAsia" w:ascii="宋体" w:hAnsi="宋体" w:eastAsia="宋体" w:cs="宋体"/>
                <w:b/>
                <w:bCs/>
                <w:sz w:val="24"/>
                <w:szCs w:val="24"/>
              </w:rPr>
            </w:pPr>
            <w:r>
              <w:rPr>
                <w:rFonts w:hint="eastAsia" w:ascii="宋体" w:hAnsi="宋体" w:eastAsia="宋体" w:cs="宋体"/>
                <w:sz w:val="24"/>
                <w:szCs w:val="24"/>
              </w:rPr>
              <w:t>（</w:t>
            </w:r>
            <w:r>
              <w:rPr>
                <w:rFonts w:hint="eastAsia" w:ascii="宋体" w:hAnsi="宋体" w:eastAsia="宋体" w:cs="宋体"/>
                <w:sz w:val="24"/>
                <w:szCs w:val="24"/>
                <w:u w:val="single"/>
                <w:lang w:val="en-US" w:eastAsia="zh-CN"/>
              </w:rPr>
              <w:t>30</w:t>
            </w:r>
            <w:r>
              <w:rPr>
                <w:rFonts w:hint="eastAsia" w:ascii="宋体" w:hAnsi="宋体" w:eastAsia="宋体" w:cs="宋体"/>
                <w:sz w:val="24"/>
                <w:szCs w:val="24"/>
              </w:rPr>
              <w:t>分）</w:t>
            </w:r>
          </w:p>
        </w:tc>
        <w:tc>
          <w:tcPr>
            <w:tcW w:w="4334" w:type="pct"/>
            <w:gridSpan w:val="3"/>
            <w:tcBorders>
              <w:top w:val="single" w:color="auto" w:sz="4" w:space="0"/>
              <w:left w:val="single" w:color="auto" w:sz="4" w:space="0"/>
              <w:bottom w:val="single" w:color="auto" w:sz="4" w:space="0"/>
              <w:right w:val="single" w:color="auto" w:sz="4" w:space="0"/>
            </w:tcBorders>
            <w:vAlign w:val="center"/>
          </w:tcPr>
          <w:p w14:paraId="78D510CF">
            <w:pPr>
              <w:keepNext w:val="0"/>
              <w:keepLines w:val="0"/>
              <w:pageBreakBefore w:val="0"/>
              <w:kinsoku/>
              <w:wordWrap w:val="0"/>
              <w:overflowPunct/>
              <w:topLinePunct w:val="0"/>
              <w:autoSpaceDE/>
              <w:autoSpaceDN/>
              <w:bidi w:val="0"/>
              <w:adjustRightInd/>
              <w:snapToGrid/>
              <w:spacing w:line="44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价格分统一采用低价优先法，即满足招标文件要求且投标价格最低的投标报价为评标基准价，其价格分为满分</w:t>
            </w:r>
            <w:r>
              <w:rPr>
                <w:rFonts w:hint="eastAsia" w:ascii="宋体" w:hAnsi="宋体" w:eastAsia="宋体" w:cs="宋体"/>
                <w:sz w:val="24"/>
                <w:szCs w:val="24"/>
                <w:u w:val="single"/>
                <w:lang w:val="en-US" w:eastAsia="zh-CN"/>
              </w:rPr>
              <w:t>30</w:t>
            </w:r>
            <w:r>
              <w:rPr>
                <w:rFonts w:hint="eastAsia" w:ascii="宋体" w:hAnsi="宋体" w:eastAsia="宋体" w:cs="宋体"/>
                <w:sz w:val="24"/>
                <w:szCs w:val="24"/>
              </w:rPr>
              <w:t>分。其他投标人的价格分统一按照下列公式计算：</w:t>
            </w:r>
          </w:p>
          <w:p w14:paraId="1F77E85B">
            <w:pPr>
              <w:keepNext w:val="0"/>
              <w:keepLines w:val="0"/>
              <w:pageBreakBefore w:val="0"/>
              <w:kinsoku/>
              <w:wordWrap w:val="0"/>
              <w:overflowPunct/>
              <w:topLinePunct w:val="0"/>
              <w:autoSpaceDE/>
              <w:autoSpaceDN/>
              <w:bidi w:val="0"/>
              <w:adjustRightInd/>
              <w:snapToGrid/>
              <w:spacing w:line="440" w:lineRule="exact"/>
              <w:ind w:right="0"/>
              <w:textAlignment w:val="auto"/>
              <w:rPr>
                <w:rFonts w:hint="eastAsia" w:ascii="宋体" w:hAnsi="宋体" w:eastAsia="宋体" w:cs="宋体"/>
                <w:b/>
                <w:bCs/>
                <w:sz w:val="24"/>
                <w:szCs w:val="24"/>
              </w:rPr>
            </w:pPr>
            <w:r>
              <w:rPr>
                <w:rFonts w:hint="eastAsia" w:ascii="宋体" w:hAnsi="宋体" w:eastAsia="宋体" w:cs="宋体"/>
                <w:sz w:val="24"/>
                <w:szCs w:val="24"/>
              </w:rPr>
              <w:t>投标报价得分＝（评标基准价/投标报价）×</w:t>
            </w:r>
            <w:r>
              <w:rPr>
                <w:rFonts w:hint="eastAsia" w:ascii="宋体" w:hAnsi="宋体" w:eastAsia="宋体" w:cs="宋体"/>
                <w:sz w:val="24"/>
                <w:szCs w:val="24"/>
                <w:u w:val="single"/>
                <w:lang w:val="en-US" w:eastAsia="zh-CN"/>
              </w:rPr>
              <w:t>30</w:t>
            </w:r>
            <w:r>
              <w:rPr>
                <w:rFonts w:hint="eastAsia" w:ascii="宋体" w:hAnsi="宋体" w:eastAsia="宋体" w:cs="宋体"/>
                <w:sz w:val="24"/>
                <w:szCs w:val="24"/>
              </w:rPr>
              <w:t>％×100</w:t>
            </w:r>
          </w:p>
        </w:tc>
      </w:tr>
    </w:tbl>
    <w:p w14:paraId="6637210C">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方正黑体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微软简标宋">
    <w:altName w:val="宋体"/>
    <w:panose1 w:val="00000000000000000000"/>
    <w:charset w:val="00"/>
    <w:family w:val="auto"/>
    <w:pitch w:val="default"/>
    <w:sig w:usb0="00000000" w:usb1="00000000" w:usb2="00000010" w:usb3="00000000" w:csb0="00040000" w:csb1="00000000"/>
  </w:font>
  <w:font w:name="楷体_GB2312">
    <w:altName w:val="楷体"/>
    <w:panose1 w:val="02010609030101010101"/>
    <w:charset w:val="00"/>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FkNjU5NzgzNTUyOTE4NWZjZGJjY2FiMDYxZjFhOWYifQ=="/>
  </w:docVars>
  <w:rsids>
    <w:rsidRoot w:val="00B02874"/>
    <w:rsid w:val="001C2055"/>
    <w:rsid w:val="001E1BD6"/>
    <w:rsid w:val="00251E8E"/>
    <w:rsid w:val="002906A7"/>
    <w:rsid w:val="002C064C"/>
    <w:rsid w:val="00353962"/>
    <w:rsid w:val="00461480"/>
    <w:rsid w:val="005037E9"/>
    <w:rsid w:val="00550E0E"/>
    <w:rsid w:val="00673ADB"/>
    <w:rsid w:val="006B58B6"/>
    <w:rsid w:val="006E64EF"/>
    <w:rsid w:val="007C4B64"/>
    <w:rsid w:val="00826B7E"/>
    <w:rsid w:val="008B7FA8"/>
    <w:rsid w:val="00922BC0"/>
    <w:rsid w:val="009865DB"/>
    <w:rsid w:val="00A26363"/>
    <w:rsid w:val="00B02874"/>
    <w:rsid w:val="00CC2458"/>
    <w:rsid w:val="00D037E9"/>
    <w:rsid w:val="00EB1F8A"/>
    <w:rsid w:val="00FD2A9A"/>
    <w:rsid w:val="138C7281"/>
    <w:rsid w:val="13F81C8D"/>
    <w:rsid w:val="2D1BE600"/>
    <w:rsid w:val="2DEF56A0"/>
    <w:rsid w:val="31BE6E53"/>
    <w:rsid w:val="329B0E37"/>
    <w:rsid w:val="34CC79A3"/>
    <w:rsid w:val="3739BB4E"/>
    <w:rsid w:val="4537637C"/>
    <w:rsid w:val="4FBE4CF7"/>
    <w:rsid w:val="500A5A3E"/>
    <w:rsid w:val="5B7B6323"/>
    <w:rsid w:val="5DDEE415"/>
    <w:rsid w:val="5EDD7F5D"/>
    <w:rsid w:val="61C202FC"/>
    <w:rsid w:val="65A02B06"/>
    <w:rsid w:val="65FEB8EF"/>
    <w:rsid w:val="754B3A1B"/>
    <w:rsid w:val="755212F7"/>
    <w:rsid w:val="7BBDF06E"/>
    <w:rsid w:val="7FEF5758"/>
    <w:rsid w:val="7FF3F011"/>
    <w:rsid w:val="7FFFD359"/>
    <w:rsid w:val="EBFD1C0C"/>
    <w:rsid w:val="F7B7D6D3"/>
    <w:rsid w:val="FB7FEA5E"/>
    <w:rsid w:val="FEAA8BBE"/>
    <w:rsid w:val="FF6F20B2"/>
    <w:rsid w:val="FFB5BDC4"/>
    <w:rsid w:val="FFFFC9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99"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2"/>
    <w:basedOn w:val="1"/>
    <w:next w:val="1"/>
    <w:qFormat/>
    <w:uiPriority w:val="0"/>
    <w:pPr>
      <w:keepNext/>
      <w:keepLines/>
      <w:spacing w:before="240" w:line="360" w:lineRule="auto"/>
      <w:ind w:firstLine="640" w:firstLineChars="200"/>
      <w:jc w:val="left"/>
      <w:outlineLvl w:val="1"/>
    </w:pPr>
    <w:rPr>
      <w:rFonts w:ascii="Arial" w:hAnsi="Arial" w:eastAsia="方正黑体_GBK" w:cs="Times New Roman"/>
      <w:bCs/>
      <w:kern w:val="0"/>
      <w:sz w:val="28"/>
      <w:szCs w:val="32"/>
    </w:rPr>
  </w:style>
  <w:style w:type="paragraph" w:styleId="5">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unhideWhenUsed/>
    <w:qFormat/>
    <w:uiPriority w:val="99"/>
    <w:pPr>
      <w:ind w:firstLine="420" w:firstLineChars="100"/>
    </w:pPr>
  </w:style>
  <w:style w:type="paragraph" w:styleId="3">
    <w:name w:val="Body Text"/>
    <w:basedOn w:val="1"/>
    <w:qFormat/>
    <w:uiPriority w:val="0"/>
    <w:pPr>
      <w:spacing w:after="120"/>
    </w:pPr>
    <w:rPr>
      <w:rFonts w:ascii="@微软简标宋" w:hAnsi="@微软简标宋" w:eastAsia="@微软简标宋" w:cs="@微软简标宋"/>
      <w:szCs w:val="24"/>
      <w:lang w:val="zh-CN"/>
    </w:rPr>
  </w:style>
  <w:style w:type="paragraph" w:styleId="6">
    <w:name w:val="annotation text"/>
    <w:basedOn w:val="1"/>
    <w:qFormat/>
    <w:uiPriority w:val="0"/>
    <w:pPr>
      <w:jc w:val="left"/>
    </w:pPr>
  </w:style>
  <w:style w:type="paragraph" w:styleId="7">
    <w:name w:val="Body Text Indent"/>
    <w:basedOn w:val="1"/>
    <w:next w:val="8"/>
    <w:unhideWhenUsed/>
    <w:qFormat/>
    <w:uiPriority w:val="99"/>
    <w:pPr>
      <w:ind w:firstLine="645"/>
    </w:pPr>
    <w:rPr>
      <w:rFonts w:ascii="楷体_GB2312" w:eastAsia="楷体_GB2312"/>
      <w:sz w:val="32"/>
      <w:szCs w:val="20"/>
    </w:rPr>
  </w:style>
  <w:style w:type="paragraph" w:styleId="8">
    <w:name w:val="envelope return"/>
    <w:basedOn w:val="1"/>
    <w:qFormat/>
    <w:uiPriority w:val="99"/>
    <w:pPr>
      <w:snapToGrid w:val="0"/>
    </w:pPr>
    <w:rPr>
      <w:rFonts w:ascii="Arial" w:hAnsi="Arial" w:cs="Arial"/>
    </w:rPr>
  </w:style>
  <w:style w:type="paragraph" w:styleId="9">
    <w:name w:val="footer"/>
    <w:basedOn w:val="1"/>
    <w:link w:val="17"/>
    <w:unhideWhenUsed/>
    <w:qFormat/>
    <w:uiPriority w:val="99"/>
    <w:pPr>
      <w:tabs>
        <w:tab w:val="center" w:pos="4153"/>
        <w:tab w:val="right" w:pos="8306"/>
      </w:tabs>
      <w:snapToGrid w:val="0"/>
      <w:jc w:val="left"/>
    </w:pPr>
    <w:rPr>
      <w:sz w:val="18"/>
      <w:szCs w:val="18"/>
    </w:rPr>
  </w:style>
  <w:style w:type="paragraph" w:styleId="10">
    <w:name w:val="header"/>
    <w:basedOn w:val="1"/>
    <w:link w:val="16"/>
    <w:unhideWhenUsed/>
    <w:qFormat/>
    <w:uiPriority w:val="99"/>
    <w:pPr>
      <w:tabs>
        <w:tab w:val="center" w:pos="4153"/>
        <w:tab w:val="right" w:pos="8306"/>
      </w:tabs>
      <w:snapToGrid w:val="0"/>
      <w:jc w:val="center"/>
    </w:pPr>
    <w:rPr>
      <w:sz w:val="18"/>
      <w:szCs w:val="18"/>
    </w:rPr>
  </w:style>
  <w:style w:type="paragraph" w:styleId="11">
    <w:name w:val="Body Text First Indent 2"/>
    <w:basedOn w:val="7"/>
    <w:unhideWhenUsed/>
    <w:qFormat/>
    <w:uiPriority w:val="99"/>
    <w:pPr>
      <w:ind w:left="420" w:firstLine="420" w:firstLineChars="200"/>
    </w:pPr>
    <w:rPr>
      <w:rFonts w:ascii="Times New Roman" w:cs="Times New Roman"/>
    </w:rPr>
  </w:style>
  <w:style w:type="table" w:styleId="13">
    <w:name w:val="Table Grid"/>
    <w:basedOn w:val="1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Hyperlink"/>
    <w:basedOn w:val="14"/>
    <w:qFormat/>
    <w:uiPriority w:val="0"/>
    <w:rPr>
      <w:color w:val="0000FF"/>
      <w:u w:val="single"/>
    </w:rPr>
  </w:style>
  <w:style w:type="character" w:customStyle="1" w:styleId="16">
    <w:name w:val="页眉 字符"/>
    <w:basedOn w:val="14"/>
    <w:link w:val="10"/>
    <w:qFormat/>
    <w:uiPriority w:val="99"/>
    <w:rPr>
      <w:sz w:val="18"/>
      <w:szCs w:val="18"/>
    </w:rPr>
  </w:style>
  <w:style w:type="character" w:customStyle="1" w:styleId="17">
    <w:name w:val="页脚 字符"/>
    <w:basedOn w:val="14"/>
    <w:link w:val="9"/>
    <w:qFormat/>
    <w:uiPriority w:val="99"/>
    <w:rPr>
      <w:sz w:val="18"/>
      <w:szCs w:val="18"/>
    </w:rPr>
  </w:style>
  <w:style w:type="paragraph" w:customStyle="1" w:styleId="18">
    <w:name w:val="D&amp;L"/>
    <w:basedOn w:val="10"/>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19">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2275</Words>
  <Characters>2313</Characters>
  <Lines>102</Lines>
  <Paragraphs>28</Paragraphs>
  <TotalTime>1</TotalTime>
  <ScaleCrop>false</ScaleCrop>
  <LinksUpToDate>false</LinksUpToDate>
  <CharactersWithSpaces>2315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2023-08-11T09:46:00Z</dcterms:created>
  <dc:creator>严杰 孙</dc:creator>
  <cp:lastModifiedBy>默</cp:lastModifiedBy>
  <cp:lastPrinted>2024-04-10T07:17:00Z</cp:lastPrinted>
  <dcterms:modified xsi:type="dcterms:W3CDTF">2025-06-24T04:44:04Z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C4432251725D43DE8FEB71D45AB603E6_12</vt:lpwstr>
  </property>
  <property fmtid="{D5CDD505-2E9C-101B-9397-08002B2CF9AE}" pid="4" name="KSOTemplateDocerSaveRecord">
    <vt:lpwstr>eyJoZGlkIjoiYzg5NmQxNjBmMjk4NjZkYTRiYWU0ODkwOTEyYzFmYTciLCJ1c2VySWQiOiIyNzU5Nzc4MDIifQ==</vt:lpwstr>
  </property>
</Properties>
</file>