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ADB3A">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1BA41CE6">
      <w:pPr>
        <w:wordWrap w:val="0"/>
        <w:spacing w:line="440" w:lineRule="exact"/>
        <w:jc w:val="left"/>
        <w:rPr>
          <w:rFonts w:ascii="宋体" w:hAnsi="宋体" w:eastAsia="宋体"/>
          <w:b/>
          <w:sz w:val="24"/>
        </w:rPr>
      </w:pPr>
      <w:r>
        <w:rPr>
          <w:rFonts w:hint="eastAsia" w:ascii="宋体" w:hAnsi="宋体" w:eastAsia="宋体"/>
          <w:b/>
          <w:sz w:val="24"/>
        </w:rPr>
        <w:t>前注：</w:t>
      </w:r>
    </w:p>
    <w:p w14:paraId="62AC0625">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60FD6CF2">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3D7F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B5DA713">
            <w:pPr>
              <w:pStyle w:val="6"/>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4812F7F9">
            <w:pPr>
              <w:pStyle w:val="7"/>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3110FB7B">
            <w:pPr>
              <w:pStyle w:val="7"/>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20196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540B2D2">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29E40D86">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691F89D6">
            <w:pPr>
              <w:pStyle w:val="7"/>
              <w:widowControl w:val="0"/>
              <w:spacing w:before="0" w:beforeAutospacing="0" w:after="0" w:afterAutospacing="0" w:line="360" w:lineRule="auto"/>
              <w:jc w:val="both"/>
              <w:rPr>
                <w:rFonts w:hint="default" w:ascii="宋体" w:hAnsi="宋体" w:eastAsia="宋体" w:cs="宋体"/>
                <w:b w:val="0"/>
                <w:sz w:val="24"/>
                <w:szCs w:val="24"/>
                <w:lang w:val="en-US" w:eastAsia="zh-CN"/>
              </w:rPr>
            </w:pPr>
            <w:r>
              <w:rPr>
                <w:rFonts w:hint="eastAsia" w:ascii="宋体" w:hAnsi="宋体" w:eastAsia="宋体" w:cs="宋体"/>
                <w:b w:val="0"/>
                <w:sz w:val="24"/>
                <w:szCs w:val="24"/>
                <w:lang w:val="en-US" w:eastAsia="zh-CN"/>
              </w:rPr>
              <w:t>合同签订后支付合同价款的50%，验收合格后支付尾款。</w:t>
            </w:r>
          </w:p>
        </w:tc>
      </w:tr>
      <w:tr w14:paraId="45589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0636688A">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1F4CD1EE">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231CE83A">
            <w:pPr>
              <w:pStyle w:val="7"/>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655A1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52D47B2">
            <w:pPr>
              <w:pStyle w:val="6"/>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09E92220">
            <w:pPr>
              <w:pStyle w:val="7"/>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59FEE1C2">
            <w:pPr>
              <w:pStyle w:val="2"/>
              <w:spacing w:line="360" w:lineRule="auto"/>
              <w:rPr>
                <w:rFonts w:hint="eastAsia" w:ascii="宋体" w:hAnsi="宋体" w:eastAsia="宋体" w:cs="宋体"/>
                <w:bCs/>
                <w:kern w:val="0"/>
                <w:sz w:val="24"/>
                <w:szCs w:val="24"/>
                <w:lang w:val="en-US" w:eastAsia="zh-CN"/>
              </w:rPr>
            </w:pPr>
            <w:r>
              <w:rPr>
                <w:rFonts w:hint="eastAsia" w:ascii="宋体" w:hAnsi="宋体" w:eastAsia="宋体" w:cs="宋体"/>
                <w:bCs/>
                <w:kern w:val="0"/>
                <w:sz w:val="24"/>
                <w:szCs w:val="24"/>
                <w:lang w:eastAsia="zh-CN"/>
              </w:rPr>
              <w:t>合同签订后一年，本服务期内履约良好，合同到期后，经合同双方同意，可续签下一年合同（续签时间不超过2年），按年度执行，成交价不变。</w:t>
            </w:r>
          </w:p>
        </w:tc>
      </w:tr>
    </w:tbl>
    <w:p w14:paraId="5F802590">
      <w:pPr>
        <w:wordWrap w:val="0"/>
        <w:spacing w:line="440" w:lineRule="exact"/>
        <w:ind w:firstLine="437"/>
        <w:jc w:val="left"/>
        <w:rPr>
          <w:rFonts w:hint="eastAsia" w:ascii="宋体" w:hAnsi="宋体" w:eastAsia="宋体"/>
          <w:b/>
          <w:sz w:val="28"/>
          <w:szCs w:val="28"/>
        </w:rPr>
      </w:pPr>
      <w:r>
        <w:rPr>
          <w:rFonts w:hint="eastAsia" w:ascii="宋体" w:hAnsi="宋体" w:eastAsia="宋体"/>
          <w:b/>
          <w:sz w:val="28"/>
          <w:szCs w:val="28"/>
          <w:lang w:val="en-US" w:eastAsia="zh-CN"/>
        </w:rPr>
        <w:t>二、</w:t>
      </w:r>
      <w:r>
        <w:rPr>
          <w:rFonts w:hint="eastAsia" w:ascii="宋体" w:hAnsi="宋体" w:eastAsia="宋体"/>
          <w:b/>
          <w:sz w:val="28"/>
          <w:szCs w:val="28"/>
        </w:rPr>
        <w:t>项目概况</w:t>
      </w:r>
    </w:p>
    <w:p w14:paraId="786EA03D">
      <w:pPr>
        <w:spacing w:line="360" w:lineRule="auto"/>
        <w:ind w:firstLine="480" w:firstLineChars="200"/>
        <w:rPr>
          <w:rFonts w:hint="eastAsia" w:ascii="宋体" w:hAnsi="宋体" w:eastAsia="宋体"/>
          <w:sz w:val="24"/>
        </w:rPr>
      </w:pPr>
      <w:r>
        <w:rPr>
          <w:rFonts w:hint="eastAsia" w:ascii="宋体" w:hAnsi="宋体" w:eastAsia="宋体"/>
          <w:sz w:val="24"/>
        </w:rPr>
        <w:t>为保障安徽省疾病预防控制中心网络安全、稳定运行，安徽省疾病预防控制中心拟对中心网络和安全技术运维服务进行采购。</w:t>
      </w:r>
    </w:p>
    <w:p w14:paraId="046EFF4E">
      <w:pPr>
        <w:wordWrap w:val="0"/>
        <w:spacing w:line="440" w:lineRule="exact"/>
        <w:ind w:firstLine="437"/>
        <w:jc w:val="left"/>
        <w:rPr>
          <w:rFonts w:hint="eastAsia" w:ascii="宋体" w:hAnsi="宋体" w:eastAsia="宋体"/>
          <w:b/>
          <w:sz w:val="28"/>
          <w:szCs w:val="28"/>
          <w:lang w:val="en-US" w:eastAsia="zh-CN"/>
        </w:rPr>
      </w:pPr>
      <w:r>
        <w:rPr>
          <w:rFonts w:hint="eastAsia" w:ascii="宋体" w:hAnsi="宋体" w:eastAsia="宋体"/>
          <w:b/>
          <w:sz w:val="28"/>
          <w:szCs w:val="28"/>
          <w:lang w:val="en-US" w:eastAsia="zh-CN"/>
        </w:rPr>
        <w:t>三、网络和机房设备基本情况</w:t>
      </w:r>
    </w:p>
    <w:p w14:paraId="3A31F2B3">
      <w:pPr>
        <w:spacing w:line="360" w:lineRule="auto"/>
        <w:ind w:firstLine="480" w:firstLineChars="200"/>
        <w:rPr>
          <w:rFonts w:hint="eastAsia" w:ascii="宋体" w:hAnsi="宋体" w:eastAsia="宋体"/>
          <w:sz w:val="24"/>
        </w:rPr>
      </w:pPr>
      <w:r>
        <w:rPr>
          <w:rFonts w:hint="eastAsia" w:ascii="宋体" w:hAnsi="宋体" w:eastAsia="宋体"/>
          <w:sz w:val="24"/>
        </w:rPr>
        <w:t>1.电信和联通双百兆光纤接入，3条数字专线接入。</w:t>
      </w:r>
    </w:p>
    <w:p w14:paraId="4651009B">
      <w:pPr>
        <w:spacing w:line="360" w:lineRule="auto"/>
        <w:ind w:firstLine="480" w:firstLineChars="200"/>
        <w:rPr>
          <w:rFonts w:hint="eastAsia" w:ascii="宋体" w:hAnsi="宋体" w:eastAsia="宋体"/>
          <w:sz w:val="24"/>
        </w:rPr>
      </w:pPr>
      <w:r>
        <w:rPr>
          <w:rFonts w:hint="eastAsia" w:ascii="宋体" w:hAnsi="宋体" w:eastAsia="宋体"/>
          <w:sz w:val="24"/>
        </w:rPr>
        <w:t>2.办公区域实行内外网物理隔离，网络信息点共约1200个。</w:t>
      </w:r>
    </w:p>
    <w:p w14:paraId="0415CC4F">
      <w:pPr>
        <w:spacing w:line="360" w:lineRule="auto"/>
        <w:ind w:firstLine="480" w:firstLineChars="200"/>
        <w:rPr>
          <w:rFonts w:hint="eastAsia" w:ascii="宋体" w:hAnsi="宋体" w:eastAsia="宋体"/>
          <w:sz w:val="24"/>
        </w:rPr>
      </w:pPr>
      <w:r>
        <w:rPr>
          <w:rFonts w:hint="eastAsia" w:ascii="宋体" w:hAnsi="宋体" w:eastAsia="宋体"/>
          <w:sz w:val="24"/>
        </w:rPr>
        <w:t>3.主机房面积60平方米，配备10台机柜，并配备有温湿度监控、安防设备、UPS不间断电源等。副机房40平方米，配备2台网络机柜。</w:t>
      </w:r>
    </w:p>
    <w:p w14:paraId="211D53FC">
      <w:pPr>
        <w:spacing w:line="360" w:lineRule="auto"/>
        <w:ind w:firstLine="480" w:firstLineChars="200"/>
        <w:rPr>
          <w:rFonts w:hint="eastAsia" w:ascii="宋体" w:hAnsi="宋体" w:eastAsia="宋体"/>
          <w:sz w:val="24"/>
        </w:rPr>
      </w:pPr>
      <w:r>
        <w:rPr>
          <w:rFonts w:hint="eastAsia" w:ascii="宋体" w:hAnsi="宋体" w:eastAsia="宋体"/>
          <w:sz w:val="24"/>
        </w:rPr>
        <w:t>4.网络及机房主要设备包括：核心交换机4台、汇聚和接入交换机60余台、网络防火墙2台、VPN防火墙6台、上网行为管理1台、负载均衡2台、入侵防御1台、物理服务器13台、虚拟服务器10台、存储设备2台，虚拟化软件、备份软件、日志审计系统等。</w:t>
      </w:r>
    </w:p>
    <w:p w14:paraId="547F876F">
      <w:pPr>
        <w:wordWrap w:val="0"/>
        <w:spacing w:line="440" w:lineRule="exact"/>
        <w:ind w:firstLine="437"/>
        <w:jc w:val="left"/>
        <w:rPr>
          <w:rFonts w:hint="eastAsia" w:ascii="宋体" w:hAnsi="宋体" w:eastAsia="宋体"/>
          <w:b/>
          <w:sz w:val="28"/>
          <w:szCs w:val="28"/>
          <w:lang w:val="en-US" w:eastAsia="zh-CN"/>
        </w:rPr>
      </w:pPr>
      <w:r>
        <w:rPr>
          <w:rFonts w:hint="eastAsia" w:ascii="宋体" w:hAnsi="宋体" w:eastAsia="宋体"/>
          <w:b/>
          <w:sz w:val="28"/>
          <w:szCs w:val="28"/>
          <w:lang w:val="en-US" w:eastAsia="zh-CN"/>
        </w:rPr>
        <w:t>四、服务需求</w:t>
      </w:r>
    </w:p>
    <w:tbl>
      <w:tblPr>
        <w:tblStyle w:val="4"/>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6958"/>
      </w:tblGrid>
      <w:tr w14:paraId="6AA2D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jc w:val="center"/>
        </w:trPr>
        <w:tc>
          <w:tcPr>
            <w:tcW w:w="1338" w:type="dxa"/>
            <w:vAlign w:val="center"/>
          </w:tcPr>
          <w:p w14:paraId="17ED84DD">
            <w:pPr>
              <w:spacing w:line="360" w:lineRule="auto"/>
              <w:rPr>
                <w:rFonts w:hint="eastAsia" w:ascii="宋体" w:hAnsi="宋体" w:eastAsia="宋体"/>
                <w:sz w:val="24"/>
              </w:rPr>
            </w:pPr>
            <w:r>
              <w:rPr>
                <w:rFonts w:hint="eastAsia" w:ascii="宋体" w:hAnsi="宋体" w:eastAsia="宋体"/>
                <w:sz w:val="24"/>
              </w:rPr>
              <w:t>网络运维服务需求</w:t>
            </w:r>
          </w:p>
        </w:tc>
        <w:tc>
          <w:tcPr>
            <w:tcW w:w="6958" w:type="dxa"/>
          </w:tcPr>
          <w:p w14:paraId="1DC1D1F3">
            <w:pPr>
              <w:spacing w:line="360" w:lineRule="auto"/>
              <w:rPr>
                <w:rFonts w:hint="eastAsia" w:ascii="宋体" w:hAnsi="宋体" w:eastAsia="宋体"/>
                <w:sz w:val="24"/>
              </w:rPr>
            </w:pPr>
            <w:r>
              <w:rPr>
                <w:rFonts w:hint="eastAsia" w:ascii="宋体" w:hAnsi="宋体" w:eastAsia="宋体"/>
                <w:sz w:val="24"/>
              </w:rPr>
              <w:t>1.对中心机房的网络拓扑结构进行梳理，检测排除网络故障和物理链路故障（双绞线、光纤、无线等）并出具《网络拓扑结构图》。</w:t>
            </w:r>
          </w:p>
          <w:p w14:paraId="01DED1F3">
            <w:pPr>
              <w:spacing w:line="360" w:lineRule="auto"/>
              <w:rPr>
                <w:rFonts w:hint="eastAsia" w:ascii="宋体" w:hAnsi="宋体" w:eastAsia="宋体"/>
                <w:sz w:val="24"/>
              </w:rPr>
            </w:pPr>
            <w:r>
              <w:rPr>
                <w:rFonts w:hint="eastAsia" w:ascii="宋体" w:hAnsi="宋体" w:eastAsia="宋体"/>
                <w:sz w:val="24"/>
              </w:rPr>
              <w:t>2.配置维护目前主流交换机（H3C、华为等品牌）组成的网络。</w:t>
            </w:r>
          </w:p>
          <w:p w14:paraId="336F8ED7">
            <w:pPr>
              <w:spacing w:line="360" w:lineRule="auto"/>
              <w:rPr>
                <w:rFonts w:hint="eastAsia" w:ascii="宋体" w:hAnsi="宋体" w:eastAsia="宋体"/>
                <w:sz w:val="24"/>
              </w:rPr>
            </w:pPr>
            <w:r>
              <w:rPr>
                <w:rFonts w:hint="eastAsia" w:ascii="宋体" w:hAnsi="宋体" w:eastAsia="宋体"/>
                <w:sz w:val="24"/>
              </w:rPr>
              <w:t>3.配置、维护EMC、DCN存储设备，并与采购单位现有服务器虚拟化融合。</w:t>
            </w:r>
          </w:p>
          <w:p w14:paraId="4292052C">
            <w:pPr>
              <w:spacing w:line="360" w:lineRule="auto"/>
              <w:rPr>
                <w:rFonts w:hint="eastAsia" w:ascii="宋体" w:hAnsi="宋体" w:eastAsia="宋体"/>
                <w:sz w:val="24"/>
              </w:rPr>
            </w:pPr>
            <w:r>
              <w:rPr>
                <w:rFonts w:hint="eastAsia" w:ascii="宋体" w:hAnsi="宋体" w:eastAsia="宋体"/>
                <w:sz w:val="24"/>
              </w:rPr>
              <w:t>4.服务器维护：含物理服务器及虚拟服务器，对服务器硬件、数据库、操作系统等进行故障处理及维护。</w:t>
            </w:r>
          </w:p>
          <w:p w14:paraId="6B6C74AF">
            <w:pPr>
              <w:spacing w:line="360" w:lineRule="auto"/>
              <w:rPr>
                <w:rFonts w:hint="eastAsia" w:ascii="宋体" w:hAnsi="宋体" w:eastAsia="宋体"/>
                <w:sz w:val="24"/>
              </w:rPr>
            </w:pPr>
            <w:r>
              <w:rPr>
                <w:rFonts w:hint="eastAsia" w:ascii="宋体" w:hAnsi="宋体" w:eastAsia="宋体"/>
                <w:sz w:val="24"/>
              </w:rPr>
              <w:t>5.配置、维护、实施采购单位现有备份软件，以实现对采购单位信息系统数据库或整机数据定期备份或恢复。</w:t>
            </w:r>
          </w:p>
          <w:p w14:paraId="11B69D5C">
            <w:pPr>
              <w:spacing w:line="360" w:lineRule="auto"/>
              <w:rPr>
                <w:rFonts w:hint="eastAsia" w:ascii="宋体" w:hAnsi="宋体" w:eastAsia="宋体"/>
                <w:sz w:val="24"/>
              </w:rPr>
            </w:pPr>
            <w:r>
              <w:rPr>
                <w:rFonts w:hint="eastAsia" w:ascii="宋体" w:hAnsi="宋体" w:eastAsia="宋体"/>
                <w:sz w:val="24"/>
              </w:rPr>
              <w:t>6</w:t>
            </w:r>
            <w:bookmarkStart w:id="0" w:name="_Hlk121838928"/>
            <w:r>
              <w:rPr>
                <w:rFonts w:hint="eastAsia" w:ascii="宋体" w:hAnsi="宋体" w:eastAsia="宋体"/>
                <w:sz w:val="24"/>
              </w:rPr>
              <w:t>.网络、机房设备及相关系统定期巡检（至少每月1次），并出具巡检报告</w:t>
            </w:r>
            <w:bookmarkEnd w:id="0"/>
            <w:r>
              <w:rPr>
                <w:rFonts w:hint="eastAsia" w:ascii="宋体" w:hAnsi="宋体" w:eastAsia="宋体"/>
                <w:sz w:val="24"/>
              </w:rPr>
              <w:t>。</w:t>
            </w:r>
          </w:p>
          <w:p w14:paraId="5DCC91FC">
            <w:pPr>
              <w:spacing w:line="360" w:lineRule="auto"/>
              <w:rPr>
                <w:rFonts w:hint="eastAsia" w:ascii="宋体" w:hAnsi="宋体" w:eastAsia="宋体"/>
                <w:sz w:val="24"/>
              </w:rPr>
            </w:pPr>
            <w:r>
              <w:rPr>
                <w:rFonts w:hint="eastAsia" w:ascii="宋体" w:hAnsi="宋体" w:eastAsia="宋体"/>
                <w:sz w:val="24"/>
              </w:rPr>
              <w:t>7.提供防火墙、VPN、AD、AC、日志审计、入侵防御等设备配置和维护的技术支持。</w:t>
            </w:r>
          </w:p>
          <w:p w14:paraId="62B64352">
            <w:pPr>
              <w:spacing w:line="360" w:lineRule="auto"/>
              <w:rPr>
                <w:rFonts w:hint="eastAsia" w:ascii="宋体" w:hAnsi="宋体" w:eastAsia="宋体"/>
                <w:sz w:val="24"/>
              </w:rPr>
            </w:pPr>
            <w:r>
              <w:rPr>
                <w:rFonts w:hint="eastAsia" w:ascii="宋体" w:hAnsi="宋体" w:eastAsia="宋体"/>
                <w:sz w:val="24"/>
              </w:rPr>
              <w:t>8.机房其他设备如远程监控、UPS、UPS电池等的故障检查和维护。</w:t>
            </w:r>
          </w:p>
          <w:p w14:paraId="795E972C">
            <w:pPr>
              <w:spacing w:line="360" w:lineRule="auto"/>
              <w:rPr>
                <w:rFonts w:hint="eastAsia" w:ascii="宋体" w:hAnsi="宋体" w:eastAsia="宋体"/>
                <w:sz w:val="24"/>
              </w:rPr>
            </w:pPr>
            <w:r>
              <w:rPr>
                <w:rFonts w:hint="eastAsia" w:ascii="宋体" w:hAnsi="宋体" w:eastAsia="宋体"/>
                <w:sz w:val="24"/>
              </w:rPr>
              <w:t>9.VMware vsphere虚拟化软件技术支持。</w:t>
            </w:r>
          </w:p>
          <w:p w14:paraId="3E7CEF8C">
            <w:pPr>
              <w:spacing w:line="360" w:lineRule="auto"/>
              <w:rPr>
                <w:rFonts w:hint="eastAsia" w:ascii="宋体" w:hAnsi="宋体" w:eastAsia="宋体"/>
                <w:sz w:val="24"/>
              </w:rPr>
            </w:pPr>
            <w:r>
              <w:rPr>
                <w:rFonts w:hint="eastAsia" w:ascii="宋体" w:hAnsi="宋体" w:eastAsia="宋体"/>
                <w:sz w:val="24"/>
              </w:rPr>
              <w:t>10.协助采购单位完成服务范围内的内容达到相应等级的网络安全等级保护技术要求。</w:t>
            </w:r>
          </w:p>
          <w:p w14:paraId="24657609">
            <w:pPr>
              <w:spacing w:line="360" w:lineRule="auto"/>
              <w:rPr>
                <w:rFonts w:hint="eastAsia" w:ascii="宋体" w:hAnsi="宋体" w:eastAsia="宋体"/>
                <w:sz w:val="24"/>
              </w:rPr>
            </w:pPr>
            <w:r>
              <w:rPr>
                <w:rFonts w:hint="eastAsia" w:ascii="宋体" w:hAnsi="宋体" w:eastAsia="宋体"/>
                <w:sz w:val="24"/>
              </w:rPr>
              <w:t>11.对办公网络信息点故障进行维修。</w:t>
            </w:r>
          </w:p>
          <w:p w14:paraId="34E3E69D">
            <w:pPr>
              <w:spacing w:line="360" w:lineRule="auto"/>
              <w:rPr>
                <w:rFonts w:hint="eastAsia" w:ascii="宋体" w:hAnsi="宋体" w:eastAsia="宋体"/>
                <w:sz w:val="24"/>
              </w:rPr>
            </w:pPr>
            <w:r>
              <w:rPr>
                <w:rFonts w:hint="eastAsia" w:ascii="宋体" w:hAnsi="宋体" w:eastAsia="宋体"/>
                <w:sz w:val="24"/>
              </w:rPr>
              <w:t>12.对单位固定电话内部线路故障排除及内部移机调整。</w:t>
            </w:r>
          </w:p>
          <w:p w14:paraId="05A5C205">
            <w:pPr>
              <w:spacing w:line="360" w:lineRule="auto"/>
              <w:rPr>
                <w:rFonts w:hint="eastAsia" w:ascii="宋体" w:hAnsi="宋体" w:eastAsia="宋体"/>
                <w:sz w:val="24"/>
              </w:rPr>
            </w:pPr>
            <w:r>
              <w:rPr>
                <w:rFonts w:hint="eastAsia" w:ascii="宋体" w:hAnsi="宋体" w:eastAsia="宋体"/>
                <w:sz w:val="24"/>
              </w:rPr>
              <w:t>13.服务不包括硬件的投入，仅需提供技术服务。</w:t>
            </w:r>
          </w:p>
        </w:tc>
      </w:tr>
      <w:tr w14:paraId="4E1F2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1338" w:type="dxa"/>
            <w:vAlign w:val="center"/>
          </w:tcPr>
          <w:p w14:paraId="3D8DF918">
            <w:pPr>
              <w:spacing w:line="360" w:lineRule="auto"/>
              <w:ind w:firstLine="0" w:firstLineChars="0"/>
              <w:rPr>
                <w:rFonts w:hint="eastAsia" w:ascii="宋体" w:hAnsi="宋体" w:eastAsia="宋体"/>
                <w:sz w:val="24"/>
              </w:rPr>
            </w:pPr>
            <w:r>
              <w:rPr>
                <w:rFonts w:hint="eastAsia" w:ascii="宋体" w:hAnsi="宋体" w:eastAsia="宋体"/>
                <w:sz w:val="24"/>
              </w:rPr>
              <w:t>安全服务需求</w:t>
            </w:r>
          </w:p>
        </w:tc>
        <w:tc>
          <w:tcPr>
            <w:tcW w:w="6958" w:type="dxa"/>
          </w:tcPr>
          <w:p w14:paraId="7C41857A">
            <w:pPr>
              <w:spacing w:line="360" w:lineRule="auto"/>
              <w:rPr>
                <w:rFonts w:hint="eastAsia" w:ascii="宋体" w:hAnsi="宋体" w:eastAsia="宋体"/>
                <w:sz w:val="24"/>
              </w:rPr>
            </w:pPr>
            <w:r>
              <w:rPr>
                <w:rFonts w:hint="eastAsia" w:ascii="宋体" w:hAnsi="宋体" w:eastAsia="宋体"/>
                <w:sz w:val="24"/>
              </w:rPr>
              <w:t>1.网络安全定期巡检</w:t>
            </w:r>
          </w:p>
          <w:p w14:paraId="5DD2B2E4">
            <w:pPr>
              <w:spacing w:line="360" w:lineRule="auto"/>
              <w:rPr>
                <w:rFonts w:hint="eastAsia" w:ascii="宋体" w:hAnsi="宋体" w:eastAsia="宋体"/>
                <w:sz w:val="24"/>
              </w:rPr>
            </w:pPr>
            <w:r>
              <w:rPr>
                <w:rFonts w:hint="eastAsia" w:ascii="宋体" w:hAnsi="宋体" w:eastAsia="宋体"/>
                <w:sz w:val="24"/>
              </w:rPr>
              <w:t>（1）服务内容：提供网络安全巡检服务。使用专业安全漏洞扫描工具对评估目标范围内对象进行漏洞扫描和渗透测试。对信息系统的薄弱点进行识别与评价，脆弱性检测范围包括发现对象存在的web应用漏洞、主机操作系统漏洞、数据库漏洞、逻辑缺陷、弱口令、信息泄露等脆弱性问题。通过实施漏洞扫描和渗透测试，发现在网络（包括网络设备自身或传输线路）、系统（包括操作系统、数据库系统、通用应用平台系统）、应用（包括服务范围内业务的专有应用系统、系统与系统间交互）等层面存在的安全漏洞和风险。</w:t>
            </w:r>
          </w:p>
          <w:p w14:paraId="6F86AD80">
            <w:pPr>
              <w:spacing w:line="360" w:lineRule="auto"/>
              <w:rPr>
                <w:rFonts w:hint="eastAsia" w:ascii="宋体" w:hAnsi="宋体" w:eastAsia="宋体"/>
                <w:sz w:val="24"/>
              </w:rPr>
            </w:pPr>
            <w:r>
              <w:rPr>
                <w:rFonts w:hint="eastAsia" w:ascii="宋体" w:hAnsi="宋体" w:eastAsia="宋体"/>
                <w:sz w:val="24"/>
              </w:rPr>
              <w:t>（2）服务频率：1年不少于4次。</w:t>
            </w:r>
          </w:p>
          <w:p w14:paraId="6FBB1D72">
            <w:pPr>
              <w:spacing w:line="360" w:lineRule="auto"/>
              <w:rPr>
                <w:rFonts w:hint="eastAsia" w:ascii="宋体" w:hAnsi="宋体" w:eastAsia="宋体"/>
                <w:sz w:val="24"/>
              </w:rPr>
            </w:pPr>
            <w:r>
              <w:rPr>
                <w:rFonts w:hint="eastAsia" w:ascii="宋体" w:hAnsi="宋体" w:eastAsia="宋体"/>
                <w:sz w:val="24"/>
              </w:rPr>
              <w:t>（3）服务交付物：《网络安全巡检报告与漏洞扫描报告》、《渗透测试报告》。</w:t>
            </w:r>
          </w:p>
          <w:p w14:paraId="4261B192">
            <w:pPr>
              <w:spacing w:line="360" w:lineRule="auto"/>
              <w:rPr>
                <w:rFonts w:hint="eastAsia" w:ascii="宋体" w:hAnsi="宋体" w:eastAsia="宋体"/>
                <w:sz w:val="24"/>
              </w:rPr>
            </w:pPr>
            <w:r>
              <w:rPr>
                <w:rFonts w:hint="eastAsia" w:ascii="宋体" w:hAnsi="宋体" w:eastAsia="宋体"/>
                <w:sz w:val="24"/>
              </w:rPr>
              <w:t>2.风险评估服务</w:t>
            </w:r>
          </w:p>
          <w:p w14:paraId="59D44588">
            <w:pPr>
              <w:spacing w:line="360" w:lineRule="auto"/>
              <w:ind w:firstLine="240" w:firstLineChars="100"/>
              <w:rPr>
                <w:rFonts w:hint="eastAsia" w:ascii="宋体" w:hAnsi="宋体" w:eastAsia="宋体"/>
                <w:sz w:val="24"/>
              </w:rPr>
            </w:pPr>
            <w:r>
              <w:rPr>
                <w:rFonts w:hint="eastAsia" w:ascii="宋体" w:hAnsi="宋体" w:eastAsia="宋体"/>
                <w:sz w:val="24"/>
              </w:rPr>
              <w:t>提供中心网络风险评估服务，包括网络架构风险、资产漏洞风险、安全设备策略、数据安全等并出具《风险评估及优化建议报告》。</w:t>
            </w:r>
          </w:p>
          <w:p w14:paraId="1E0F5159">
            <w:pPr>
              <w:spacing w:line="360" w:lineRule="auto"/>
              <w:rPr>
                <w:rFonts w:hint="eastAsia" w:ascii="宋体" w:hAnsi="宋体" w:eastAsia="宋体"/>
                <w:sz w:val="24"/>
              </w:rPr>
            </w:pPr>
            <w:r>
              <w:rPr>
                <w:rFonts w:hint="eastAsia" w:ascii="宋体" w:hAnsi="宋体" w:eastAsia="宋体"/>
                <w:sz w:val="24"/>
              </w:rPr>
              <w:t>3.日志分析服务</w:t>
            </w:r>
          </w:p>
          <w:p w14:paraId="15CEF147">
            <w:pPr>
              <w:spacing w:line="360" w:lineRule="auto"/>
              <w:ind w:firstLine="240" w:firstLineChars="100"/>
              <w:rPr>
                <w:rFonts w:hint="eastAsia" w:ascii="宋体" w:hAnsi="宋体" w:eastAsia="宋体"/>
                <w:sz w:val="24"/>
              </w:rPr>
            </w:pPr>
            <w:r>
              <w:rPr>
                <w:rFonts w:hint="eastAsia" w:ascii="宋体" w:hAnsi="宋体" w:eastAsia="宋体"/>
                <w:sz w:val="24"/>
              </w:rPr>
              <w:t>对中心重要业务系统安全攻击日志进行分析，研判攻击是否成功，是否对业务系统造成影响，分析攻击路径以及是否有利用的漏洞。</w:t>
            </w:r>
          </w:p>
          <w:p w14:paraId="0C46FD66">
            <w:pPr>
              <w:spacing w:line="360" w:lineRule="auto"/>
              <w:rPr>
                <w:rFonts w:hint="eastAsia" w:ascii="宋体" w:hAnsi="宋体" w:eastAsia="宋体"/>
                <w:sz w:val="24"/>
              </w:rPr>
            </w:pPr>
            <w:r>
              <w:rPr>
                <w:rFonts w:hint="eastAsia" w:ascii="宋体" w:hAnsi="宋体" w:eastAsia="宋体"/>
                <w:sz w:val="24"/>
              </w:rPr>
              <w:t>4.应急响应服务</w:t>
            </w:r>
          </w:p>
          <w:p w14:paraId="5D34B7CF">
            <w:pPr>
              <w:spacing w:line="360" w:lineRule="auto"/>
              <w:rPr>
                <w:rFonts w:hint="eastAsia" w:ascii="宋体" w:hAnsi="宋体" w:eastAsia="宋体"/>
                <w:sz w:val="24"/>
              </w:rPr>
            </w:pPr>
            <w:r>
              <w:rPr>
                <w:rFonts w:hint="eastAsia" w:ascii="宋体" w:hAnsi="宋体" w:eastAsia="宋体"/>
                <w:sz w:val="24"/>
              </w:rPr>
              <w:t>（1）当用户单位日常发生网络安全事件（信息系统遭受攻击、网络病毒爆发等）需要处置时，安全服务专家必须在1小时内到达用户现场开展应急处置工作，协助用户单位处理安全问题。</w:t>
            </w:r>
          </w:p>
          <w:p w14:paraId="32D0928D">
            <w:pPr>
              <w:spacing w:line="360" w:lineRule="auto"/>
              <w:rPr>
                <w:rFonts w:hint="eastAsia" w:ascii="宋体" w:hAnsi="宋体" w:eastAsia="宋体"/>
                <w:sz w:val="24"/>
              </w:rPr>
            </w:pPr>
            <w:r>
              <w:rPr>
                <w:rFonts w:hint="eastAsia" w:ascii="宋体" w:hAnsi="宋体" w:eastAsia="宋体"/>
                <w:sz w:val="24"/>
              </w:rPr>
              <w:t>（2）事件处置完成后提供事件分析处理报告，对事件内容进行详细说明，包括安全风险、安全事件描述、危害性、原因、排查过程、处置加固方法等。</w:t>
            </w:r>
          </w:p>
          <w:p w14:paraId="1724C2DD">
            <w:pPr>
              <w:spacing w:line="360" w:lineRule="auto"/>
              <w:rPr>
                <w:rFonts w:hint="eastAsia" w:ascii="宋体" w:hAnsi="宋体" w:eastAsia="宋体"/>
                <w:sz w:val="24"/>
                <w:lang w:val="zh-CN"/>
              </w:rPr>
            </w:pPr>
            <w:r>
              <w:rPr>
                <w:rFonts w:hint="eastAsia" w:ascii="宋体" w:hAnsi="宋体" w:eastAsia="宋体"/>
                <w:sz w:val="24"/>
              </w:rPr>
              <w:t>5.安全培训与应急演练服务</w:t>
            </w:r>
          </w:p>
          <w:p w14:paraId="03404FDF">
            <w:pPr>
              <w:spacing w:line="360" w:lineRule="auto"/>
              <w:ind w:firstLine="240" w:firstLineChars="100"/>
              <w:rPr>
                <w:rFonts w:hint="eastAsia" w:ascii="宋体" w:hAnsi="宋体" w:eastAsia="宋体"/>
                <w:sz w:val="24"/>
              </w:rPr>
            </w:pPr>
            <w:r>
              <w:rPr>
                <w:rFonts w:hint="eastAsia" w:ascii="宋体" w:hAnsi="宋体" w:eastAsia="宋体"/>
                <w:sz w:val="24"/>
              </w:rPr>
              <w:t>服务方通过专业的培训团队，根据用户要求为用户单位安全专业技术人员提供1次网络安全专项技术培训和1次网络安全应急演练支撑服务。</w:t>
            </w:r>
          </w:p>
          <w:p w14:paraId="4CAE60B8">
            <w:pPr>
              <w:spacing w:line="360" w:lineRule="auto"/>
              <w:rPr>
                <w:rFonts w:hint="eastAsia" w:ascii="宋体" w:hAnsi="宋体" w:eastAsia="宋体"/>
                <w:sz w:val="24"/>
              </w:rPr>
            </w:pPr>
            <w:r>
              <w:rPr>
                <w:rFonts w:hint="eastAsia" w:ascii="宋体" w:hAnsi="宋体" w:eastAsia="宋体"/>
                <w:sz w:val="24"/>
              </w:rPr>
              <w:t>6.安全运营服务</w:t>
            </w:r>
          </w:p>
          <w:p w14:paraId="4EE3E433">
            <w:pPr>
              <w:spacing w:line="360" w:lineRule="auto"/>
              <w:ind w:firstLine="240" w:firstLineChars="100"/>
              <w:rPr>
                <w:rFonts w:hint="eastAsia" w:ascii="宋体" w:hAnsi="宋体" w:eastAsia="宋体"/>
                <w:sz w:val="24"/>
              </w:rPr>
            </w:pPr>
            <w:r>
              <w:rPr>
                <w:rFonts w:hint="eastAsia" w:ascii="宋体" w:hAnsi="宋体" w:eastAsia="宋体"/>
                <w:sz w:val="24"/>
              </w:rPr>
              <w:t>提供对不少于5个核心资产的7*24小时在线安全托管服务，相关资产通过安全组件接入供应商免费提供的安全托管服务平台，为采购方提供专属的主动、快速的安全事件处置服务。</w:t>
            </w:r>
          </w:p>
          <w:p w14:paraId="3800F81B">
            <w:pPr>
              <w:spacing w:line="360" w:lineRule="auto"/>
              <w:rPr>
                <w:rFonts w:hint="eastAsia" w:ascii="宋体" w:hAnsi="宋体" w:eastAsia="宋体"/>
                <w:sz w:val="24"/>
              </w:rPr>
            </w:pPr>
            <w:r>
              <w:rPr>
                <w:rFonts w:hint="eastAsia" w:ascii="宋体" w:hAnsi="宋体" w:eastAsia="宋体"/>
                <w:sz w:val="24"/>
              </w:rPr>
              <w:t>7.设备组件服务</w:t>
            </w:r>
          </w:p>
          <w:p w14:paraId="6B378FF6">
            <w:pPr>
              <w:spacing w:line="360" w:lineRule="auto"/>
              <w:ind w:firstLine="240" w:firstLineChars="100"/>
              <w:rPr>
                <w:rFonts w:hint="eastAsia" w:ascii="宋体" w:hAnsi="宋体" w:eastAsia="宋体"/>
                <w:sz w:val="24"/>
              </w:rPr>
            </w:pPr>
            <w:r>
              <w:rPr>
                <w:rFonts w:hint="eastAsia" w:ascii="宋体" w:hAnsi="宋体" w:eastAsia="宋体"/>
                <w:sz w:val="24"/>
              </w:rPr>
              <w:t>服务期内提供免费的安全监测工具，为采购方提供智能、精准、高效的全流量威胁分析服务，工具使用权归采购方，产权归供应商。</w:t>
            </w:r>
          </w:p>
        </w:tc>
      </w:tr>
      <w:tr w14:paraId="3497B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1338" w:type="dxa"/>
            <w:vAlign w:val="center"/>
          </w:tcPr>
          <w:p w14:paraId="70B6D9B7">
            <w:pPr>
              <w:spacing w:line="360" w:lineRule="auto"/>
              <w:rPr>
                <w:rFonts w:hint="eastAsia" w:ascii="宋体" w:hAnsi="宋体" w:eastAsia="宋体"/>
                <w:sz w:val="24"/>
              </w:rPr>
            </w:pPr>
            <w:r>
              <w:rPr>
                <w:rFonts w:hint="eastAsia" w:ascii="宋体" w:hAnsi="宋体" w:eastAsia="宋体"/>
                <w:sz w:val="24"/>
              </w:rPr>
              <w:t>服务质量要求</w:t>
            </w:r>
          </w:p>
        </w:tc>
        <w:tc>
          <w:tcPr>
            <w:tcW w:w="6958" w:type="dxa"/>
          </w:tcPr>
          <w:p w14:paraId="562152C6">
            <w:pPr>
              <w:spacing w:line="360" w:lineRule="auto"/>
              <w:rPr>
                <w:rFonts w:hint="eastAsia" w:ascii="宋体" w:hAnsi="宋体" w:eastAsia="宋体"/>
                <w:sz w:val="24"/>
              </w:rPr>
            </w:pPr>
            <w:r>
              <w:rPr>
                <w:rFonts w:hint="eastAsia" w:ascii="宋体" w:hAnsi="宋体" w:eastAsia="宋体"/>
                <w:sz w:val="24"/>
              </w:rPr>
              <w:t>1、根据用户需要及时完成服务协议所包括的技术服务。</w:t>
            </w:r>
          </w:p>
          <w:p w14:paraId="64F406DC">
            <w:pPr>
              <w:spacing w:line="360" w:lineRule="auto"/>
              <w:rPr>
                <w:rFonts w:hint="eastAsia" w:ascii="宋体" w:hAnsi="宋体" w:eastAsia="宋体"/>
                <w:sz w:val="24"/>
              </w:rPr>
            </w:pPr>
            <w:r>
              <w:rPr>
                <w:rFonts w:hint="eastAsia" w:ascii="宋体" w:hAnsi="宋体" w:eastAsia="宋体"/>
                <w:sz w:val="24"/>
              </w:rPr>
              <w:t>2、帮助采购单位完成相关设备和系统的首次配置和部署，以达到正常工作状态。</w:t>
            </w:r>
          </w:p>
          <w:p w14:paraId="08ADEEC3">
            <w:pPr>
              <w:spacing w:line="360" w:lineRule="auto"/>
              <w:rPr>
                <w:rFonts w:hint="eastAsia" w:ascii="宋体" w:hAnsi="宋体" w:eastAsia="宋体"/>
                <w:sz w:val="24"/>
              </w:rPr>
            </w:pPr>
            <w:r>
              <w:rPr>
                <w:rFonts w:hint="eastAsia" w:ascii="宋体" w:hAnsi="宋体" w:eastAsia="宋体"/>
                <w:sz w:val="24"/>
              </w:rPr>
              <w:t>3、</w:t>
            </w:r>
            <w:bookmarkStart w:id="1" w:name="_Hlk121839775"/>
            <w:r>
              <w:rPr>
                <w:rFonts w:hint="eastAsia" w:ascii="宋体" w:hAnsi="宋体" w:eastAsia="宋体"/>
                <w:sz w:val="24"/>
              </w:rPr>
              <w:t>一般网络故障：1小时内响应，2小时内到达现场；重要网络故障（比如核心交换机、干线光缆、核心业务系统服务器、防火墙故障等）：30分钟内响应，1小时内到达现场。</w:t>
            </w:r>
            <w:bookmarkEnd w:id="1"/>
          </w:p>
        </w:tc>
      </w:tr>
    </w:tbl>
    <w:p w14:paraId="6AA239E2">
      <w:pPr>
        <w:wordWrap w:val="0"/>
        <w:spacing w:line="440" w:lineRule="exact"/>
        <w:ind w:firstLine="437"/>
        <w:rPr>
          <w:rFonts w:ascii="宋体" w:hAnsi="宋体" w:eastAsia="宋体"/>
          <w:b/>
          <w:sz w:val="28"/>
          <w:szCs w:val="28"/>
        </w:rPr>
      </w:pPr>
      <w:r>
        <w:rPr>
          <w:rFonts w:hint="eastAsia" w:ascii="宋体" w:hAnsi="宋体" w:eastAsia="宋体"/>
          <w:b/>
          <w:sz w:val="28"/>
          <w:szCs w:val="28"/>
        </w:rPr>
        <w:t>三、报价要求</w:t>
      </w:r>
    </w:p>
    <w:p w14:paraId="525440DE">
      <w:r>
        <w:rPr>
          <w:rFonts w:hint="eastAsia" w:ascii="宋体" w:hAnsi="宋体" w:eastAsia="宋体"/>
          <w:b w:val="0"/>
          <w:bCs/>
          <w:sz w:val="24"/>
          <w:szCs w:val="24"/>
        </w:rPr>
        <w:t>本项目报总价，报价包含完成本项目所需的全部费用，成交后采购人不再增加任何费用。</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43E29"/>
    <w:rsid w:val="05E43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2025-06-16T02:03:00Z</dcterms:created>
  <dc:creator>森</dc:creator>
  <cp:lastModifiedBy>森</cp:lastModifiedBy>
  <dcterms:modified xsi:type="dcterms:W3CDTF">2025-06-16T02:03:37Z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B2413D207B6A4959A5AC72053D94F125_11</vt:lpwstr>
  </property>
  <property fmtid="{D5CDD505-2E9C-101B-9397-08002B2CF9AE}" pid="4" name="KSOTemplateDocerSaveRecord">
    <vt:lpwstr>eyJoZGlkIjoiOTc3M2Y5NzIzMDFlZjAyY2Q4Njk5ODkyYjFjNzBiNTQiLCJ1c2VySWQiOiI0MzAwMTYzNzkifQ==</vt:lpwstr>
  </property>
</Properties>
</file>