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CA200D">
      <w:pPr>
        <w:spacing w:line="360" w:lineRule="auto"/>
        <w:jc w:val="center"/>
        <w:outlineLvl w:val="1"/>
        <w:rPr>
          <w:rFonts w:hint="eastAsia" w:ascii="仿宋" w:hAnsi="仿宋" w:eastAsia="仿宋" w:cs="仿宋"/>
          <w:b/>
          <w:sz w:val="28"/>
        </w:rPr>
      </w:pPr>
      <w:bookmarkStart w:id="0" w:name="_Toc25969"/>
      <w:r>
        <w:rPr>
          <w:rFonts w:hint="eastAsia" w:ascii="仿宋" w:hAnsi="仿宋" w:eastAsia="仿宋" w:cs="仿宋"/>
          <w:b/>
          <w:sz w:val="28"/>
        </w:rPr>
        <w:t>第三章  采购需求</w:t>
      </w:r>
      <w:bookmarkEnd w:id="0"/>
    </w:p>
    <w:p w14:paraId="24DF09E1">
      <w:pPr>
        <w:spacing w:line="360" w:lineRule="auto"/>
        <w:jc w:val="left"/>
        <w:rPr>
          <w:rFonts w:hint="eastAsia" w:ascii="仿宋" w:hAnsi="仿宋" w:eastAsia="仿宋" w:cs="仿宋"/>
          <w:b/>
          <w:sz w:val="24"/>
          <w:szCs w:val="24"/>
        </w:rPr>
      </w:pPr>
      <w:r>
        <w:rPr>
          <w:rFonts w:hint="eastAsia" w:ascii="仿宋" w:hAnsi="仿宋" w:eastAsia="仿宋" w:cs="仿宋"/>
          <w:b/>
          <w:sz w:val="24"/>
          <w:szCs w:val="24"/>
        </w:rPr>
        <w:t>前注：</w:t>
      </w:r>
    </w:p>
    <w:p w14:paraId="384B3042">
      <w:pPr>
        <w:spacing w:line="360" w:lineRule="auto"/>
        <w:ind w:firstLine="437"/>
        <w:jc w:val="left"/>
        <w:rPr>
          <w:rFonts w:hint="eastAsia" w:ascii="仿宋" w:hAnsi="仿宋" w:eastAsia="仿宋" w:cs="仿宋"/>
          <w:sz w:val="24"/>
          <w:szCs w:val="24"/>
        </w:rPr>
      </w:pPr>
      <w:r>
        <w:rPr>
          <w:rFonts w:hint="eastAsia" w:ascii="仿宋" w:hAnsi="仿宋" w:eastAsia="仿宋" w:cs="仿宋"/>
          <w:sz w:val="24"/>
          <w:szCs w:val="24"/>
        </w:rPr>
        <w:t>本说明中提出的服务方案仅为参考，如无明确限制，参选人可以进行优化，提供满足用户实际需要的更优（或者性能实质上不低于的）服务方案，且此方案须经评审小组评审认可。</w:t>
      </w:r>
    </w:p>
    <w:p w14:paraId="715899BB">
      <w:pPr>
        <w:spacing w:line="360" w:lineRule="auto"/>
        <w:ind w:firstLine="437"/>
        <w:rPr>
          <w:rFonts w:hint="eastAsia" w:ascii="仿宋" w:hAnsi="仿宋" w:eastAsia="仿宋" w:cs="仿宋"/>
          <w:sz w:val="24"/>
          <w:szCs w:val="24"/>
        </w:rPr>
      </w:pPr>
    </w:p>
    <w:p w14:paraId="66F484DC">
      <w:pPr>
        <w:spacing w:line="360" w:lineRule="auto"/>
        <w:ind w:firstLine="437"/>
        <w:jc w:val="left"/>
        <w:rPr>
          <w:rFonts w:hint="eastAsia" w:ascii="仿宋" w:hAnsi="仿宋" w:eastAsia="仿宋" w:cs="仿宋"/>
          <w:b/>
          <w:sz w:val="24"/>
          <w:szCs w:val="18"/>
        </w:rPr>
      </w:pPr>
      <w:r>
        <w:rPr>
          <w:rFonts w:hint="eastAsia" w:ascii="仿宋" w:hAnsi="仿宋" w:eastAsia="仿宋" w:cs="仿宋"/>
          <w:b/>
          <w:sz w:val="24"/>
          <w:szCs w:val="24"/>
        </w:rPr>
        <w:br w:type="page"/>
      </w:r>
      <w:r>
        <w:rPr>
          <w:rFonts w:hint="eastAsia" w:ascii="仿宋" w:hAnsi="仿宋" w:eastAsia="仿宋" w:cs="仿宋"/>
          <w:b/>
          <w:sz w:val="24"/>
          <w:szCs w:val="18"/>
        </w:rPr>
        <w:t>一、采购需求前附表</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4"/>
        <w:gridCol w:w="1880"/>
        <w:gridCol w:w="5611"/>
      </w:tblGrid>
      <w:tr w14:paraId="3B9916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1B22C27A">
            <w:pPr>
              <w:pStyle w:val="6"/>
              <w:pBdr>
                <w:bottom w:val="none" w:color="auto" w:sz="0" w:space="0"/>
              </w:pBdr>
              <w:tabs>
                <w:tab w:val="clear" w:pos="4153"/>
                <w:tab w:val="clear" w:pos="8306"/>
              </w:tabs>
              <w:adjustRightInd/>
              <w:spacing w:line="360" w:lineRule="auto"/>
              <w:textAlignment w:val="auto"/>
              <w:rPr>
                <w:rFonts w:hint="eastAsia" w:ascii="仿宋" w:hAnsi="仿宋" w:eastAsia="仿宋" w:cs="仿宋"/>
                <w:b/>
                <w:kern w:val="2"/>
              </w:rPr>
            </w:pPr>
            <w:r>
              <w:rPr>
                <w:rFonts w:hint="eastAsia" w:ascii="仿宋" w:hAnsi="仿宋" w:eastAsia="仿宋" w:cs="仿宋"/>
                <w:b/>
                <w:kern w:val="2"/>
              </w:rPr>
              <w:t>序号</w:t>
            </w:r>
          </w:p>
        </w:tc>
        <w:tc>
          <w:tcPr>
            <w:tcW w:w="1880" w:type="dxa"/>
            <w:noWrap w:val="0"/>
            <w:vAlign w:val="center"/>
          </w:tcPr>
          <w:p w14:paraId="77128A3C">
            <w:pPr>
              <w:pStyle w:val="7"/>
              <w:widowControl w:val="0"/>
              <w:spacing w:before="0" w:beforeAutospacing="0" w:after="0" w:afterAutospacing="0" w:line="360" w:lineRule="auto"/>
              <w:rPr>
                <w:rFonts w:hint="eastAsia" w:ascii="仿宋" w:hAnsi="仿宋" w:eastAsia="仿宋" w:cs="仿宋"/>
                <w:bCs w:val="0"/>
                <w:sz w:val="24"/>
              </w:rPr>
            </w:pPr>
            <w:r>
              <w:rPr>
                <w:rFonts w:hint="eastAsia" w:ascii="仿宋" w:hAnsi="仿宋" w:eastAsia="仿宋" w:cs="仿宋"/>
                <w:bCs w:val="0"/>
                <w:sz w:val="24"/>
              </w:rPr>
              <w:t>内容</w:t>
            </w:r>
          </w:p>
        </w:tc>
        <w:tc>
          <w:tcPr>
            <w:tcW w:w="5611" w:type="dxa"/>
            <w:noWrap w:val="0"/>
            <w:vAlign w:val="center"/>
          </w:tcPr>
          <w:p w14:paraId="2805169C">
            <w:pPr>
              <w:pStyle w:val="7"/>
              <w:widowControl w:val="0"/>
              <w:spacing w:before="0" w:beforeAutospacing="0" w:after="0" w:afterAutospacing="0" w:line="360" w:lineRule="auto"/>
              <w:rPr>
                <w:rFonts w:hint="eastAsia" w:ascii="仿宋" w:hAnsi="仿宋" w:eastAsia="仿宋" w:cs="仿宋"/>
                <w:bCs w:val="0"/>
                <w:sz w:val="24"/>
              </w:rPr>
            </w:pPr>
            <w:r>
              <w:rPr>
                <w:rFonts w:hint="eastAsia" w:ascii="仿宋" w:hAnsi="仿宋" w:eastAsia="仿宋" w:cs="仿宋"/>
                <w:bCs w:val="0"/>
                <w:sz w:val="24"/>
              </w:rPr>
              <w:t>说明与要求</w:t>
            </w:r>
          </w:p>
        </w:tc>
      </w:tr>
      <w:tr w14:paraId="5BD24B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04" w:type="dxa"/>
            <w:noWrap w:val="0"/>
            <w:vAlign w:val="center"/>
          </w:tcPr>
          <w:p w14:paraId="64FC5799">
            <w:pPr>
              <w:pStyle w:val="6"/>
              <w:pBdr>
                <w:bottom w:val="none" w:color="auto" w:sz="0" w:space="0"/>
              </w:pBdr>
              <w:tabs>
                <w:tab w:val="clear" w:pos="4153"/>
                <w:tab w:val="clear" w:pos="8306"/>
              </w:tabs>
              <w:adjustRightInd/>
              <w:spacing w:line="360" w:lineRule="auto"/>
              <w:textAlignment w:val="auto"/>
              <w:rPr>
                <w:rFonts w:hint="eastAsia" w:ascii="仿宋" w:hAnsi="仿宋" w:eastAsia="仿宋" w:cs="仿宋"/>
                <w:bCs/>
                <w:kern w:val="2"/>
              </w:rPr>
            </w:pPr>
            <w:r>
              <w:rPr>
                <w:rFonts w:hint="eastAsia" w:ascii="仿宋" w:hAnsi="仿宋" w:eastAsia="仿宋" w:cs="仿宋"/>
                <w:bCs/>
                <w:kern w:val="2"/>
              </w:rPr>
              <w:t>1</w:t>
            </w:r>
          </w:p>
        </w:tc>
        <w:tc>
          <w:tcPr>
            <w:tcW w:w="1880" w:type="dxa"/>
            <w:noWrap w:val="0"/>
            <w:vAlign w:val="center"/>
          </w:tcPr>
          <w:p w14:paraId="113DD506">
            <w:pPr>
              <w:pStyle w:val="7"/>
              <w:widowControl w:val="0"/>
              <w:spacing w:before="0" w:beforeAutospacing="0" w:after="0" w:afterAutospacing="0" w:line="360" w:lineRule="auto"/>
              <w:rPr>
                <w:rFonts w:hint="eastAsia" w:ascii="仿宋" w:hAnsi="仿宋" w:eastAsia="仿宋" w:cs="仿宋"/>
                <w:b w:val="0"/>
                <w:sz w:val="24"/>
              </w:rPr>
            </w:pPr>
            <w:r>
              <w:rPr>
                <w:rFonts w:hint="eastAsia" w:ascii="仿宋" w:hAnsi="仿宋" w:eastAsia="仿宋" w:cs="仿宋"/>
                <w:b w:val="0"/>
                <w:sz w:val="24"/>
              </w:rPr>
              <w:t>付款方式</w:t>
            </w:r>
          </w:p>
        </w:tc>
        <w:tc>
          <w:tcPr>
            <w:tcW w:w="5611" w:type="dxa"/>
            <w:noWrap w:val="0"/>
            <w:vAlign w:val="center"/>
          </w:tcPr>
          <w:p w14:paraId="40C57CBF">
            <w:pPr>
              <w:pStyle w:val="7"/>
              <w:widowControl w:val="0"/>
              <w:spacing w:before="0" w:beforeAutospacing="0" w:after="0" w:afterAutospacing="0" w:line="360" w:lineRule="auto"/>
              <w:jc w:val="both"/>
              <w:rPr>
                <w:rFonts w:hint="eastAsia" w:ascii="仿宋" w:hAnsi="仿宋" w:eastAsia="仿宋" w:cs="仿宋"/>
                <w:b w:val="0"/>
                <w:sz w:val="24"/>
              </w:rPr>
            </w:pPr>
            <w:r>
              <w:rPr>
                <w:rFonts w:hint="eastAsia" w:ascii="仿宋" w:hAnsi="仿宋" w:eastAsia="仿宋" w:cs="仿宋"/>
                <w:b w:val="0"/>
                <w:sz w:val="24"/>
              </w:rPr>
              <w:t>采用据实结算方式。即服务完成后，最终结算费用按照已扫描的条码号记录进行实际结算。</w:t>
            </w:r>
          </w:p>
        </w:tc>
      </w:tr>
      <w:tr w14:paraId="35E539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08E28630">
            <w:pPr>
              <w:pStyle w:val="6"/>
              <w:pBdr>
                <w:bottom w:val="none" w:color="auto" w:sz="0" w:space="0"/>
              </w:pBdr>
              <w:tabs>
                <w:tab w:val="clear" w:pos="4153"/>
                <w:tab w:val="clear" w:pos="8306"/>
              </w:tabs>
              <w:adjustRightInd/>
              <w:spacing w:line="360" w:lineRule="auto"/>
              <w:textAlignment w:val="auto"/>
              <w:rPr>
                <w:rFonts w:hint="eastAsia" w:ascii="仿宋" w:hAnsi="仿宋" w:eastAsia="仿宋" w:cs="仿宋"/>
                <w:bCs/>
                <w:kern w:val="2"/>
              </w:rPr>
            </w:pPr>
            <w:r>
              <w:rPr>
                <w:rFonts w:hint="eastAsia" w:ascii="仿宋" w:hAnsi="仿宋" w:eastAsia="仿宋" w:cs="仿宋"/>
                <w:bCs/>
                <w:kern w:val="2"/>
              </w:rPr>
              <w:t>2</w:t>
            </w:r>
          </w:p>
        </w:tc>
        <w:tc>
          <w:tcPr>
            <w:tcW w:w="1880" w:type="dxa"/>
            <w:noWrap w:val="0"/>
            <w:vAlign w:val="center"/>
          </w:tcPr>
          <w:p w14:paraId="61F6CA54">
            <w:pPr>
              <w:pStyle w:val="7"/>
              <w:widowControl w:val="0"/>
              <w:spacing w:before="0" w:beforeAutospacing="0" w:after="0" w:afterAutospacing="0" w:line="360" w:lineRule="auto"/>
              <w:rPr>
                <w:rFonts w:hint="eastAsia" w:ascii="仿宋" w:hAnsi="仿宋" w:eastAsia="仿宋" w:cs="仿宋"/>
                <w:b w:val="0"/>
                <w:sz w:val="24"/>
              </w:rPr>
            </w:pPr>
            <w:r>
              <w:rPr>
                <w:rFonts w:hint="eastAsia" w:ascii="仿宋" w:hAnsi="仿宋" w:eastAsia="仿宋" w:cs="仿宋"/>
                <w:b w:val="0"/>
                <w:sz w:val="24"/>
              </w:rPr>
              <w:t>服务地点</w:t>
            </w:r>
          </w:p>
        </w:tc>
        <w:tc>
          <w:tcPr>
            <w:tcW w:w="5611" w:type="dxa"/>
            <w:noWrap w:val="0"/>
            <w:vAlign w:val="center"/>
          </w:tcPr>
          <w:p w14:paraId="0A2D6D0B">
            <w:pPr>
              <w:pStyle w:val="7"/>
              <w:widowControl w:val="0"/>
              <w:spacing w:before="0" w:beforeAutospacing="0" w:after="0" w:afterAutospacing="0" w:line="360" w:lineRule="auto"/>
              <w:jc w:val="both"/>
              <w:rPr>
                <w:rFonts w:hint="eastAsia" w:ascii="仿宋" w:hAnsi="仿宋" w:eastAsia="仿宋" w:cs="仿宋"/>
                <w:b w:val="0"/>
                <w:sz w:val="24"/>
              </w:rPr>
            </w:pPr>
            <w:r>
              <w:rPr>
                <w:rFonts w:hint="eastAsia" w:ascii="仿宋" w:hAnsi="仿宋" w:eastAsia="仿宋" w:cs="仿宋"/>
                <w:b w:val="0"/>
                <w:sz w:val="24"/>
              </w:rPr>
              <w:t>安徽医科大学或比选人指定地点。</w:t>
            </w:r>
          </w:p>
        </w:tc>
      </w:tr>
      <w:tr w14:paraId="759DD8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jc w:val="center"/>
        </w:trPr>
        <w:tc>
          <w:tcPr>
            <w:tcW w:w="1004" w:type="dxa"/>
            <w:noWrap w:val="0"/>
            <w:vAlign w:val="center"/>
          </w:tcPr>
          <w:p w14:paraId="1895199B">
            <w:pPr>
              <w:pStyle w:val="6"/>
              <w:pBdr>
                <w:bottom w:val="none" w:color="auto" w:sz="0" w:space="0"/>
              </w:pBdr>
              <w:tabs>
                <w:tab w:val="clear" w:pos="4153"/>
                <w:tab w:val="clear" w:pos="8306"/>
              </w:tabs>
              <w:adjustRightInd/>
              <w:spacing w:line="360" w:lineRule="auto"/>
              <w:textAlignment w:val="auto"/>
              <w:rPr>
                <w:rFonts w:hint="eastAsia" w:ascii="仿宋" w:hAnsi="仿宋" w:eastAsia="仿宋" w:cs="仿宋"/>
                <w:bCs/>
                <w:kern w:val="2"/>
              </w:rPr>
            </w:pPr>
            <w:r>
              <w:rPr>
                <w:rFonts w:hint="eastAsia" w:ascii="仿宋" w:hAnsi="仿宋" w:eastAsia="仿宋" w:cs="仿宋"/>
                <w:bCs/>
                <w:kern w:val="2"/>
              </w:rPr>
              <w:t>3</w:t>
            </w:r>
          </w:p>
        </w:tc>
        <w:tc>
          <w:tcPr>
            <w:tcW w:w="1880" w:type="dxa"/>
            <w:noWrap w:val="0"/>
            <w:vAlign w:val="center"/>
          </w:tcPr>
          <w:p w14:paraId="3E8AEBC6">
            <w:pPr>
              <w:pStyle w:val="7"/>
              <w:widowControl w:val="0"/>
              <w:spacing w:before="0" w:beforeAutospacing="0" w:after="0" w:afterAutospacing="0" w:line="360" w:lineRule="auto"/>
              <w:rPr>
                <w:rFonts w:hint="eastAsia" w:ascii="仿宋" w:hAnsi="仿宋" w:eastAsia="仿宋" w:cs="仿宋"/>
                <w:b w:val="0"/>
                <w:sz w:val="24"/>
              </w:rPr>
            </w:pPr>
            <w:r>
              <w:rPr>
                <w:rFonts w:hint="eastAsia" w:ascii="仿宋" w:hAnsi="仿宋" w:eastAsia="仿宋" w:cs="仿宋"/>
                <w:b w:val="0"/>
                <w:sz w:val="24"/>
              </w:rPr>
              <w:t>服务期限</w:t>
            </w:r>
          </w:p>
        </w:tc>
        <w:tc>
          <w:tcPr>
            <w:tcW w:w="5611" w:type="dxa"/>
            <w:noWrap w:val="0"/>
            <w:vAlign w:val="center"/>
          </w:tcPr>
          <w:p w14:paraId="35A012EF">
            <w:pPr>
              <w:pStyle w:val="2"/>
              <w:spacing w:line="360" w:lineRule="auto"/>
              <w:rPr>
                <w:rFonts w:hint="eastAsia" w:ascii="仿宋" w:hAnsi="仿宋" w:eastAsia="仿宋" w:cs="仿宋"/>
                <w:b/>
                <w:sz w:val="24"/>
              </w:rPr>
            </w:pPr>
            <w:r>
              <w:rPr>
                <w:rFonts w:hint="eastAsia" w:ascii="仿宋" w:hAnsi="仿宋" w:eastAsia="仿宋" w:cs="仿宋"/>
                <w:sz w:val="24"/>
                <w:szCs w:val="24"/>
              </w:rPr>
              <w:t>自合同签订之日起至2025年9月30日完成本项目服务内容。</w:t>
            </w:r>
          </w:p>
        </w:tc>
      </w:tr>
    </w:tbl>
    <w:p w14:paraId="74B27F89">
      <w:pPr>
        <w:spacing w:line="360" w:lineRule="auto"/>
        <w:ind w:firstLine="482" w:firstLineChars="200"/>
        <w:rPr>
          <w:rFonts w:hint="eastAsia" w:ascii="仿宋" w:hAnsi="仿宋" w:eastAsia="仿宋" w:cs="仿宋"/>
          <w:b/>
          <w:bCs/>
          <w:sz w:val="24"/>
          <w:szCs w:val="24"/>
        </w:rPr>
      </w:pPr>
      <w:r>
        <w:rPr>
          <w:rFonts w:hint="eastAsia" w:ascii="仿宋" w:hAnsi="仿宋" w:eastAsia="仿宋" w:cs="仿宋"/>
          <w:b/>
          <w:bCs/>
          <w:sz w:val="24"/>
          <w:szCs w:val="24"/>
        </w:rPr>
        <w:t>二、服务内容</w:t>
      </w:r>
    </w:p>
    <w:p w14:paraId="2740036A">
      <w:pPr>
        <w:pStyle w:val="8"/>
        <w:spacing w:line="360" w:lineRule="auto"/>
        <w:ind w:left="433" w:leftChars="206" w:firstLine="70" w:firstLineChars="29"/>
        <w:rPr>
          <w:rFonts w:hint="eastAsia" w:ascii="仿宋" w:hAnsi="仿宋" w:eastAsia="仿宋" w:cs="仿宋"/>
          <w:sz w:val="24"/>
          <w:szCs w:val="24"/>
        </w:rPr>
      </w:pPr>
      <w:r>
        <w:rPr>
          <w:rFonts w:hint="eastAsia" w:ascii="仿宋" w:hAnsi="仿宋" w:eastAsia="仿宋" w:cs="仿宋"/>
          <w:b/>
          <w:sz w:val="24"/>
          <w:szCs w:val="24"/>
        </w:rPr>
        <w:t>项目要求：</w:t>
      </w:r>
    </w:p>
    <w:p w14:paraId="4A2B62DD">
      <w:pPr>
        <w:pStyle w:val="8"/>
        <w:spacing w:line="360" w:lineRule="auto"/>
        <w:ind w:firstLine="480"/>
        <w:rPr>
          <w:rFonts w:hint="eastAsia" w:ascii="仿宋" w:hAnsi="仿宋" w:eastAsia="仿宋" w:cs="仿宋"/>
          <w:sz w:val="24"/>
          <w:szCs w:val="24"/>
        </w:rPr>
      </w:pPr>
      <w:r>
        <w:rPr>
          <w:rFonts w:hint="eastAsia" w:ascii="仿宋" w:hAnsi="仿宋" w:eastAsia="仿宋" w:cs="仿宋"/>
          <w:sz w:val="24"/>
          <w:szCs w:val="24"/>
        </w:rPr>
        <w:t>1.图书按照馆里老师的指导方案按种类抽取出来（按库室、按年限，分块抽取，本馆图书侧标有年限）。</w:t>
      </w:r>
    </w:p>
    <w:p w14:paraId="7EAFF72A">
      <w:pPr>
        <w:pStyle w:val="8"/>
        <w:spacing w:line="360" w:lineRule="auto"/>
        <w:ind w:firstLine="480"/>
        <w:rPr>
          <w:rFonts w:hint="eastAsia" w:ascii="仿宋" w:hAnsi="仿宋" w:eastAsia="仿宋" w:cs="仿宋"/>
          <w:sz w:val="24"/>
          <w:szCs w:val="24"/>
        </w:rPr>
      </w:pPr>
      <w:r>
        <w:rPr>
          <w:rFonts w:ascii="仿宋" w:hAnsi="仿宋" w:eastAsia="仿宋" w:cs="仿宋"/>
          <w:sz w:val="24"/>
          <w:szCs w:val="24"/>
        </w:rPr>
        <w:t>2.</w:t>
      </w:r>
      <w:r>
        <w:rPr>
          <w:rFonts w:hint="eastAsia" w:ascii="仿宋" w:hAnsi="仿宋" w:eastAsia="仿宋" w:cs="仿宋"/>
          <w:sz w:val="24"/>
          <w:szCs w:val="24"/>
        </w:rPr>
        <w:t>抽下来的书需要用电脑扫描记录每本图书的条码号（准确率须达到1</w:t>
      </w:r>
      <w:r>
        <w:rPr>
          <w:rFonts w:ascii="仿宋" w:hAnsi="仿宋" w:eastAsia="仿宋" w:cs="仿宋"/>
          <w:sz w:val="24"/>
          <w:szCs w:val="24"/>
        </w:rPr>
        <w:t>00%</w:t>
      </w:r>
      <w:r>
        <w:rPr>
          <w:rFonts w:hint="eastAsia" w:ascii="仿宋" w:hAnsi="仿宋" w:eastAsia="仿宋" w:cs="仿宋"/>
          <w:sz w:val="24"/>
          <w:szCs w:val="24"/>
        </w:rPr>
        <w:t>），记录汇总给馆里。</w:t>
      </w:r>
    </w:p>
    <w:p w14:paraId="42721DD7">
      <w:pPr>
        <w:pStyle w:val="8"/>
        <w:spacing w:line="360" w:lineRule="auto"/>
        <w:ind w:firstLine="480"/>
        <w:rPr>
          <w:rFonts w:hint="eastAsia" w:ascii="仿宋" w:hAnsi="仿宋" w:eastAsia="仿宋" w:cs="仿宋"/>
          <w:sz w:val="24"/>
          <w:szCs w:val="24"/>
        </w:rPr>
      </w:pPr>
      <w:r>
        <w:rPr>
          <w:rFonts w:ascii="仿宋" w:hAnsi="仿宋" w:eastAsia="仿宋" w:cs="仿宋"/>
          <w:sz w:val="24"/>
          <w:szCs w:val="24"/>
        </w:rPr>
        <w:t>3.</w:t>
      </w:r>
      <w:r>
        <w:rPr>
          <w:rFonts w:hint="eastAsia" w:ascii="仿宋" w:hAnsi="仿宋" w:eastAsia="仿宋" w:cs="仿宋"/>
          <w:sz w:val="24"/>
          <w:szCs w:val="24"/>
        </w:rPr>
        <w:t>已扫描好的图书进行打捆，等各个库室书全部清点捆扎完毕后，分种类运至新医科图书馆指定位置。</w:t>
      </w:r>
    </w:p>
    <w:p w14:paraId="74E92ED7">
      <w:pPr>
        <w:pStyle w:val="8"/>
        <w:spacing w:line="360" w:lineRule="auto"/>
        <w:ind w:firstLine="480"/>
        <w:rPr>
          <w:rFonts w:hint="eastAsia" w:ascii="仿宋" w:hAnsi="仿宋" w:eastAsia="仿宋" w:cs="仿宋"/>
          <w:sz w:val="24"/>
          <w:szCs w:val="24"/>
        </w:rPr>
      </w:pPr>
      <w:r>
        <w:rPr>
          <w:rFonts w:ascii="仿宋" w:hAnsi="仿宋" w:eastAsia="仿宋" w:cs="仿宋"/>
          <w:sz w:val="24"/>
          <w:szCs w:val="24"/>
        </w:rPr>
        <w:t>4.</w:t>
      </w:r>
      <w:r>
        <w:rPr>
          <w:rFonts w:hint="eastAsia" w:ascii="仿宋" w:hAnsi="仿宋" w:eastAsia="仿宋" w:cs="仿宋"/>
          <w:sz w:val="24"/>
          <w:szCs w:val="24"/>
        </w:rPr>
        <w:t>新医科馆拆包上架（按中图法），图书分布标签由馆内老师提前标记。</w:t>
      </w:r>
    </w:p>
    <w:p w14:paraId="37DBE05C">
      <w:pPr>
        <w:pStyle w:val="8"/>
        <w:spacing w:line="360" w:lineRule="auto"/>
        <w:ind w:firstLine="480"/>
        <w:rPr>
          <w:rFonts w:hint="eastAsia" w:ascii="仿宋" w:hAnsi="仿宋" w:eastAsia="仿宋" w:cs="仿宋"/>
          <w:sz w:val="24"/>
          <w:szCs w:val="24"/>
        </w:rPr>
      </w:pPr>
      <w:r>
        <w:rPr>
          <w:rFonts w:ascii="仿宋" w:hAnsi="仿宋" w:eastAsia="仿宋" w:cs="仿宋"/>
          <w:sz w:val="24"/>
          <w:szCs w:val="24"/>
        </w:rPr>
        <w:t>5.</w:t>
      </w:r>
      <w:r>
        <w:rPr>
          <w:rFonts w:hint="eastAsia" w:ascii="仿宋" w:hAnsi="仿宋" w:eastAsia="仿宋" w:cs="仿宋"/>
          <w:sz w:val="24"/>
          <w:szCs w:val="24"/>
        </w:rPr>
        <w:t>上架完成后需在架细排（按中图法），由馆内老师进行检查，检查结果无误后方可进行下一环节。</w:t>
      </w:r>
    </w:p>
    <w:p w14:paraId="77CF0346">
      <w:pPr>
        <w:pStyle w:val="8"/>
        <w:spacing w:line="360" w:lineRule="auto"/>
        <w:ind w:firstLine="480"/>
        <w:rPr>
          <w:rFonts w:hint="eastAsia" w:ascii="仿宋" w:hAnsi="仿宋" w:eastAsia="仿宋" w:cs="仿宋"/>
          <w:sz w:val="24"/>
          <w:szCs w:val="24"/>
        </w:rPr>
      </w:pPr>
      <w:r>
        <w:rPr>
          <w:rFonts w:hint="eastAsia" w:ascii="仿宋" w:hAnsi="仿宋" w:eastAsia="仿宋" w:cs="仿宋"/>
          <w:sz w:val="24"/>
          <w:szCs w:val="24"/>
        </w:rPr>
        <w:t>6.细排后按照排架号给每本书指定位置贴机打标签（按照采购方要求打印），贴标签后需要胶带覆面。</w:t>
      </w:r>
    </w:p>
    <w:p w14:paraId="547FE3E3">
      <w:pPr>
        <w:pStyle w:val="8"/>
        <w:spacing w:line="360" w:lineRule="auto"/>
        <w:ind w:firstLine="482"/>
        <w:rPr>
          <w:rFonts w:hint="eastAsia" w:ascii="仿宋" w:hAnsi="仿宋" w:eastAsia="仿宋" w:cs="仿宋"/>
          <w:b/>
          <w:bCs/>
          <w:sz w:val="24"/>
          <w:szCs w:val="24"/>
        </w:rPr>
      </w:pPr>
      <w:r>
        <w:rPr>
          <w:rFonts w:hint="eastAsia" w:ascii="仿宋" w:hAnsi="仿宋" w:eastAsia="仿宋" w:cs="仿宋"/>
          <w:b/>
          <w:bCs/>
          <w:sz w:val="24"/>
          <w:szCs w:val="24"/>
        </w:rPr>
        <w:t>时间要求：</w:t>
      </w:r>
    </w:p>
    <w:p w14:paraId="30102A5C">
      <w:pPr>
        <w:pStyle w:val="8"/>
        <w:spacing w:line="360" w:lineRule="auto"/>
        <w:ind w:firstLine="480"/>
        <w:rPr>
          <w:rFonts w:hint="eastAsia" w:ascii="仿宋" w:hAnsi="仿宋" w:eastAsia="仿宋" w:cs="仿宋"/>
          <w:sz w:val="24"/>
          <w:szCs w:val="24"/>
        </w:rPr>
      </w:pPr>
      <w:r>
        <w:rPr>
          <w:rFonts w:hint="eastAsia" w:ascii="仿宋" w:hAnsi="仿宋" w:eastAsia="仿宋" w:cs="仿宋"/>
          <w:sz w:val="24"/>
          <w:szCs w:val="24"/>
        </w:rPr>
        <w:t>1.2025年6月</w:t>
      </w:r>
      <w:r>
        <w:rPr>
          <w:rFonts w:ascii="仿宋" w:hAnsi="仿宋" w:eastAsia="仿宋" w:cs="仿宋"/>
          <w:sz w:val="24"/>
          <w:szCs w:val="24"/>
        </w:rPr>
        <w:t>25</w:t>
      </w:r>
      <w:r>
        <w:rPr>
          <w:rFonts w:hint="eastAsia" w:ascii="仿宋" w:hAnsi="仿宋" w:eastAsia="仿宋" w:cs="仿宋"/>
          <w:sz w:val="24"/>
          <w:szCs w:val="24"/>
        </w:rPr>
        <w:t>日-7月31日期间在校本部完成书目抽取、下架、打捆、搬运前期等准备工作。</w:t>
      </w:r>
    </w:p>
    <w:p w14:paraId="527F5EE0">
      <w:pPr>
        <w:pStyle w:val="8"/>
        <w:spacing w:line="360" w:lineRule="auto"/>
        <w:ind w:firstLine="480"/>
        <w:rPr>
          <w:rFonts w:hint="eastAsia" w:ascii="仿宋" w:hAnsi="仿宋" w:eastAsia="仿宋" w:cs="仿宋"/>
          <w:sz w:val="24"/>
          <w:szCs w:val="24"/>
        </w:rPr>
      </w:pPr>
      <w:r>
        <w:rPr>
          <w:rFonts w:hint="eastAsia" w:ascii="仿宋" w:hAnsi="仿宋" w:eastAsia="仿宋" w:cs="仿宋"/>
          <w:sz w:val="24"/>
          <w:szCs w:val="24"/>
        </w:rPr>
        <w:t>2.2025年8月1日-9月30日期间在新医科中心馆完成拆包、扫描、上架、细排、贴标、覆膜等相关工作。</w:t>
      </w:r>
    </w:p>
    <w:p w14:paraId="7C84C323">
      <w:pPr>
        <w:pStyle w:val="8"/>
        <w:spacing w:line="360" w:lineRule="auto"/>
        <w:ind w:firstLine="480"/>
        <w:rPr>
          <w:rFonts w:hint="eastAsia" w:ascii="仿宋" w:hAnsi="仿宋" w:eastAsia="仿宋" w:cs="仿宋"/>
          <w:sz w:val="24"/>
          <w:szCs w:val="24"/>
        </w:rPr>
      </w:pPr>
      <w:r>
        <w:rPr>
          <w:rFonts w:hint="eastAsia" w:ascii="仿宋" w:hAnsi="仿宋" w:eastAsia="仿宋" w:cs="仿宋"/>
          <w:sz w:val="24"/>
          <w:szCs w:val="24"/>
        </w:rPr>
        <w:t>3.所有流程项目（包含验收周期）必须在2025年9月30日之前全部完成，由相关部门进行核对、验收，验收合格后此项目方可算全部完成。</w:t>
      </w:r>
    </w:p>
    <w:p w14:paraId="372C2131">
      <w:pPr>
        <w:spacing w:line="360" w:lineRule="auto"/>
        <w:ind w:firstLine="482" w:firstLineChars="200"/>
        <w:rPr>
          <w:rFonts w:hint="eastAsia" w:ascii="仿宋" w:hAnsi="仿宋" w:eastAsia="仿宋" w:cs="仿宋"/>
          <w:b/>
          <w:bCs/>
          <w:sz w:val="24"/>
          <w:szCs w:val="24"/>
        </w:rPr>
      </w:pPr>
      <w:r>
        <w:rPr>
          <w:rFonts w:hint="eastAsia" w:ascii="仿宋" w:hAnsi="仿宋" w:eastAsia="仿宋" w:cs="仿宋"/>
          <w:b/>
          <w:bCs/>
          <w:sz w:val="24"/>
          <w:szCs w:val="24"/>
        </w:rPr>
        <w:t>三、报价要求</w:t>
      </w:r>
    </w:p>
    <w:p w14:paraId="271CAEA7">
      <w:pPr>
        <w:spacing w:line="360" w:lineRule="auto"/>
        <w:ind w:firstLine="480"/>
        <w:rPr>
          <w:rFonts w:hint="eastAsia" w:ascii="仿宋" w:hAnsi="仿宋" w:eastAsia="仿宋" w:cs="仿宋"/>
          <w:b/>
          <w:color w:val="FF0000"/>
          <w:sz w:val="24"/>
          <w:szCs w:val="24"/>
        </w:rPr>
      </w:pPr>
      <w:r>
        <w:rPr>
          <w:rFonts w:hint="eastAsia" w:ascii="仿宋" w:hAnsi="仿宋" w:eastAsia="仿宋" w:cs="仿宋"/>
          <w:b/>
          <w:color w:val="FF0000"/>
          <w:sz w:val="24"/>
          <w:szCs w:val="24"/>
        </w:rPr>
        <w:t>本项目按册报单价，单价须包含完成本项目内容的全部费用，中选后比选人不再增加任何费用，同时本项目最终支付金额不得超过项目预算（即23万元），单价不得超过最高限价：1元/册，否则响应无效。</w:t>
      </w:r>
    </w:p>
    <w:p w14:paraId="54D82894">
      <w:pPr>
        <w:spacing w:line="360" w:lineRule="auto"/>
        <w:ind w:firstLine="482" w:firstLineChars="200"/>
        <w:rPr>
          <w:rFonts w:hint="eastAsia" w:ascii="仿宋" w:hAnsi="仿宋" w:eastAsia="仿宋" w:cs="仿宋"/>
          <w:b/>
          <w:bCs/>
          <w:sz w:val="24"/>
          <w:szCs w:val="24"/>
        </w:rPr>
      </w:pPr>
      <w:r>
        <w:rPr>
          <w:rFonts w:hint="eastAsia" w:ascii="仿宋" w:hAnsi="仿宋" w:eastAsia="仿宋" w:cs="仿宋"/>
          <w:b/>
          <w:bCs/>
          <w:sz w:val="24"/>
          <w:szCs w:val="24"/>
        </w:rPr>
        <w:t>四、其他要求</w:t>
      </w:r>
    </w:p>
    <w:p w14:paraId="6EDFF16E">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1.本馆预计搬书20-23万册（区间），最终结算费用按照已扫描的条码号记录进行实际结算。</w:t>
      </w:r>
    </w:p>
    <w:p w14:paraId="517A425F">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2.扫描、打捆及运输设备均由搬家公司自行准备，本馆不提供任何设备与耗材。</w:t>
      </w:r>
    </w:p>
    <w:p w14:paraId="4F2BFD9D">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3.搬运过程中应按照文学、社科、专业书籍建议分类分车运输，如混合运输导致书籍种类混乱，由搬家公司负责清理、重新分类。</w:t>
      </w:r>
    </w:p>
    <w:p w14:paraId="398D8084">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4.所有流程完成后由馆内老师进行核对，待核对无误交付后由比选人组织相关部门验收，待验收合格后即算项目全部完成。</w:t>
      </w:r>
    </w:p>
    <w:p w14:paraId="508136EC">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5.在搬家过程中，如遇任何困难或问题，双方应友好协商，积极配合馆内老师的安排和要求。</w:t>
      </w:r>
    </w:p>
    <w:p w14:paraId="5613FFAB">
      <w:r>
        <w:rPr>
          <w:rFonts w:hint="eastAsia" w:ascii="仿宋" w:hAnsi="仿宋" w:eastAsia="仿宋" w:cs="仿宋"/>
          <w:sz w:val="24"/>
          <w:szCs w:val="24"/>
        </w:rPr>
        <w:t>6.本项目参与比选的参选人应当完全理解此项目所提及的所有流程细节，积极配合比选人所提出的合理性建议。</w:t>
      </w:r>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E372BA"/>
    <w:rsid w:val="2FE372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iPriority="99" w:semiHidden="0" w:name="annotation text"/>
    <w:lsdException w:qFormat="1"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仿宋_GB2312" w:eastAsia="仿宋_GB2312" w:cs="@仿宋_GB2312"/>
      <w:kern w:val="2"/>
      <w:sz w:val="21"/>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annotation text"/>
    <w:basedOn w:val="1"/>
    <w:unhideWhenUsed/>
    <w:uiPriority w:val="99"/>
    <w:pPr>
      <w:jc w:val="left"/>
    </w:pPr>
    <w:rPr>
      <w:rFonts w:ascii="@仿宋_GB2312" w:hAnsi="@仿宋_GB2312" w:eastAsia="宋体"/>
    </w:rPr>
  </w:style>
  <w:style w:type="paragraph" w:styleId="3">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customStyle="1" w:styleId="6">
    <w:name w:val="D&amp;L"/>
    <w:basedOn w:val="3"/>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7">
    <w:name w:val="xl31"/>
    <w:basedOn w:val="1"/>
    <w:qFormat/>
    <w:uiPriority w:val="0"/>
    <w:pPr>
      <w:widowControl/>
      <w:spacing w:before="100" w:beforeAutospacing="1" w:after="100" w:afterAutospacing="1"/>
      <w:jc w:val="center"/>
    </w:pPr>
    <w:rPr>
      <w:b/>
      <w:bCs/>
      <w:kern w:val="0"/>
      <w:sz w:val="28"/>
      <w:szCs w:val="28"/>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2025-06-13T07:56:00Z</dcterms:created>
  <dc:creator>森</dc:creator>
  <cp:lastModifiedBy>森</cp:lastModifiedBy>
  <dcterms:modified xsi:type="dcterms:W3CDTF">2025-06-13T07:56:35Z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3B6A911D54AE4758B9ADD5B96723D49F_11</vt:lpwstr>
  </property>
  <property fmtid="{D5CDD505-2E9C-101B-9397-08002B2CF9AE}" pid="4" name="KSOTemplateDocerSaveRecord">
    <vt:lpwstr>eyJoZGlkIjoiOTc3M2Y5NzIzMDFlZjAyY2Q4Njk5ODkyYjFjNzBiNTQiLCJ1c2VySWQiOiI0MzAwMTYzNzkifQ==</vt:lpwstr>
  </property>
</Properties>
</file>