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107D61">
      <w:pPr>
        <w:wordWrap w:val="0"/>
        <w:spacing w:line="360" w:lineRule="auto"/>
        <w:jc w:val="center"/>
        <w:outlineLvl w:val="2"/>
        <w:rPr>
          <w:rFonts w:hint="eastAsia" w:ascii="华文中宋" w:hAnsi="华文中宋" w:eastAsia="华文中宋" w:cs="Times New Roman"/>
          <w:b/>
          <w:bCs/>
          <w:kern w:val="44"/>
          <w:sz w:val="44"/>
          <w:szCs w:val="44"/>
        </w:rPr>
      </w:pPr>
      <w:r>
        <w:rPr>
          <w:rFonts w:hint="eastAsia" w:ascii="华文中宋" w:hAnsi="华文中宋" w:eastAsia="华文中宋" w:cs="Times New Roman"/>
          <w:b/>
          <w:bCs/>
          <w:kern w:val="44"/>
          <w:sz w:val="44"/>
          <w:szCs w:val="44"/>
        </w:rPr>
        <w:t>采购需求</w:t>
      </w:r>
    </w:p>
    <w:p w14:paraId="792EE9C8">
      <w:pPr>
        <w:wordWrap w:val="0"/>
        <w:spacing w:line="360" w:lineRule="auto"/>
        <w:jc w:val="left"/>
        <w:rPr>
          <w:rFonts w:ascii="宋体" w:hAnsi="宋体" w:eastAsia="宋体"/>
          <w:b/>
          <w:sz w:val="24"/>
        </w:rPr>
      </w:pPr>
      <w:r>
        <w:rPr>
          <w:rFonts w:hint="eastAsia" w:ascii="宋体" w:hAnsi="宋体" w:eastAsia="宋体"/>
          <w:b/>
          <w:sz w:val="24"/>
        </w:rPr>
        <w:t>前注：</w:t>
      </w:r>
    </w:p>
    <w:p w14:paraId="76E5A714">
      <w:pPr>
        <w:wordWrap w:val="0"/>
        <w:spacing w:line="360" w:lineRule="auto"/>
        <w:ind w:firstLine="437"/>
        <w:jc w:val="left"/>
        <w:rPr>
          <w:rFonts w:hint="eastAsia" w:ascii="宋体" w:hAnsi="宋体" w:eastAsia="宋体"/>
          <w:sz w:val="24"/>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技术</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技术</w:t>
      </w:r>
      <w:r>
        <w:rPr>
          <w:rFonts w:ascii="宋体" w:hAnsi="宋体" w:eastAsia="宋体"/>
          <w:sz w:val="24"/>
        </w:rPr>
        <w:t>方案，且此方案须经磋商小组评审认可</w:t>
      </w:r>
      <w:r>
        <w:rPr>
          <w:rFonts w:hint="eastAsia" w:ascii="宋体" w:hAnsi="宋体" w:eastAsia="宋体"/>
          <w:sz w:val="24"/>
        </w:rPr>
        <w:t>。</w:t>
      </w:r>
    </w:p>
    <w:p w14:paraId="4B1238BE">
      <w:pPr>
        <w:wordWrap w:val="0"/>
        <w:spacing w:line="360" w:lineRule="auto"/>
        <w:ind w:firstLine="437"/>
        <w:jc w:val="left"/>
        <w:rPr>
          <w:rFonts w:hint="eastAsia" w:ascii="宋体" w:hAnsi="宋体" w:eastAsia="宋体"/>
          <w:sz w:val="24"/>
        </w:rPr>
      </w:pPr>
      <w:r>
        <w:rPr>
          <w:rFonts w:hint="eastAsia" w:ascii="宋体" w:hAnsi="宋体" w:eastAsia="宋体"/>
          <w:sz w:val="24"/>
        </w:rPr>
        <w:t>2.本章中标注“*”的参数为实质性参数，供应商必须满足并提供招标文件规定的证明材料。若采购文件未明确要求何种证明材料，则以制造商公开发布的资料或检测机构出具的检测报告为准。若制造商公开发布的资料与检测机构出具的检测报告不一致，以检测机构出具的检测报告为准。对于实质性要求的，应使用“*”标注；如未使用“*”标注，即便使用“拒绝”“不接受”“无效”“不得”“必须”“应当”等文字表述的，也视为非实质性要求。</w:t>
      </w:r>
    </w:p>
    <w:p w14:paraId="76C8DE4B">
      <w:pPr>
        <w:wordWrap w:val="0"/>
        <w:spacing w:line="360" w:lineRule="auto"/>
        <w:ind w:firstLine="437"/>
        <w:jc w:val="left"/>
        <w:rPr>
          <w:rFonts w:ascii="宋体" w:hAnsi="宋体" w:eastAsia="宋体"/>
          <w:sz w:val="24"/>
        </w:rPr>
      </w:pPr>
      <w:r>
        <w:rPr>
          <w:rFonts w:hint="eastAsia" w:ascii="宋体" w:hAnsi="宋体" w:eastAsia="宋体"/>
          <w:sz w:val="24"/>
        </w:rPr>
        <w:t>3.本章中标注“</w:t>
      </w:r>
      <w:r>
        <w:rPr>
          <w:rFonts w:hint="eastAsia" w:ascii="宋体" w:hAnsi="宋体" w:eastAsia="宋体"/>
          <w:bCs/>
          <w:sz w:val="24"/>
          <w:szCs w:val="18"/>
        </w:rPr>
        <w:t>◆</w:t>
      </w:r>
      <w:r>
        <w:rPr>
          <w:rFonts w:hint="eastAsia" w:ascii="宋体" w:hAnsi="宋体" w:eastAsia="宋体"/>
          <w:sz w:val="24"/>
        </w:rPr>
        <w:t>”的技术参数，为采购产品的重要技术参数，由采购人根据项目实际需求酌情添加。对于影响到项目实施质量的参数可以设置为重要技术参数。</w:t>
      </w:r>
    </w:p>
    <w:p w14:paraId="4DF68DE2">
      <w:pPr>
        <w:wordWrap w:val="0"/>
        <w:spacing w:line="360" w:lineRule="auto"/>
        <w:ind w:firstLine="435"/>
        <w:rPr>
          <w:rFonts w:ascii="宋体" w:hAnsi="宋体" w:eastAsia="宋体"/>
          <w:sz w:val="24"/>
          <w:szCs w:val="18"/>
        </w:rPr>
      </w:pPr>
    </w:p>
    <w:p w14:paraId="3DB91531">
      <w:pPr>
        <w:wordWrap w:val="0"/>
        <w:spacing w:line="360" w:lineRule="auto"/>
        <w:ind w:firstLine="437"/>
        <w:jc w:val="left"/>
        <w:rPr>
          <w:rFonts w:ascii="宋体" w:hAnsi="宋体" w:eastAsia="宋体"/>
          <w:b/>
          <w:sz w:val="28"/>
          <w:szCs w:val="28"/>
        </w:rPr>
      </w:pPr>
      <w:r>
        <w:rPr>
          <w:rFonts w:hint="eastAsia" w:ascii="宋体" w:hAnsi="宋体" w:eastAsia="宋体"/>
          <w:b/>
          <w:sz w:val="28"/>
          <w:szCs w:val="28"/>
        </w:rPr>
        <w:t>一、采购需求前附表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2054"/>
        <w:gridCol w:w="5544"/>
      </w:tblGrid>
      <w:tr w14:paraId="48A47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16E844B0">
            <w:pPr>
              <w:pStyle w:val="8"/>
              <w:pBdr>
                <w:bottom w:val="none" w:color="auto" w:sz="0" w:space="0"/>
              </w:pBdr>
              <w:tabs>
                <w:tab w:val="clear" w:pos="4153"/>
                <w:tab w:val="clear" w:pos="8306"/>
              </w:tabs>
              <w:wordWrap w:val="0"/>
              <w:adjustRightInd/>
              <w:spacing w:line="240" w:lineRule="auto"/>
              <w:textAlignment w:val="auto"/>
              <w:rPr>
                <w:rFonts w:ascii="宋体" w:hAnsi="宋体" w:eastAsia="宋体"/>
                <w:b/>
                <w:kern w:val="2"/>
              </w:rPr>
            </w:pPr>
            <w:r>
              <w:rPr>
                <w:rFonts w:hint="eastAsia" w:ascii="宋体" w:hAnsi="宋体" w:eastAsia="宋体"/>
                <w:b/>
                <w:kern w:val="2"/>
              </w:rPr>
              <w:t>序号</w:t>
            </w:r>
          </w:p>
        </w:tc>
        <w:tc>
          <w:tcPr>
            <w:tcW w:w="2054" w:type="dxa"/>
            <w:noWrap w:val="0"/>
            <w:vAlign w:val="center"/>
          </w:tcPr>
          <w:p w14:paraId="2ACF83CA">
            <w:pPr>
              <w:pStyle w:val="9"/>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条款名称</w:t>
            </w:r>
          </w:p>
        </w:tc>
        <w:tc>
          <w:tcPr>
            <w:tcW w:w="5544" w:type="dxa"/>
            <w:noWrap w:val="0"/>
            <w:vAlign w:val="center"/>
          </w:tcPr>
          <w:p w14:paraId="5416DD0E">
            <w:pPr>
              <w:pStyle w:val="9"/>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内容、说明与要求</w:t>
            </w:r>
          </w:p>
        </w:tc>
      </w:tr>
      <w:tr w14:paraId="5F7DB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0E744014">
            <w:pPr>
              <w:pStyle w:val="8"/>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1</w:t>
            </w:r>
          </w:p>
        </w:tc>
        <w:tc>
          <w:tcPr>
            <w:tcW w:w="2054" w:type="dxa"/>
            <w:noWrap w:val="0"/>
            <w:vAlign w:val="center"/>
          </w:tcPr>
          <w:p w14:paraId="6E35FBE8">
            <w:pPr>
              <w:pStyle w:val="9"/>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544" w:type="dxa"/>
            <w:noWrap w:val="0"/>
            <w:vAlign w:val="center"/>
          </w:tcPr>
          <w:p w14:paraId="41C89220">
            <w:pPr>
              <w:pStyle w:val="9"/>
              <w:widowControl w:val="0"/>
              <w:wordWrap w:val="0"/>
              <w:spacing w:before="0" w:beforeAutospacing="0" w:after="0" w:afterAutospacing="0" w:line="360" w:lineRule="auto"/>
              <w:jc w:val="left"/>
              <w:rPr>
                <w:rFonts w:ascii="宋体" w:hAnsi="宋体" w:eastAsia="宋体"/>
                <w:b w:val="0"/>
                <w:sz w:val="24"/>
                <w:u w:val="single"/>
              </w:rPr>
            </w:pPr>
            <w:r>
              <w:rPr>
                <w:rFonts w:hint="eastAsia" w:ascii="宋体" w:hAnsi="宋体" w:eastAsia="宋体"/>
                <w:b w:val="0"/>
                <w:sz w:val="24"/>
                <w:u w:val="single"/>
              </w:rPr>
              <w:t xml:space="preserve">验收合格后一次性付款      </w:t>
            </w:r>
          </w:p>
        </w:tc>
      </w:tr>
      <w:tr w14:paraId="378CD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39DF5BCB">
            <w:pPr>
              <w:pStyle w:val="8"/>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2</w:t>
            </w:r>
          </w:p>
        </w:tc>
        <w:tc>
          <w:tcPr>
            <w:tcW w:w="2054" w:type="dxa"/>
            <w:noWrap w:val="0"/>
            <w:vAlign w:val="center"/>
          </w:tcPr>
          <w:p w14:paraId="68B9166A">
            <w:pPr>
              <w:pStyle w:val="9"/>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供货及安装地点</w:t>
            </w:r>
          </w:p>
        </w:tc>
        <w:tc>
          <w:tcPr>
            <w:tcW w:w="5544" w:type="dxa"/>
            <w:noWrap w:val="0"/>
            <w:vAlign w:val="center"/>
          </w:tcPr>
          <w:p w14:paraId="320BC1AB">
            <w:pPr>
              <w:pStyle w:val="9"/>
              <w:widowControl w:val="0"/>
              <w:wordWrap w:val="0"/>
              <w:spacing w:before="0" w:beforeAutospacing="0" w:after="0" w:afterAutospacing="0" w:line="360" w:lineRule="auto"/>
              <w:jc w:val="left"/>
              <w:rPr>
                <w:rFonts w:ascii="宋体" w:hAnsi="宋体" w:eastAsia="宋体"/>
                <w:b w:val="0"/>
                <w:sz w:val="24"/>
              </w:rPr>
            </w:pPr>
            <w:r>
              <w:rPr>
                <w:rFonts w:hint="eastAsia" w:ascii="宋体" w:hAnsi="宋体" w:eastAsia="宋体"/>
                <w:b w:val="0"/>
                <w:sz w:val="24"/>
                <w:u w:val="single"/>
              </w:rPr>
              <w:t xml:space="preserve">采购人指定地点           </w:t>
            </w:r>
          </w:p>
        </w:tc>
      </w:tr>
      <w:tr w14:paraId="46226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217983F8">
            <w:pPr>
              <w:pStyle w:val="8"/>
              <w:pBdr>
                <w:bottom w:val="none" w:color="auto" w:sz="0" w:space="0"/>
              </w:pBdr>
              <w:tabs>
                <w:tab w:val="clear" w:pos="4153"/>
                <w:tab w:val="clear" w:pos="8306"/>
              </w:tabs>
              <w:wordWrap w:val="0"/>
              <w:adjustRightInd/>
              <w:spacing w:line="240" w:lineRule="auto"/>
              <w:textAlignment w:val="auto"/>
              <w:rPr>
                <w:rFonts w:ascii="宋体" w:hAnsi="宋体" w:eastAsia="宋体"/>
                <w:bCs/>
                <w:kern w:val="2"/>
              </w:rPr>
            </w:pPr>
            <w:r>
              <w:rPr>
                <w:rFonts w:hint="eastAsia" w:ascii="宋体" w:hAnsi="宋体" w:eastAsia="宋体"/>
                <w:bCs/>
                <w:kern w:val="2"/>
              </w:rPr>
              <w:t>3</w:t>
            </w:r>
          </w:p>
        </w:tc>
        <w:tc>
          <w:tcPr>
            <w:tcW w:w="2054" w:type="dxa"/>
            <w:noWrap w:val="0"/>
            <w:vAlign w:val="center"/>
          </w:tcPr>
          <w:p w14:paraId="4B42095C">
            <w:pPr>
              <w:pStyle w:val="9"/>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供货及安装期限</w:t>
            </w:r>
          </w:p>
        </w:tc>
        <w:tc>
          <w:tcPr>
            <w:tcW w:w="5544" w:type="dxa"/>
            <w:noWrap w:val="0"/>
            <w:vAlign w:val="center"/>
          </w:tcPr>
          <w:p w14:paraId="3487A5B2">
            <w:pPr>
              <w:pStyle w:val="9"/>
              <w:widowControl w:val="0"/>
              <w:wordWrap w:val="0"/>
              <w:spacing w:before="0" w:beforeAutospacing="0" w:after="0" w:afterAutospacing="0" w:line="360" w:lineRule="auto"/>
              <w:jc w:val="left"/>
              <w:rPr>
                <w:rFonts w:ascii="宋体" w:hAnsi="宋体" w:eastAsia="宋体"/>
                <w:b w:val="0"/>
                <w:sz w:val="24"/>
              </w:rPr>
            </w:pPr>
            <w:r>
              <w:rPr>
                <w:rFonts w:hint="eastAsia" w:ascii="宋体" w:hAnsi="宋体" w:eastAsia="宋体"/>
                <w:b w:val="0"/>
                <w:sz w:val="24"/>
                <w:u w:val="single"/>
                <w:lang w:val="en-US" w:eastAsia="zh-CN"/>
              </w:rPr>
              <w:t>20</w:t>
            </w:r>
            <w:r>
              <w:rPr>
                <w:rFonts w:hint="eastAsia" w:ascii="宋体" w:hAnsi="宋体" w:eastAsia="宋体"/>
                <w:b w:val="0"/>
                <w:sz w:val="24"/>
                <w:u w:val="single"/>
              </w:rPr>
              <w:t>个日历天</w:t>
            </w:r>
          </w:p>
        </w:tc>
      </w:tr>
      <w:tr w14:paraId="24724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14:paraId="682DC0B6">
            <w:pPr>
              <w:pStyle w:val="8"/>
              <w:pBdr>
                <w:bottom w:val="none" w:color="auto" w:sz="0" w:space="0"/>
              </w:pBdr>
              <w:tabs>
                <w:tab w:val="clear" w:pos="4153"/>
                <w:tab w:val="clear" w:pos="8306"/>
              </w:tabs>
              <w:wordWrap w:val="0"/>
              <w:adjustRightInd/>
              <w:spacing w:line="240" w:lineRule="auto"/>
              <w:textAlignment w:val="auto"/>
              <w:rPr>
                <w:rFonts w:hint="eastAsia" w:ascii="宋体" w:hAnsi="宋体" w:eastAsia="宋体"/>
                <w:bCs/>
                <w:kern w:val="2"/>
                <w:lang w:val="en-US" w:eastAsia="zh-CN"/>
              </w:rPr>
            </w:pPr>
            <w:r>
              <w:rPr>
                <w:rFonts w:hint="eastAsia" w:ascii="宋体" w:hAnsi="宋体" w:eastAsia="宋体"/>
                <w:bCs/>
                <w:kern w:val="2"/>
                <w:lang w:val="en-US" w:eastAsia="zh-CN"/>
              </w:rPr>
              <w:t>4</w:t>
            </w:r>
          </w:p>
        </w:tc>
        <w:tc>
          <w:tcPr>
            <w:tcW w:w="2054" w:type="dxa"/>
            <w:noWrap w:val="0"/>
            <w:vAlign w:val="center"/>
          </w:tcPr>
          <w:p w14:paraId="58081902">
            <w:pPr>
              <w:pStyle w:val="9"/>
              <w:widowControl w:val="0"/>
              <w:wordWrap w:val="0"/>
              <w:spacing w:before="0" w:beforeAutospacing="0" w:after="0" w:afterAutospacing="0" w:line="360" w:lineRule="auto"/>
              <w:rPr>
                <w:rFonts w:hint="default" w:ascii="宋体" w:hAnsi="宋体" w:eastAsia="宋体"/>
                <w:b w:val="0"/>
                <w:sz w:val="24"/>
                <w:lang w:val="en-US" w:eastAsia="zh-CN"/>
              </w:rPr>
            </w:pPr>
            <w:r>
              <w:rPr>
                <w:rFonts w:hint="eastAsia" w:ascii="宋体" w:hAnsi="宋体" w:eastAsia="宋体"/>
                <w:b w:val="0"/>
                <w:sz w:val="24"/>
                <w:lang w:val="en-US" w:eastAsia="zh-CN"/>
              </w:rPr>
              <w:t>免费质保期</w:t>
            </w:r>
          </w:p>
        </w:tc>
        <w:tc>
          <w:tcPr>
            <w:tcW w:w="5544" w:type="dxa"/>
            <w:noWrap w:val="0"/>
            <w:vAlign w:val="center"/>
          </w:tcPr>
          <w:p w14:paraId="46A3A906">
            <w:pPr>
              <w:pStyle w:val="9"/>
              <w:widowControl w:val="0"/>
              <w:wordWrap w:val="0"/>
              <w:spacing w:before="0" w:beforeAutospacing="0" w:after="0" w:afterAutospacing="0" w:line="360" w:lineRule="auto"/>
              <w:jc w:val="left"/>
              <w:rPr>
                <w:rFonts w:hint="eastAsia" w:ascii="宋体" w:hAnsi="宋体" w:eastAsia="宋体"/>
                <w:b w:val="0"/>
                <w:sz w:val="24"/>
              </w:rPr>
            </w:pPr>
            <w:r>
              <w:rPr>
                <w:rFonts w:hint="eastAsia" w:ascii="宋体" w:hAnsi="宋体" w:eastAsia="宋体"/>
                <w:b w:val="0"/>
                <w:sz w:val="24"/>
                <w:u w:val="single"/>
              </w:rPr>
              <w:t>三年，质保期从验收合格之日起开始</w:t>
            </w:r>
          </w:p>
        </w:tc>
      </w:tr>
    </w:tbl>
    <w:p w14:paraId="3FA0E8C1">
      <w:pPr>
        <w:wordWrap w:val="0"/>
        <w:spacing w:line="360" w:lineRule="auto"/>
        <w:ind w:firstLine="562" w:firstLineChars="200"/>
        <w:jc w:val="left"/>
        <w:rPr>
          <w:rFonts w:hint="eastAsia" w:ascii="宋体" w:hAnsi="宋体" w:eastAsia="宋体"/>
          <w:b/>
          <w:bCs/>
          <w:sz w:val="28"/>
          <w:szCs w:val="28"/>
        </w:rPr>
      </w:pPr>
      <w:r>
        <w:rPr>
          <w:rFonts w:hint="eastAsia" w:ascii="宋体" w:hAnsi="宋体" w:eastAsia="宋体"/>
          <w:b/>
          <w:bCs/>
          <w:sz w:val="28"/>
          <w:szCs w:val="28"/>
        </w:rPr>
        <w:t>二、货物需求</w:t>
      </w:r>
    </w:p>
    <w:p w14:paraId="34122A4A">
      <w:pPr>
        <w:pStyle w:val="5"/>
        <w:wordWrap w:val="0"/>
        <w:spacing w:line="500" w:lineRule="exact"/>
        <w:ind w:left="0" w:firstLine="482"/>
        <w:jc w:val="left"/>
        <w:rPr>
          <w:rFonts w:hint="eastAsia" w:ascii="宋体" w:hAnsi="宋体" w:eastAsia="宋体" w:cs="宋体"/>
          <w:b/>
          <w:bCs/>
          <w:sz w:val="24"/>
          <w:szCs w:val="24"/>
        </w:rPr>
      </w:pPr>
      <w:r>
        <w:rPr>
          <w:rFonts w:hint="eastAsia" w:ascii="宋体" w:hAnsi="宋体" w:eastAsia="宋体" w:cs="宋体"/>
          <w:b/>
          <w:bCs/>
          <w:sz w:val="24"/>
          <w:szCs w:val="24"/>
        </w:rPr>
        <w:t>（一）货物需求说明</w:t>
      </w:r>
    </w:p>
    <w:tbl>
      <w:tblPr>
        <w:tblStyle w:val="6"/>
        <w:tblW w:w="0" w:type="auto"/>
        <w:tblInd w:w="5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8"/>
        <w:gridCol w:w="1899"/>
        <w:gridCol w:w="4437"/>
      </w:tblGrid>
      <w:tr w14:paraId="4F90B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8" w:type="dxa"/>
            <w:noWrap w:val="0"/>
            <w:vAlign w:val="top"/>
          </w:tcPr>
          <w:p w14:paraId="44C42AB1">
            <w:pPr>
              <w:pStyle w:val="5"/>
              <w:wordWrap w:val="0"/>
              <w:spacing w:line="500" w:lineRule="exact"/>
              <w:ind w:left="0" w:firstLine="0" w:firstLineChars="0"/>
              <w:jc w:val="center"/>
              <w:rPr>
                <w:rFonts w:ascii="宋体" w:hAnsi="宋体" w:eastAsia="宋体" w:cs="宋体"/>
                <w:sz w:val="24"/>
                <w:szCs w:val="24"/>
              </w:rPr>
            </w:pPr>
            <w:r>
              <w:rPr>
                <w:rFonts w:hint="eastAsia" w:ascii="宋体" w:hAnsi="宋体" w:eastAsia="宋体" w:cs="宋体"/>
                <w:sz w:val="24"/>
                <w:szCs w:val="24"/>
              </w:rPr>
              <w:t>需求内容类别</w:t>
            </w:r>
          </w:p>
        </w:tc>
        <w:tc>
          <w:tcPr>
            <w:tcW w:w="1899" w:type="dxa"/>
            <w:noWrap w:val="0"/>
            <w:vAlign w:val="top"/>
          </w:tcPr>
          <w:p w14:paraId="4254773D">
            <w:pPr>
              <w:pStyle w:val="5"/>
              <w:wordWrap w:val="0"/>
              <w:spacing w:line="500" w:lineRule="exact"/>
              <w:ind w:left="0" w:firstLine="0" w:firstLineChars="0"/>
              <w:jc w:val="center"/>
              <w:rPr>
                <w:rFonts w:ascii="宋体" w:hAnsi="宋体" w:eastAsia="宋体" w:cs="宋体"/>
                <w:sz w:val="24"/>
                <w:szCs w:val="24"/>
              </w:rPr>
            </w:pPr>
            <w:r>
              <w:rPr>
                <w:rFonts w:hint="eastAsia" w:ascii="宋体" w:hAnsi="宋体" w:eastAsia="宋体" w:cs="宋体"/>
                <w:sz w:val="24"/>
                <w:szCs w:val="24"/>
              </w:rPr>
              <w:t>标识符号</w:t>
            </w:r>
          </w:p>
        </w:tc>
        <w:tc>
          <w:tcPr>
            <w:tcW w:w="4437" w:type="dxa"/>
            <w:noWrap w:val="0"/>
            <w:vAlign w:val="top"/>
          </w:tcPr>
          <w:p w14:paraId="4BFA5B53">
            <w:pPr>
              <w:pStyle w:val="5"/>
              <w:wordWrap w:val="0"/>
              <w:spacing w:line="500" w:lineRule="exact"/>
              <w:ind w:firstLine="480"/>
              <w:jc w:val="center"/>
              <w:rPr>
                <w:rFonts w:ascii="宋体" w:hAnsi="宋体" w:eastAsia="宋体" w:cs="宋体"/>
                <w:sz w:val="24"/>
                <w:szCs w:val="24"/>
              </w:rPr>
            </w:pPr>
            <w:r>
              <w:rPr>
                <w:rFonts w:hint="eastAsia" w:ascii="宋体" w:hAnsi="宋体" w:eastAsia="宋体" w:cs="宋体"/>
                <w:sz w:val="24"/>
                <w:szCs w:val="24"/>
              </w:rPr>
              <w:t>响应要求</w:t>
            </w:r>
          </w:p>
        </w:tc>
      </w:tr>
      <w:tr w14:paraId="05730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8" w:type="dxa"/>
            <w:noWrap w:val="0"/>
            <w:vAlign w:val="top"/>
          </w:tcPr>
          <w:p w14:paraId="042CCE90">
            <w:pPr>
              <w:pStyle w:val="5"/>
              <w:wordWrap w:val="0"/>
              <w:spacing w:line="500" w:lineRule="exact"/>
              <w:ind w:left="0" w:firstLine="0" w:firstLineChars="0"/>
              <w:jc w:val="center"/>
              <w:rPr>
                <w:rFonts w:ascii="宋体" w:hAnsi="宋体" w:eastAsia="宋体" w:cs="宋体"/>
                <w:sz w:val="24"/>
                <w:szCs w:val="24"/>
              </w:rPr>
            </w:pPr>
            <w:r>
              <w:rPr>
                <w:rFonts w:hint="eastAsia" w:ascii="宋体" w:hAnsi="宋体" w:eastAsia="宋体" w:cs="宋体"/>
                <w:sz w:val="24"/>
                <w:szCs w:val="24"/>
              </w:rPr>
              <w:t>重要评审项</w:t>
            </w:r>
          </w:p>
        </w:tc>
        <w:tc>
          <w:tcPr>
            <w:tcW w:w="1899" w:type="dxa"/>
            <w:noWrap w:val="0"/>
            <w:vAlign w:val="top"/>
          </w:tcPr>
          <w:p w14:paraId="64958B93">
            <w:pPr>
              <w:pStyle w:val="5"/>
              <w:wordWrap w:val="0"/>
              <w:spacing w:line="500" w:lineRule="exact"/>
              <w:ind w:left="0" w:firstLine="0" w:firstLineChars="0"/>
              <w:jc w:val="center"/>
              <w:rPr>
                <w:rFonts w:hint="eastAsia" w:ascii="宋体" w:hAnsi="宋体" w:eastAsia="宋体" w:cs="宋体"/>
                <w:sz w:val="24"/>
                <w:szCs w:val="24"/>
              </w:rPr>
            </w:pPr>
            <w:r>
              <w:rPr>
                <w:rFonts w:hint="eastAsia" w:ascii="宋体" w:hAnsi="宋体" w:eastAsia="宋体"/>
                <w:bCs/>
                <w:sz w:val="28"/>
                <w:szCs w:val="20"/>
              </w:rPr>
              <w:t>◆</w:t>
            </w:r>
          </w:p>
        </w:tc>
        <w:tc>
          <w:tcPr>
            <w:tcW w:w="4437" w:type="dxa"/>
            <w:noWrap w:val="0"/>
            <w:vAlign w:val="top"/>
          </w:tcPr>
          <w:p w14:paraId="0D66208B">
            <w:pPr>
              <w:pStyle w:val="5"/>
              <w:wordWrap w:val="0"/>
              <w:spacing w:line="500" w:lineRule="exact"/>
              <w:ind w:left="0" w:firstLine="0" w:firstLineChars="0"/>
              <w:jc w:val="left"/>
              <w:rPr>
                <w:rFonts w:ascii="宋体" w:hAnsi="宋体" w:eastAsia="宋体" w:cs="宋体"/>
                <w:sz w:val="24"/>
                <w:szCs w:val="24"/>
              </w:rPr>
            </w:pPr>
            <w:r>
              <w:rPr>
                <w:rFonts w:hint="eastAsia" w:ascii="宋体" w:hAnsi="宋体" w:eastAsia="宋体" w:cs="宋体"/>
                <w:sz w:val="24"/>
                <w:szCs w:val="24"/>
              </w:rPr>
              <w:t>负偏离作扣分处理。</w:t>
            </w:r>
          </w:p>
        </w:tc>
      </w:tr>
      <w:tr w14:paraId="13EAC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8" w:type="dxa"/>
            <w:noWrap w:val="0"/>
            <w:vAlign w:val="top"/>
          </w:tcPr>
          <w:p w14:paraId="0592D960">
            <w:pPr>
              <w:pStyle w:val="5"/>
              <w:wordWrap w:val="0"/>
              <w:spacing w:line="500" w:lineRule="exact"/>
              <w:ind w:left="0" w:firstLine="0" w:firstLineChars="0"/>
              <w:jc w:val="center"/>
              <w:rPr>
                <w:rFonts w:ascii="宋体" w:hAnsi="宋体" w:eastAsia="宋体" w:cs="宋体"/>
                <w:sz w:val="24"/>
                <w:szCs w:val="24"/>
              </w:rPr>
            </w:pPr>
            <w:r>
              <w:rPr>
                <w:rFonts w:hint="eastAsia" w:ascii="宋体" w:hAnsi="宋体" w:eastAsia="宋体" w:cs="宋体"/>
                <w:sz w:val="24"/>
                <w:szCs w:val="24"/>
              </w:rPr>
              <w:t>一般评审项</w:t>
            </w:r>
          </w:p>
        </w:tc>
        <w:tc>
          <w:tcPr>
            <w:tcW w:w="1899" w:type="dxa"/>
            <w:noWrap w:val="0"/>
            <w:vAlign w:val="top"/>
          </w:tcPr>
          <w:p w14:paraId="47EACBFD">
            <w:pPr>
              <w:pStyle w:val="5"/>
              <w:wordWrap w:val="0"/>
              <w:spacing w:line="500" w:lineRule="exact"/>
              <w:ind w:left="0" w:firstLine="0" w:firstLineChars="0"/>
              <w:jc w:val="center"/>
              <w:rPr>
                <w:rFonts w:hint="eastAsia" w:ascii="宋体" w:hAnsi="宋体" w:eastAsia="宋体" w:cs="宋体"/>
                <w:sz w:val="24"/>
                <w:szCs w:val="24"/>
              </w:rPr>
            </w:pPr>
            <w:r>
              <w:rPr>
                <w:rFonts w:hint="eastAsia" w:ascii="宋体" w:hAnsi="宋体" w:eastAsia="宋体" w:cs="宋体"/>
                <w:sz w:val="21"/>
                <w:szCs w:val="21"/>
              </w:rPr>
              <w:t>无</w:t>
            </w:r>
          </w:p>
        </w:tc>
        <w:tc>
          <w:tcPr>
            <w:tcW w:w="4437" w:type="dxa"/>
            <w:noWrap w:val="0"/>
            <w:vAlign w:val="top"/>
          </w:tcPr>
          <w:p w14:paraId="54329C72">
            <w:pPr>
              <w:pStyle w:val="5"/>
              <w:wordWrap w:val="0"/>
              <w:spacing w:line="500" w:lineRule="exact"/>
              <w:ind w:left="0" w:firstLine="0" w:firstLineChars="0"/>
              <w:jc w:val="left"/>
              <w:rPr>
                <w:rFonts w:hint="eastAsia" w:ascii="宋体" w:hAnsi="宋体" w:eastAsia="宋体" w:cs="宋体"/>
                <w:sz w:val="24"/>
                <w:szCs w:val="24"/>
              </w:rPr>
            </w:pPr>
            <w:r>
              <w:rPr>
                <w:rFonts w:hint="eastAsia" w:ascii="宋体" w:hAnsi="宋体" w:eastAsia="宋体" w:cs="宋体"/>
                <w:sz w:val="24"/>
                <w:szCs w:val="24"/>
              </w:rPr>
              <w:t>负偏离作扣分处理。</w:t>
            </w:r>
          </w:p>
        </w:tc>
      </w:tr>
      <w:tr w14:paraId="1B029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8" w:type="dxa"/>
            <w:noWrap w:val="0"/>
            <w:vAlign w:val="top"/>
          </w:tcPr>
          <w:p w14:paraId="3DFA3D43">
            <w:pPr>
              <w:pStyle w:val="5"/>
              <w:wordWrap w:val="0"/>
              <w:spacing w:line="500" w:lineRule="exact"/>
              <w:ind w:left="0" w:firstLine="0" w:firstLineChars="0"/>
              <w:jc w:val="center"/>
              <w:rPr>
                <w:rFonts w:ascii="宋体" w:hAnsi="宋体" w:eastAsia="宋体" w:cs="宋体"/>
                <w:sz w:val="24"/>
                <w:szCs w:val="24"/>
              </w:rPr>
            </w:pPr>
            <w:r>
              <w:rPr>
                <w:rFonts w:hint="eastAsia" w:ascii="宋体" w:hAnsi="宋体" w:eastAsia="宋体" w:cs="宋体"/>
                <w:sz w:val="24"/>
                <w:szCs w:val="24"/>
              </w:rPr>
              <w:t>实质性评审项</w:t>
            </w:r>
          </w:p>
        </w:tc>
        <w:tc>
          <w:tcPr>
            <w:tcW w:w="1899" w:type="dxa"/>
            <w:noWrap w:val="0"/>
            <w:vAlign w:val="top"/>
          </w:tcPr>
          <w:p w14:paraId="171845B0">
            <w:pPr>
              <w:pStyle w:val="5"/>
              <w:wordWrap w:val="0"/>
              <w:spacing w:line="500" w:lineRule="exact"/>
              <w:ind w:left="0" w:firstLine="0" w:firstLineChars="0"/>
              <w:jc w:val="center"/>
              <w:rPr>
                <w:rFonts w:hint="eastAsia" w:ascii="宋体" w:hAnsi="宋体" w:eastAsia="宋体" w:cs="宋体"/>
                <w:sz w:val="21"/>
                <w:szCs w:val="21"/>
              </w:rPr>
            </w:pPr>
            <w:r>
              <w:rPr>
                <w:rFonts w:hint="eastAsia" w:ascii="宋体" w:hAnsi="宋体" w:eastAsia="宋体"/>
                <w:sz w:val="24"/>
              </w:rPr>
              <w:t>*</w:t>
            </w:r>
          </w:p>
        </w:tc>
        <w:tc>
          <w:tcPr>
            <w:tcW w:w="4437" w:type="dxa"/>
            <w:noWrap w:val="0"/>
            <w:vAlign w:val="top"/>
          </w:tcPr>
          <w:p w14:paraId="74C4F54E">
            <w:pPr>
              <w:pStyle w:val="5"/>
              <w:wordWrap w:val="0"/>
              <w:spacing w:line="500" w:lineRule="exact"/>
              <w:ind w:left="0" w:firstLine="0" w:firstLineChars="0"/>
              <w:jc w:val="left"/>
              <w:rPr>
                <w:rFonts w:hint="eastAsia" w:ascii="宋体" w:hAnsi="宋体" w:eastAsia="宋体" w:cs="宋体"/>
                <w:sz w:val="24"/>
                <w:szCs w:val="24"/>
              </w:rPr>
            </w:pPr>
            <w:r>
              <w:rPr>
                <w:rFonts w:hint="eastAsia" w:ascii="宋体" w:hAnsi="宋体" w:eastAsia="宋体" w:cs="宋体"/>
                <w:sz w:val="24"/>
                <w:szCs w:val="24"/>
              </w:rPr>
              <w:t>负偏离作无效响应处理。</w:t>
            </w:r>
          </w:p>
        </w:tc>
      </w:tr>
    </w:tbl>
    <w:p w14:paraId="5747304A">
      <w:pPr>
        <w:pStyle w:val="5"/>
        <w:wordWrap w:val="0"/>
        <w:ind w:left="0" w:firstLine="482"/>
        <w:rPr>
          <w:rFonts w:hint="eastAsia" w:ascii="宋体" w:hAnsi="宋体" w:eastAsia="宋体" w:cs="宋体"/>
          <w:b/>
          <w:bCs/>
          <w:sz w:val="24"/>
          <w:szCs w:val="24"/>
        </w:rPr>
      </w:pPr>
      <w:r>
        <w:rPr>
          <w:rFonts w:hint="eastAsia" w:ascii="宋体" w:hAnsi="宋体" w:eastAsia="宋体" w:cs="宋体"/>
          <w:b/>
          <w:bCs/>
          <w:sz w:val="24"/>
          <w:szCs w:val="24"/>
        </w:rPr>
        <w:t>（二）货物需求清单</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
        <w:gridCol w:w="840"/>
        <w:gridCol w:w="5717"/>
        <w:gridCol w:w="510"/>
        <w:gridCol w:w="480"/>
        <w:gridCol w:w="371"/>
      </w:tblGrid>
      <w:tr w14:paraId="3CAFC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blHeader/>
          <w:jc w:val="center"/>
        </w:trPr>
        <w:tc>
          <w:tcPr>
            <w:tcW w:w="470" w:type="dxa"/>
            <w:noWrap w:val="0"/>
            <w:vAlign w:val="center"/>
          </w:tcPr>
          <w:p w14:paraId="5F178D78">
            <w:pPr>
              <w:wordWrap w:val="0"/>
              <w:spacing w:line="360" w:lineRule="auto"/>
              <w:jc w:val="center"/>
              <w:rPr>
                <w:rFonts w:ascii="宋体" w:hAnsi="宋体" w:eastAsia="宋体"/>
                <w:szCs w:val="21"/>
              </w:rPr>
            </w:pPr>
            <w:r>
              <w:rPr>
                <w:rFonts w:hint="eastAsia" w:ascii="宋体" w:hAnsi="宋体" w:eastAsia="宋体"/>
                <w:szCs w:val="15"/>
              </w:rPr>
              <w:t>序号</w:t>
            </w:r>
          </w:p>
        </w:tc>
        <w:tc>
          <w:tcPr>
            <w:tcW w:w="840" w:type="dxa"/>
            <w:noWrap w:val="0"/>
            <w:vAlign w:val="center"/>
          </w:tcPr>
          <w:p w14:paraId="040DA7E9">
            <w:pPr>
              <w:wordWrap w:val="0"/>
              <w:spacing w:line="360" w:lineRule="auto"/>
              <w:jc w:val="center"/>
              <w:rPr>
                <w:rFonts w:ascii="宋体" w:hAnsi="宋体" w:eastAsia="宋体"/>
                <w:szCs w:val="21"/>
              </w:rPr>
            </w:pPr>
            <w:r>
              <w:rPr>
                <w:rFonts w:hint="eastAsia" w:ascii="宋体" w:hAnsi="宋体" w:eastAsia="宋体"/>
                <w:szCs w:val="15"/>
              </w:rPr>
              <w:t>货物名称</w:t>
            </w:r>
          </w:p>
        </w:tc>
        <w:tc>
          <w:tcPr>
            <w:tcW w:w="5717" w:type="dxa"/>
            <w:noWrap w:val="0"/>
            <w:vAlign w:val="center"/>
          </w:tcPr>
          <w:p w14:paraId="1221F552">
            <w:pPr>
              <w:wordWrap w:val="0"/>
              <w:spacing w:line="360" w:lineRule="auto"/>
              <w:jc w:val="center"/>
              <w:rPr>
                <w:rFonts w:ascii="宋体" w:hAnsi="宋体" w:eastAsia="宋体"/>
                <w:szCs w:val="21"/>
              </w:rPr>
            </w:pPr>
            <w:r>
              <w:rPr>
                <w:rFonts w:hint="eastAsia" w:ascii="宋体" w:hAnsi="宋体" w:eastAsia="宋体"/>
                <w:szCs w:val="15"/>
              </w:rPr>
              <w:t>技术参数及要求</w:t>
            </w:r>
          </w:p>
        </w:tc>
        <w:tc>
          <w:tcPr>
            <w:tcW w:w="510" w:type="dxa"/>
            <w:noWrap w:val="0"/>
            <w:vAlign w:val="center"/>
          </w:tcPr>
          <w:p w14:paraId="1E79AAF5">
            <w:pPr>
              <w:wordWrap w:val="0"/>
              <w:spacing w:line="360" w:lineRule="auto"/>
              <w:jc w:val="center"/>
              <w:rPr>
                <w:rFonts w:ascii="宋体" w:hAnsi="宋体" w:eastAsia="宋体"/>
                <w:szCs w:val="21"/>
              </w:rPr>
            </w:pPr>
            <w:r>
              <w:rPr>
                <w:rFonts w:hint="eastAsia" w:ascii="宋体" w:hAnsi="宋体" w:eastAsia="宋体"/>
                <w:szCs w:val="15"/>
              </w:rPr>
              <w:t>数量</w:t>
            </w:r>
          </w:p>
        </w:tc>
        <w:tc>
          <w:tcPr>
            <w:tcW w:w="480" w:type="dxa"/>
            <w:noWrap w:val="0"/>
            <w:vAlign w:val="center"/>
          </w:tcPr>
          <w:p w14:paraId="19B6AFB8">
            <w:pPr>
              <w:wordWrap w:val="0"/>
              <w:spacing w:line="360" w:lineRule="auto"/>
              <w:jc w:val="center"/>
              <w:rPr>
                <w:rFonts w:hint="eastAsia" w:ascii="宋体" w:hAnsi="宋体" w:eastAsia="宋体"/>
                <w:szCs w:val="15"/>
              </w:rPr>
            </w:pPr>
            <w:r>
              <w:rPr>
                <w:rFonts w:hint="eastAsia" w:ascii="宋体" w:hAnsi="宋体" w:eastAsia="宋体"/>
                <w:szCs w:val="15"/>
              </w:rPr>
              <w:t>单位</w:t>
            </w:r>
          </w:p>
        </w:tc>
        <w:tc>
          <w:tcPr>
            <w:tcW w:w="371" w:type="dxa"/>
            <w:noWrap w:val="0"/>
            <w:vAlign w:val="center"/>
          </w:tcPr>
          <w:p w14:paraId="33D25160">
            <w:pPr>
              <w:wordWrap w:val="0"/>
              <w:spacing w:line="360" w:lineRule="auto"/>
              <w:jc w:val="center"/>
              <w:rPr>
                <w:rFonts w:hint="eastAsia" w:ascii="宋体" w:hAnsi="宋体" w:eastAsia="宋体"/>
                <w:szCs w:val="15"/>
              </w:rPr>
            </w:pPr>
            <w:r>
              <w:rPr>
                <w:rFonts w:hint="eastAsia" w:ascii="宋体" w:hAnsi="宋体" w:eastAsia="宋体"/>
                <w:szCs w:val="15"/>
              </w:rPr>
              <w:t>备注</w:t>
            </w:r>
          </w:p>
        </w:tc>
      </w:tr>
      <w:tr w14:paraId="12E2F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70" w:type="dxa"/>
            <w:noWrap w:val="0"/>
            <w:vAlign w:val="center"/>
          </w:tcPr>
          <w:p w14:paraId="72DA7C9A">
            <w:pPr>
              <w:wordWrap w:val="0"/>
              <w:spacing w:line="360" w:lineRule="auto"/>
              <w:jc w:val="left"/>
              <w:rPr>
                <w:rFonts w:ascii="宋体" w:hAnsi="宋体" w:eastAsia="宋体"/>
                <w:szCs w:val="21"/>
              </w:rPr>
            </w:pPr>
            <w:r>
              <w:rPr>
                <w:rFonts w:hint="eastAsia" w:ascii="宋体" w:hAnsi="宋体" w:eastAsia="宋体"/>
                <w:szCs w:val="21"/>
              </w:rPr>
              <w:t>1</w:t>
            </w:r>
          </w:p>
        </w:tc>
        <w:tc>
          <w:tcPr>
            <w:tcW w:w="840" w:type="dxa"/>
            <w:noWrap w:val="0"/>
            <w:vAlign w:val="center"/>
          </w:tcPr>
          <w:p w14:paraId="5BE2DB34">
            <w:pPr>
              <w:wordWrap w:val="0"/>
              <w:spacing w:line="360" w:lineRule="auto"/>
              <w:jc w:val="center"/>
              <w:rPr>
                <w:rFonts w:ascii="宋体" w:hAnsi="宋体" w:eastAsia="宋体"/>
                <w:bCs/>
                <w:szCs w:val="21"/>
              </w:rPr>
            </w:pPr>
            <w:r>
              <w:rPr>
                <w:rFonts w:hint="eastAsia" w:ascii="宋体" w:hAnsi="宋体" w:eastAsia="宋体"/>
                <w:bCs/>
                <w:szCs w:val="21"/>
              </w:rPr>
              <w:t>人行通道闸机-左边机</w:t>
            </w:r>
          </w:p>
        </w:tc>
        <w:tc>
          <w:tcPr>
            <w:tcW w:w="5717" w:type="dxa"/>
            <w:noWrap w:val="0"/>
            <w:vAlign w:val="center"/>
          </w:tcPr>
          <w:p w14:paraId="2AC4E59A">
            <w:pPr>
              <w:wordWrap w:val="0"/>
              <w:spacing w:line="360" w:lineRule="auto"/>
              <w:jc w:val="left"/>
              <w:rPr>
                <w:rFonts w:hint="eastAsia" w:ascii="宋体" w:hAnsi="宋体" w:eastAsia="宋体"/>
                <w:b/>
                <w:bCs w:val="0"/>
                <w:szCs w:val="21"/>
                <w:lang w:eastAsia="zh-CN"/>
              </w:rPr>
            </w:pPr>
            <w:r>
              <w:rPr>
                <w:rFonts w:hint="eastAsia" w:ascii="宋体" w:hAnsi="宋体" w:eastAsia="宋体"/>
                <w:b/>
                <w:bCs w:val="0"/>
                <w:szCs w:val="21"/>
              </w:rPr>
              <w:t>*1.</w:t>
            </w:r>
            <w:r>
              <w:rPr>
                <w:rFonts w:hint="eastAsia" w:ascii="宋体" w:hAnsi="宋体" w:eastAsia="宋体"/>
                <w:b/>
                <w:bCs w:val="0"/>
                <w:szCs w:val="21"/>
                <w:lang w:val="en-US" w:eastAsia="zh-CN"/>
              </w:rPr>
              <w:t>供应商</w:t>
            </w:r>
            <w:r>
              <w:rPr>
                <w:rFonts w:hint="eastAsia" w:ascii="宋体" w:hAnsi="宋体" w:eastAsia="宋体"/>
                <w:b/>
                <w:bCs w:val="0"/>
                <w:szCs w:val="21"/>
              </w:rPr>
              <w:t>提供承诺函，</w:t>
            </w:r>
            <w:r>
              <w:rPr>
                <w:rFonts w:hint="eastAsia" w:ascii="宋体" w:hAnsi="宋体" w:eastAsia="宋体"/>
                <w:b/>
                <w:bCs w:val="0"/>
                <w:szCs w:val="21"/>
                <w:lang w:val="en-US" w:eastAsia="zh-CN"/>
              </w:rPr>
              <w:t>承诺</w:t>
            </w:r>
            <w:r>
              <w:rPr>
                <w:rFonts w:hint="eastAsia" w:ascii="宋体" w:hAnsi="宋体" w:eastAsia="宋体"/>
                <w:b/>
                <w:bCs w:val="0"/>
                <w:szCs w:val="21"/>
              </w:rPr>
              <w:t>本次建设人行通道闸机需无缝接入单位现有综合安防平台，实现人脸统一下发、统一管理。</w:t>
            </w:r>
            <w:r>
              <w:rPr>
                <w:rFonts w:hint="eastAsia" w:ascii="宋体" w:hAnsi="宋体" w:eastAsia="宋体"/>
                <w:b/>
                <w:bCs w:val="0"/>
                <w:szCs w:val="21"/>
                <w:lang w:eastAsia="zh-CN"/>
              </w:rPr>
              <w:t>（</w:t>
            </w:r>
            <w:r>
              <w:rPr>
                <w:rFonts w:hint="eastAsia" w:ascii="宋体" w:hAnsi="宋体" w:eastAsia="宋体"/>
                <w:b/>
                <w:bCs w:val="0"/>
                <w:szCs w:val="21"/>
                <w:lang w:val="en-US" w:eastAsia="zh-CN"/>
              </w:rPr>
              <w:t>格式自拟并加盖单位公章</w:t>
            </w:r>
            <w:r>
              <w:rPr>
                <w:rFonts w:hint="eastAsia" w:ascii="宋体" w:hAnsi="宋体" w:eastAsia="宋体"/>
                <w:b/>
                <w:bCs w:val="0"/>
                <w:szCs w:val="21"/>
                <w:lang w:eastAsia="zh-CN"/>
              </w:rPr>
              <w:t>）</w:t>
            </w:r>
          </w:p>
          <w:p w14:paraId="100B691B">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2.闸机通道为摆闸支持室外环境使用，采用直流无刷伺服电机，编码器及行星减速箱</w:t>
            </w:r>
            <w:r>
              <w:rPr>
                <w:rFonts w:hint="eastAsia" w:ascii="宋体" w:hAnsi="宋体" w:eastAsia="宋体"/>
                <w:bCs/>
                <w:szCs w:val="21"/>
                <w:lang w:eastAsia="zh-CN"/>
              </w:rPr>
              <w:t>。</w:t>
            </w:r>
          </w:p>
          <w:p w14:paraId="698213DD">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3.闸机通道外壳对外界机械碰撞的防护等级最薄弱处不低于IK05要求，其他表面不低于IK07要求</w:t>
            </w:r>
            <w:r>
              <w:rPr>
                <w:rFonts w:hint="eastAsia" w:ascii="宋体" w:hAnsi="宋体" w:eastAsia="宋体"/>
                <w:bCs/>
                <w:szCs w:val="21"/>
                <w:lang w:eastAsia="zh-CN"/>
              </w:rPr>
              <w:t>。</w:t>
            </w:r>
          </w:p>
          <w:p w14:paraId="054EA30E">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4.闸机箱体厚度不低于1.5mm的不锈钢板材，不少于20对红外对射，通道宽度</w:t>
            </w:r>
            <w:r>
              <w:rPr>
                <w:rFonts w:hint="eastAsia" w:ascii="宋体" w:hAnsi="宋体" w:eastAsia="宋体"/>
                <w:bCs/>
                <w:szCs w:val="21"/>
                <w:lang w:val="en-US" w:eastAsia="zh-CN"/>
              </w:rPr>
              <w:t xml:space="preserve"> </w:t>
            </w:r>
            <w:r>
              <w:rPr>
                <w:rFonts w:hint="eastAsia" w:ascii="宋体" w:hAnsi="宋体" w:eastAsia="宋体"/>
                <w:bCs/>
                <w:szCs w:val="21"/>
              </w:rPr>
              <w:t>550mm-1100mm</w:t>
            </w:r>
            <w:r>
              <w:rPr>
                <w:rFonts w:hint="eastAsia" w:ascii="宋体" w:hAnsi="宋体" w:eastAsia="宋体"/>
                <w:bCs/>
                <w:szCs w:val="21"/>
                <w:lang w:eastAsia="zh-CN"/>
              </w:rPr>
              <w:t>。</w:t>
            </w:r>
          </w:p>
          <w:p w14:paraId="3D0E4CEA">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5.闸机通道物理接口同时可接入RS485 和wiegand 接口的读卡器，同时具备TCP/IP接口不少于1个，单独232接口不少于3个，RS485/RS232可切换通讯接口不少于5个，事件输入接口不少于4个，报警输出接口不少于4个，开门按钮接口不少于2个，电锁输出接口不少于2个，CAN接口不少于2个</w:t>
            </w:r>
            <w:r>
              <w:rPr>
                <w:rFonts w:hint="eastAsia" w:ascii="宋体" w:hAnsi="宋体" w:eastAsia="宋体"/>
                <w:bCs/>
                <w:szCs w:val="21"/>
                <w:lang w:eastAsia="zh-CN"/>
              </w:rPr>
              <w:t>。</w:t>
            </w:r>
          </w:p>
          <w:p w14:paraId="4C91911E">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6.闸机通道门翼开/关速度至少支持10档可调，开门速度</w:t>
            </w:r>
            <w:r>
              <w:rPr>
                <w:rFonts w:hint="eastAsia" w:ascii="宋体" w:hAnsi="宋体" w:eastAsia="宋体"/>
                <w:bCs/>
                <w:szCs w:val="21"/>
                <w:lang w:val="en-US" w:eastAsia="zh-CN"/>
              </w:rPr>
              <w:t>≤</w:t>
            </w:r>
            <w:r>
              <w:rPr>
                <w:rFonts w:hint="eastAsia" w:ascii="宋体" w:hAnsi="宋体" w:eastAsia="宋体"/>
                <w:bCs/>
                <w:szCs w:val="21"/>
              </w:rPr>
              <w:t>0.5 s</w:t>
            </w:r>
            <w:r>
              <w:rPr>
                <w:rFonts w:hint="eastAsia" w:ascii="宋体" w:hAnsi="宋体" w:eastAsia="宋体"/>
                <w:bCs/>
                <w:szCs w:val="21"/>
                <w:lang w:eastAsia="zh-CN"/>
              </w:rPr>
              <w:t>。</w:t>
            </w:r>
          </w:p>
          <w:p w14:paraId="61F44171">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7.闸机通道满足防冲要求，处于关门状态时门翼锁死，如果检测到外力冲撞，除了联动语音播报、指示灯等警示外，同时上传对应的报警事件。在门翼受到撞击后，</w:t>
            </w:r>
            <w:r>
              <w:rPr>
                <w:rFonts w:hint="eastAsia" w:ascii="宋体" w:hAnsi="宋体" w:eastAsia="宋体"/>
                <w:bCs/>
                <w:szCs w:val="21"/>
                <w:lang w:val="en-US" w:eastAsia="zh-CN"/>
              </w:rPr>
              <w:t>可</w:t>
            </w:r>
            <w:r>
              <w:rPr>
                <w:rFonts w:hint="eastAsia" w:ascii="宋体" w:hAnsi="宋体" w:eastAsia="宋体"/>
                <w:bCs/>
                <w:szCs w:val="21"/>
              </w:rPr>
              <w:t>快速恢复到正常状态</w:t>
            </w:r>
            <w:r>
              <w:rPr>
                <w:rFonts w:hint="eastAsia" w:ascii="宋体" w:hAnsi="宋体" w:eastAsia="宋体"/>
                <w:bCs/>
                <w:szCs w:val="21"/>
                <w:lang w:val="en-US" w:eastAsia="zh-CN"/>
              </w:rPr>
              <w:t>的</w:t>
            </w:r>
            <w:r>
              <w:rPr>
                <w:rFonts w:hint="eastAsia" w:ascii="宋体" w:hAnsi="宋体" w:eastAsia="宋体"/>
                <w:bCs/>
                <w:szCs w:val="21"/>
              </w:rPr>
              <w:t>时间</w:t>
            </w:r>
            <w:r>
              <w:rPr>
                <w:rFonts w:hint="eastAsia" w:ascii="宋体" w:hAnsi="宋体" w:eastAsia="宋体"/>
                <w:bCs/>
                <w:szCs w:val="21"/>
                <w:lang w:val="en-US" w:eastAsia="zh-CN"/>
              </w:rPr>
              <w:t>≤</w:t>
            </w:r>
            <w:r>
              <w:rPr>
                <w:rFonts w:hint="eastAsia" w:ascii="宋体" w:hAnsi="宋体" w:eastAsia="宋体"/>
                <w:bCs/>
                <w:szCs w:val="21"/>
              </w:rPr>
              <w:t>3.5s</w:t>
            </w:r>
            <w:r>
              <w:rPr>
                <w:rFonts w:hint="eastAsia" w:ascii="宋体" w:hAnsi="宋体" w:eastAsia="宋体"/>
                <w:bCs/>
                <w:szCs w:val="21"/>
                <w:lang w:eastAsia="zh-CN"/>
              </w:rPr>
              <w:t>。</w:t>
            </w:r>
          </w:p>
          <w:p w14:paraId="640AB034">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8.闸机通道认证通行支持根据不同场景的权限管理有不同的开启方式，二维码开门、面部识别开门、支持普通卡、来宾卡、胁迫卡等多类型用户权限设置</w:t>
            </w:r>
            <w:r>
              <w:rPr>
                <w:rFonts w:hint="eastAsia" w:ascii="宋体" w:hAnsi="宋体" w:eastAsia="宋体"/>
                <w:bCs/>
                <w:szCs w:val="21"/>
                <w:lang w:eastAsia="zh-CN"/>
              </w:rPr>
              <w:t>。</w:t>
            </w:r>
          </w:p>
          <w:p w14:paraId="4E82F870">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9.闸机通道集成语音模块，可满足根据用户需求自定义语音播报内容，同时可设置联动语音提示</w:t>
            </w:r>
            <w:r>
              <w:rPr>
                <w:rFonts w:hint="eastAsia" w:ascii="宋体" w:hAnsi="宋体" w:eastAsia="宋体"/>
                <w:bCs/>
                <w:szCs w:val="21"/>
                <w:lang w:eastAsia="zh-CN"/>
              </w:rPr>
              <w:t>。</w:t>
            </w:r>
          </w:p>
          <w:p w14:paraId="417F0DEF">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10.闸机通道应支持每天不少于8个时间段的常开/常闭管控，设置某时段的通道为常开或常闭，同时应支持按时间分时段管控门禁权限，支持不少于128个周计划、不少于1024个节假日、不少于64个假日组、不少于255个计划模板</w:t>
            </w:r>
            <w:r>
              <w:rPr>
                <w:rFonts w:hint="eastAsia" w:ascii="宋体" w:hAnsi="宋体" w:eastAsia="宋体"/>
                <w:bCs/>
                <w:szCs w:val="21"/>
                <w:lang w:eastAsia="zh-CN"/>
              </w:rPr>
              <w:t>。</w:t>
            </w:r>
          </w:p>
          <w:p w14:paraId="358E5226">
            <w:pPr>
              <w:wordWrap w:val="0"/>
              <w:spacing w:line="360" w:lineRule="auto"/>
              <w:jc w:val="left"/>
              <w:rPr>
                <w:rFonts w:hint="eastAsia" w:ascii="宋体" w:hAnsi="宋体" w:eastAsia="宋体"/>
                <w:b/>
                <w:bCs w:val="0"/>
                <w:szCs w:val="21"/>
              </w:rPr>
            </w:pPr>
            <w:r>
              <w:rPr>
                <w:rFonts w:hint="eastAsia" w:ascii="宋体" w:hAnsi="宋体" w:eastAsia="宋体"/>
                <w:bCs/>
                <w:szCs w:val="21"/>
              </w:rPr>
              <w:t>◆11.闸机通道功能满足单通道反潜回、多通道跨主机反潜回的功能，当检测到任意一种反潜回报警时，除联动语音播报、指示灯等警示外，同时上传对应的报警事件。</w:t>
            </w:r>
            <w:r>
              <w:rPr>
                <w:rFonts w:hint="eastAsia" w:ascii="宋体" w:hAnsi="宋体" w:eastAsia="宋体"/>
                <w:b/>
                <w:bCs w:val="0"/>
                <w:szCs w:val="21"/>
              </w:rPr>
              <w:t>（提供第三方出具的带有 CMA 标识的检测报告扫描件）</w:t>
            </w:r>
          </w:p>
          <w:p w14:paraId="1CDC17E8">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12.闸机通道具备允许通行、禁止通行检查功能，</w:t>
            </w:r>
            <w:r>
              <w:rPr>
                <w:rFonts w:hint="eastAsia" w:ascii="宋体" w:hAnsi="宋体" w:eastAsia="宋体"/>
                <w:bCs/>
                <w:szCs w:val="21"/>
                <w:lang w:val="en-US" w:eastAsia="zh-CN"/>
              </w:rPr>
              <w:t>未</w:t>
            </w:r>
            <w:r>
              <w:rPr>
                <w:rFonts w:hint="eastAsia" w:ascii="宋体" w:hAnsi="宋体" w:eastAsia="宋体"/>
                <w:bCs/>
                <w:szCs w:val="21"/>
              </w:rPr>
              <w:t>经管理人员授权的人员闯入时</w:t>
            </w:r>
            <w:r>
              <w:rPr>
                <w:rFonts w:hint="eastAsia" w:ascii="宋体" w:hAnsi="宋体" w:eastAsia="宋体"/>
                <w:bCs/>
                <w:szCs w:val="21"/>
                <w:lang w:val="en-US" w:eastAsia="zh-CN"/>
              </w:rPr>
              <w:t>可</w:t>
            </w:r>
            <w:r>
              <w:rPr>
                <w:rFonts w:hint="eastAsia" w:ascii="宋体" w:hAnsi="宋体" w:eastAsia="宋体"/>
                <w:bCs/>
                <w:szCs w:val="21"/>
              </w:rPr>
              <w:t>警示</w:t>
            </w:r>
            <w:r>
              <w:rPr>
                <w:rFonts w:hint="eastAsia" w:ascii="宋体" w:hAnsi="宋体" w:eastAsia="宋体"/>
                <w:bCs/>
                <w:szCs w:val="21"/>
                <w:lang w:eastAsia="zh-CN"/>
              </w:rPr>
              <w:t>。</w:t>
            </w:r>
          </w:p>
          <w:p w14:paraId="03EABFC0">
            <w:pPr>
              <w:wordWrap w:val="0"/>
              <w:spacing w:line="360" w:lineRule="auto"/>
              <w:jc w:val="left"/>
              <w:rPr>
                <w:rFonts w:hint="eastAsia" w:ascii="宋体" w:hAnsi="宋体" w:eastAsia="宋体"/>
                <w:bCs/>
                <w:color w:val="FF0000"/>
                <w:szCs w:val="21"/>
                <w:lang w:eastAsia="zh-CN"/>
              </w:rPr>
            </w:pPr>
            <w:r>
              <w:rPr>
                <w:rFonts w:hint="eastAsia" w:ascii="宋体" w:hAnsi="宋体" w:eastAsia="宋体"/>
                <w:bCs/>
                <w:szCs w:val="21"/>
              </w:rPr>
              <w:t>13.闸机通道支持翻越报警的功能，当检测到有人翻越时，可联动语音播报、指示灯等警示，同时上传报警事件</w:t>
            </w:r>
            <w:r>
              <w:rPr>
                <w:rFonts w:hint="eastAsia" w:ascii="宋体" w:hAnsi="宋体" w:eastAsia="宋体"/>
                <w:bCs/>
                <w:szCs w:val="21"/>
                <w:lang w:eastAsia="zh-CN"/>
              </w:rPr>
              <w:t>。</w:t>
            </w:r>
          </w:p>
        </w:tc>
        <w:tc>
          <w:tcPr>
            <w:tcW w:w="510" w:type="dxa"/>
            <w:noWrap w:val="0"/>
            <w:vAlign w:val="center"/>
          </w:tcPr>
          <w:p w14:paraId="1A5E6C31">
            <w:pPr>
              <w:wordWrap w:val="0"/>
              <w:spacing w:line="360" w:lineRule="auto"/>
              <w:jc w:val="left"/>
              <w:rPr>
                <w:rFonts w:ascii="宋体" w:hAnsi="宋体" w:eastAsia="宋体"/>
                <w:bCs/>
                <w:szCs w:val="21"/>
              </w:rPr>
            </w:pPr>
            <w:r>
              <w:rPr>
                <w:rFonts w:hint="eastAsia" w:ascii="宋体" w:hAnsi="宋体" w:eastAsia="宋体"/>
                <w:bCs/>
                <w:szCs w:val="21"/>
              </w:rPr>
              <w:t>1</w:t>
            </w:r>
          </w:p>
        </w:tc>
        <w:tc>
          <w:tcPr>
            <w:tcW w:w="480" w:type="dxa"/>
            <w:noWrap w:val="0"/>
            <w:vAlign w:val="center"/>
          </w:tcPr>
          <w:p w14:paraId="3C28755D">
            <w:pPr>
              <w:wordWrap w:val="0"/>
              <w:spacing w:line="360" w:lineRule="auto"/>
              <w:jc w:val="left"/>
              <w:rPr>
                <w:rFonts w:hint="default" w:ascii="宋体" w:hAnsi="宋体" w:eastAsia="宋体"/>
                <w:bCs/>
                <w:szCs w:val="21"/>
                <w:lang w:val="en-US" w:eastAsia="zh-CN"/>
              </w:rPr>
            </w:pPr>
            <w:r>
              <w:rPr>
                <w:rFonts w:hint="eastAsia" w:ascii="宋体" w:hAnsi="宋体" w:eastAsia="宋体"/>
                <w:bCs/>
                <w:szCs w:val="21"/>
                <w:lang w:val="en-US" w:eastAsia="zh-CN"/>
              </w:rPr>
              <w:t>台</w:t>
            </w:r>
          </w:p>
        </w:tc>
        <w:tc>
          <w:tcPr>
            <w:tcW w:w="371" w:type="dxa"/>
            <w:noWrap w:val="0"/>
            <w:vAlign w:val="center"/>
          </w:tcPr>
          <w:p w14:paraId="6F24D73D">
            <w:pPr>
              <w:wordWrap w:val="0"/>
              <w:spacing w:line="360" w:lineRule="auto"/>
              <w:jc w:val="left"/>
              <w:rPr>
                <w:rFonts w:hint="eastAsia" w:ascii="宋体" w:hAnsi="宋体" w:eastAsia="宋体"/>
                <w:bCs/>
                <w:szCs w:val="21"/>
              </w:rPr>
            </w:pPr>
          </w:p>
        </w:tc>
      </w:tr>
      <w:tr w14:paraId="354CC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 w:type="dxa"/>
            <w:noWrap w:val="0"/>
            <w:vAlign w:val="center"/>
          </w:tcPr>
          <w:p w14:paraId="46149B78">
            <w:pPr>
              <w:wordWrap w:val="0"/>
              <w:spacing w:line="360" w:lineRule="auto"/>
              <w:jc w:val="left"/>
              <w:rPr>
                <w:rFonts w:ascii="宋体" w:hAnsi="宋体" w:eastAsia="宋体"/>
                <w:szCs w:val="21"/>
              </w:rPr>
            </w:pPr>
            <w:r>
              <w:rPr>
                <w:rFonts w:hint="eastAsia" w:ascii="宋体" w:hAnsi="宋体" w:eastAsia="宋体"/>
                <w:szCs w:val="21"/>
              </w:rPr>
              <w:t>2</w:t>
            </w:r>
          </w:p>
        </w:tc>
        <w:tc>
          <w:tcPr>
            <w:tcW w:w="840" w:type="dxa"/>
            <w:noWrap w:val="0"/>
            <w:vAlign w:val="center"/>
          </w:tcPr>
          <w:p w14:paraId="3D4E17AA">
            <w:pPr>
              <w:wordWrap w:val="0"/>
              <w:spacing w:line="360" w:lineRule="auto"/>
              <w:jc w:val="center"/>
              <w:rPr>
                <w:rFonts w:ascii="宋体" w:hAnsi="宋体" w:eastAsia="宋体"/>
                <w:bCs/>
                <w:szCs w:val="21"/>
              </w:rPr>
            </w:pPr>
            <w:r>
              <w:rPr>
                <w:rFonts w:hint="eastAsia" w:ascii="宋体" w:hAnsi="宋体" w:eastAsia="宋体"/>
                <w:bCs/>
                <w:szCs w:val="21"/>
              </w:rPr>
              <w:t>人行通道闸机-中间机</w:t>
            </w:r>
          </w:p>
        </w:tc>
        <w:tc>
          <w:tcPr>
            <w:tcW w:w="5717" w:type="dxa"/>
            <w:noWrap w:val="0"/>
            <w:vAlign w:val="center"/>
          </w:tcPr>
          <w:p w14:paraId="0014508B">
            <w:pPr>
              <w:wordWrap w:val="0"/>
              <w:spacing w:line="360" w:lineRule="auto"/>
              <w:jc w:val="left"/>
              <w:rPr>
                <w:rFonts w:hint="eastAsia" w:ascii="宋体" w:hAnsi="宋体" w:eastAsia="宋体"/>
                <w:b/>
                <w:bCs w:val="0"/>
                <w:szCs w:val="21"/>
                <w:lang w:eastAsia="zh-CN"/>
              </w:rPr>
            </w:pPr>
            <w:r>
              <w:rPr>
                <w:rFonts w:hint="eastAsia" w:ascii="宋体" w:hAnsi="宋体" w:eastAsia="宋体"/>
                <w:b/>
                <w:bCs w:val="0"/>
                <w:szCs w:val="21"/>
              </w:rPr>
              <w:t>*1.</w:t>
            </w:r>
            <w:r>
              <w:rPr>
                <w:rFonts w:hint="eastAsia" w:ascii="宋体" w:hAnsi="宋体" w:eastAsia="宋体"/>
                <w:b/>
                <w:bCs w:val="0"/>
                <w:szCs w:val="21"/>
                <w:lang w:val="en-US" w:eastAsia="zh-CN"/>
              </w:rPr>
              <w:t>供应商</w:t>
            </w:r>
            <w:r>
              <w:rPr>
                <w:rFonts w:hint="eastAsia" w:ascii="宋体" w:hAnsi="宋体" w:eastAsia="宋体"/>
                <w:b/>
                <w:bCs w:val="0"/>
                <w:szCs w:val="21"/>
              </w:rPr>
              <w:t>提供承诺函，</w:t>
            </w:r>
            <w:r>
              <w:rPr>
                <w:rFonts w:hint="eastAsia" w:ascii="宋体" w:hAnsi="宋体" w:eastAsia="宋体"/>
                <w:b/>
                <w:bCs w:val="0"/>
                <w:szCs w:val="21"/>
                <w:lang w:val="en-US" w:eastAsia="zh-CN"/>
              </w:rPr>
              <w:t>承诺</w:t>
            </w:r>
            <w:r>
              <w:rPr>
                <w:rFonts w:hint="eastAsia" w:ascii="宋体" w:hAnsi="宋体" w:eastAsia="宋体"/>
                <w:b/>
                <w:bCs w:val="0"/>
                <w:szCs w:val="21"/>
              </w:rPr>
              <w:t>本次建设人行通道闸机需无缝接入单位现有综合安防平台，实现人脸统一下发、统一管理。</w:t>
            </w:r>
            <w:r>
              <w:rPr>
                <w:rFonts w:hint="eastAsia" w:ascii="宋体" w:hAnsi="宋体" w:eastAsia="宋体"/>
                <w:b/>
                <w:bCs w:val="0"/>
                <w:szCs w:val="21"/>
                <w:lang w:eastAsia="zh-CN"/>
              </w:rPr>
              <w:t>（</w:t>
            </w:r>
            <w:r>
              <w:rPr>
                <w:rFonts w:hint="eastAsia" w:ascii="宋体" w:hAnsi="宋体" w:eastAsia="宋体"/>
                <w:b/>
                <w:bCs w:val="0"/>
                <w:szCs w:val="21"/>
                <w:lang w:val="en-US" w:eastAsia="zh-CN"/>
              </w:rPr>
              <w:t>格式自拟并加盖单位公章</w:t>
            </w:r>
            <w:r>
              <w:rPr>
                <w:rFonts w:hint="eastAsia" w:ascii="宋体" w:hAnsi="宋体" w:eastAsia="宋体"/>
                <w:b/>
                <w:bCs w:val="0"/>
                <w:szCs w:val="21"/>
                <w:lang w:eastAsia="zh-CN"/>
              </w:rPr>
              <w:t>）</w:t>
            </w:r>
          </w:p>
          <w:p w14:paraId="48E0653C">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2.闸机通道为摆闸支持室外环境使用，采用直流无刷伺服电机，编码器及行星减速箱</w:t>
            </w:r>
            <w:r>
              <w:rPr>
                <w:rFonts w:hint="eastAsia" w:ascii="宋体" w:hAnsi="宋体" w:eastAsia="宋体"/>
                <w:bCs/>
                <w:szCs w:val="21"/>
                <w:lang w:eastAsia="zh-CN"/>
              </w:rPr>
              <w:t>。</w:t>
            </w:r>
          </w:p>
          <w:p w14:paraId="595755EE">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3.闸机通道外壳对外界机械碰撞的防护等级最薄弱处不低于IK05要求，其他表面不低于IK07要求</w:t>
            </w:r>
            <w:r>
              <w:rPr>
                <w:rFonts w:hint="eastAsia" w:ascii="宋体" w:hAnsi="宋体" w:eastAsia="宋体"/>
                <w:bCs/>
                <w:szCs w:val="21"/>
                <w:lang w:eastAsia="zh-CN"/>
              </w:rPr>
              <w:t>。</w:t>
            </w:r>
          </w:p>
          <w:p w14:paraId="400B5EE9">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4.闸机箱体厚度不低于1.5mm的不锈钢板材，不少于20对红外对射，通道宽度</w:t>
            </w:r>
            <w:r>
              <w:rPr>
                <w:rFonts w:hint="eastAsia" w:ascii="宋体" w:hAnsi="宋体" w:eastAsia="宋体"/>
                <w:bCs/>
                <w:szCs w:val="21"/>
                <w:lang w:val="en-US" w:eastAsia="zh-CN"/>
              </w:rPr>
              <w:t xml:space="preserve"> </w:t>
            </w:r>
            <w:r>
              <w:rPr>
                <w:rFonts w:hint="eastAsia" w:ascii="宋体" w:hAnsi="宋体" w:eastAsia="宋体"/>
                <w:bCs/>
                <w:szCs w:val="21"/>
              </w:rPr>
              <w:t>550mm-1100mm</w:t>
            </w:r>
            <w:r>
              <w:rPr>
                <w:rFonts w:hint="eastAsia" w:ascii="宋体" w:hAnsi="宋体" w:eastAsia="宋体"/>
                <w:bCs/>
                <w:szCs w:val="21"/>
                <w:lang w:val="en-US" w:eastAsia="zh-CN"/>
              </w:rPr>
              <w:t xml:space="preserve"> </w:t>
            </w:r>
            <w:r>
              <w:rPr>
                <w:rFonts w:hint="eastAsia" w:ascii="宋体" w:hAnsi="宋体" w:eastAsia="宋体"/>
                <w:bCs/>
                <w:szCs w:val="21"/>
                <w:lang w:eastAsia="zh-CN"/>
              </w:rPr>
              <w:t>。</w:t>
            </w:r>
          </w:p>
          <w:p w14:paraId="084BF592">
            <w:pPr>
              <w:wordWrap w:val="0"/>
              <w:spacing w:line="360" w:lineRule="auto"/>
              <w:jc w:val="left"/>
              <w:rPr>
                <w:rFonts w:hint="eastAsia" w:ascii="宋体" w:hAnsi="宋体" w:eastAsia="宋体"/>
                <w:bCs/>
                <w:szCs w:val="21"/>
              </w:rPr>
            </w:pPr>
            <w:r>
              <w:rPr>
                <w:rFonts w:hint="eastAsia" w:ascii="宋体" w:hAnsi="宋体" w:eastAsia="宋体"/>
                <w:bCs/>
                <w:szCs w:val="21"/>
              </w:rPr>
              <w:t>◆5.闸机通道物理接口满足同时可接入RS485 和wiegand 接口的读卡器，同时具备TCP/IP接口不少于1个，单独232接口不少于3个，RS485/RS232可切换通讯接口不少于5个，事件输入接口不少于4个，报警输出接口不少于4个，开门按钮接口不少于2个，电锁输出接口不少于2个，CAN接口不少于2个</w:t>
            </w:r>
            <w:r>
              <w:rPr>
                <w:rFonts w:hint="eastAsia" w:ascii="宋体" w:hAnsi="宋体" w:eastAsia="宋体"/>
                <w:bCs/>
                <w:szCs w:val="21"/>
                <w:lang w:eastAsia="zh-CN"/>
              </w:rPr>
              <w:t>。</w:t>
            </w:r>
            <w:r>
              <w:rPr>
                <w:rFonts w:hint="eastAsia" w:ascii="宋体" w:hAnsi="宋体" w:eastAsia="宋体"/>
                <w:b/>
                <w:bCs w:val="0"/>
                <w:szCs w:val="21"/>
              </w:rPr>
              <w:t>（提供第三方出具的带有 CMA 标识的检测报告扫描件）</w:t>
            </w:r>
          </w:p>
          <w:p w14:paraId="2F811386">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6.闸机通道门翼开/关速度至少支持10档可调，开门速度</w:t>
            </w:r>
            <w:r>
              <w:rPr>
                <w:rFonts w:hint="eastAsia" w:ascii="宋体" w:hAnsi="宋体" w:eastAsia="宋体"/>
                <w:bCs/>
                <w:szCs w:val="21"/>
                <w:lang w:val="en-US" w:eastAsia="zh-CN"/>
              </w:rPr>
              <w:t>≤</w:t>
            </w:r>
            <w:r>
              <w:rPr>
                <w:rFonts w:hint="eastAsia" w:ascii="宋体" w:hAnsi="宋体" w:eastAsia="宋体"/>
                <w:bCs/>
                <w:szCs w:val="21"/>
              </w:rPr>
              <w:t>0.5 s</w:t>
            </w:r>
            <w:r>
              <w:rPr>
                <w:rFonts w:hint="eastAsia" w:ascii="宋体" w:hAnsi="宋体" w:eastAsia="宋体"/>
                <w:bCs/>
                <w:szCs w:val="21"/>
                <w:lang w:eastAsia="zh-CN"/>
              </w:rPr>
              <w:t>。</w:t>
            </w:r>
          </w:p>
          <w:p w14:paraId="739689A9">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7.闸机通道满足防冲要求，处于关门状态时门翼锁死，如果检测到外力冲撞，除了联动语音播报、指示灯等警示外，同时上传对应的报警事件。在门翼受到撞击后，快速恢复到正常状态</w:t>
            </w:r>
            <w:r>
              <w:rPr>
                <w:rFonts w:hint="eastAsia" w:ascii="宋体" w:hAnsi="宋体" w:eastAsia="宋体"/>
                <w:bCs/>
                <w:szCs w:val="21"/>
                <w:lang w:val="en-US" w:eastAsia="zh-CN"/>
              </w:rPr>
              <w:t>的</w:t>
            </w:r>
            <w:r>
              <w:rPr>
                <w:rFonts w:hint="eastAsia" w:ascii="宋体" w:hAnsi="宋体" w:eastAsia="宋体"/>
                <w:bCs/>
                <w:szCs w:val="21"/>
              </w:rPr>
              <w:t>时间</w:t>
            </w:r>
            <w:r>
              <w:rPr>
                <w:rFonts w:hint="eastAsia" w:ascii="宋体" w:hAnsi="宋体" w:eastAsia="宋体"/>
                <w:bCs/>
                <w:szCs w:val="21"/>
                <w:lang w:val="en-US" w:eastAsia="zh-CN"/>
              </w:rPr>
              <w:t>≤</w:t>
            </w:r>
            <w:r>
              <w:rPr>
                <w:rFonts w:hint="eastAsia" w:ascii="宋体" w:hAnsi="宋体" w:eastAsia="宋体"/>
                <w:bCs/>
                <w:szCs w:val="21"/>
              </w:rPr>
              <w:t>3.5s</w:t>
            </w:r>
            <w:r>
              <w:rPr>
                <w:rFonts w:hint="eastAsia" w:ascii="宋体" w:hAnsi="宋体" w:eastAsia="宋体"/>
                <w:bCs/>
                <w:szCs w:val="21"/>
                <w:lang w:eastAsia="zh-CN"/>
              </w:rPr>
              <w:t>。</w:t>
            </w:r>
          </w:p>
          <w:p w14:paraId="450E781C">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8.闸机通道认证通行支持根据不同场景的权限管理有不同的开启方式，二维码开门、面部识别开门、支持普通卡、来宾卡、胁迫卡等多类型用户权限设置</w:t>
            </w:r>
            <w:r>
              <w:rPr>
                <w:rFonts w:hint="eastAsia" w:ascii="宋体" w:hAnsi="宋体" w:eastAsia="宋体"/>
                <w:bCs/>
                <w:szCs w:val="21"/>
                <w:lang w:eastAsia="zh-CN"/>
              </w:rPr>
              <w:t>。</w:t>
            </w:r>
          </w:p>
          <w:p w14:paraId="0C13AB7C">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9.闸机通道集成语音模块，满足根据用户需求自定义语音播报内容，同时可设置联动语音提示</w:t>
            </w:r>
            <w:r>
              <w:rPr>
                <w:rFonts w:hint="eastAsia" w:ascii="宋体" w:hAnsi="宋体" w:eastAsia="宋体"/>
                <w:bCs/>
                <w:szCs w:val="21"/>
                <w:lang w:eastAsia="zh-CN"/>
              </w:rPr>
              <w:t>。</w:t>
            </w:r>
          </w:p>
          <w:p w14:paraId="0A411402">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10.闸机通道支持每天不少于8个时间段的常开/常闭管控，设置某时段的通道为常开或常闭，同时支持按时间分时段管控门禁权限，支持不少于128个周计划、不少于1024个节假日、不少于64个假日组、不少于255个计划模板</w:t>
            </w:r>
            <w:r>
              <w:rPr>
                <w:rFonts w:hint="eastAsia" w:ascii="宋体" w:hAnsi="宋体" w:eastAsia="宋体"/>
                <w:bCs/>
                <w:szCs w:val="21"/>
                <w:lang w:eastAsia="zh-CN"/>
              </w:rPr>
              <w:t>。</w:t>
            </w:r>
          </w:p>
          <w:p w14:paraId="545FA21A">
            <w:pPr>
              <w:wordWrap w:val="0"/>
              <w:spacing w:line="360" w:lineRule="auto"/>
              <w:jc w:val="left"/>
              <w:rPr>
                <w:rFonts w:hint="eastAsia" w:ascii="宋体" w:hAnsi="宋体" w:eastAsia="宋体"/>
                <w:bCs/>
                <w:szCs w:val="21"/>
              </w:rPr>
            </w:pPr>
            <w:r>
              <w:rPr>
                <w:rFonts w:hint="eastAsia" w:ascii="宋体" w:hAnsi="宋体" w:eastAsia="宋体"/>
                <w:bCs/>
                <w:szCs w:val="21"/>
              </w:rPr>
              <w:t>11.闸机通道功能满足单通道反潜回、多通道跨主机反潜回的功能，当检测到任意一种反潜回报警时，除了联动语音播报、指示灯等警示外，同时上传对应的报警事件，防止非授权人员非法入侵。</w:t>
            </w:r>
          </w:p>
          <w:p w14:paraId="1D337075">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12.闸机通道具备允许通行、禁止通行检查功能，</w:t>
            </w:r>
            <w:r>
              <w:rPr>
                <w:rFonts w:hint="eastAsia" w:ascii="宋体" w:hAnsi="宋体" w:eastAsia="宋体"/>
                <w:bCs/>
                <w:szCs w:val="21"/>
                <w:lang w:val="en-US" w:eastAsia="zh-CN"/>
              </w:rPr>
              <w:t>未</w:t>
            </w:r>
            <w:r>
              <w:rPr>
                <w:rFonts w:hint="eastAsia" w:ascii="宋体" w:hAnsi="宋体" w:eastAsia="宋体"/>
                <w:bCs/>
                <w:szCs w:val="21"/>
              </w:rPr>
              <w:t>经管理人员授权的人员闯入时能够警示</w:t>
            </w:r>
            <w:r>
              <w:rPr>
                <w:rFonts w:hint="eastAsia" w:ascii="宋体" w:hAnsi="宋体" w:eastAsia="宋体"/>
                <w:bCs/>
                <w:szCs w:val="21"/>
                <w:lang w:eastAsia="zh-CN"/>
              </w:rPr>
              <w:t>。</w:t>
            </w:r>
          </w:p>
          <w:p w14:paraId="59C8E75B">
            <w:pPr>
              <w:wordWrap w:val="0"/>
              <w:spacing w:line="360" w:lineRule="auto"/>
              <w:jc w:val="left"/>
              <w:rPr>
                <w:rFonts w:hint="eastAsia" w:ascii="宋体" w:hAnsi="宋体" w:eastAsia="宋体"/>
                <w:bCs/>
                <w:color w:val="FF0000"/>
                <w:szCs w:val="21"/>
              </w:rPr>
            </w:pPr>
            <w:r>
              <w:rPr>
                <w:rFonts w:hint="eastAsia" w:ascii="宋体" w:hAnsi="宋体" w:eastAsia="宋体"/>
                <w:bCs/>
                <w:szCs w:val="21"/>
              </w:rPr>
              <w:t>◆13</w:t>
            </w:r>
            <w:r>
              <w:rPr>
                <w:rFonts w:hint="eastAsia" w:ascii="宋体" w:hAnsi="宋体" w:eastAsia="宋体"/>
                <w:bCs/>
                <w:szCs w:val="21"/>
                <w:lang w:eastAsia="zh-CN"/>
              </w:rPr>
              <w:t>.</w:t>
            </w:r>
            <w:r>
              <w:rPr>
                <w:rFonts w:hint="eastAsia" w:ascii="宋体" w:hAnsi="宋体" w:eastAsia="宋体"/>
                <w:bCs/>
                <w:szCs w:val="21"/>
              </w:rPr>
              <w:t>闸机通道支持翻越报警的功能，当检测到有人翻越时，可联动语音播报、指示灯等警示，同时上传报警事件</w:t>
            </w:r>
            <w:r>
              <w:rPr>
                <w:rFonts w:hint="eastAsia" w:ascii="宋体" w:hAnsi="宋体" w:eastAsia="宋体"/>
                <w:bCs/>
                <w:szCs w:val="21"/>
                <w:lang w:eastAsia="zh-CN"/>
              </w:rPr>
              <w:t>。</w:t>
            </w:r>
            <w:r>
              <w:rPr>
                <w:rFonts w:hint="eastAsia" w:ascii="宋体" w:hAnsi="宋体" w:eastAsia="宋体"/>
                <w:b/>
                <w:bCs w:val="0"/>
                <w:szCs w:val="21"/>
              </w:rPr>
              <w:t>（提供第三方出具的带有 CMA 标识的检测报告扫描件）</w:t>
            </w:r>
          </w:p>
        </w:tc>
        <w:tc>
          <w:tcPr>
            <w:tcW w:w="510" w:type="dxa"/>
            <w:noWrap w:val="0"/>
            <w:vAlign w:val="center"/>
          </w:tcPr>
          <w:p w14:paraId="5A7A73F7">
            <w:pPr>
              <w:wordWrap w:val="0"/>
              <w:spacing w:line="360" w:lineRule="auto"/>
              <w:jc w:val="left"/>
              <w:rPr>
                <w:rFonts w:hint="eastAsia" w:ascii="宋体" w:hAnsi="宋体" w:eastAsia="宋体"/>
                <w:bCs/>
                <w:szCs w:val="21"/>
                <w:lang w:eastAsia="zh-CN"/>
              </w:rPr>
            </w:pPr>
            <w:r>
              <w:rPr>
                <w:rFonts w:hint="eastAsia" w:ascii="宋体" w:hAnsi="宋体" w:eastAsia="宋体"/>
                <w:bCs/>
                <w:szCs w:val="21"/>
                <w:lang w:val="en-US" w:eastAsia="zh-CN"/>
              </w:rPr>
              <w:t>2</w:t>
            </w:r>
          </w:p>
        </w:tc>
        <w:tc>
          <w:tcPr>
            <w:tcW w:w="480" w:type="dxa"/>
            <w:noWrap w:val="0"/>
            <w:vAlign w:val="center"/>
          </w:tcPr>
          <w:p w14:paraId="52D75D3D">
            <w:pPr>
              <w:wordWrap w:val="0"/>
              <w:spacing w:line="360" w:lineRule="auto"/>
              <w:jc w:val="left"/>
              <w:rPr>
                <w:rFonts w:hint="eastAsia" w:ascii="宋体" w:hAnsi="宋体" w:eastAsia="宋体"/>
                <w:bCs/>
                <w:szCs w:val="21"/>
                <w:lang w:val="en-US" w:eastAsia="zh-CN"/>
              </w:rPr>
            </w:pPr>
            <w:r>
              <w:rPr>
                <w:rFonts w:hint="eastAsia" w:ascii="宋体" w:hAnsi="宋体" w:eastAsia="宋体"/>
                <w:bCs/>
                <w:szCs w:val="21"/>
                <w:lang w:val="en-US" w:eastAsia="zh-CN"/>
              </w:rPr>
              <w:t>台</w:t>
            </w:r>
          </w:p>
        </w:tc>
        <w:tc>
          <w:tcPr>
            <w:tcW w:w="371" w:type="dxa"/>
            <w:noWrap w:val="0"/>
            <w:vAlign w:val="center"/>
          </w:tcPr>
          <w:p w14:paraId="008853FD">
            <w:pPr>
              <w:wordWrap w:val="0"/>
              <w:spacing w:line="360" w:lineRule="auto"/>
              <w:jc w:val="left"/>
              <w:rPr>
                <w:rFonts w:hint="eastAsia" w:ascii="宋体" w:hAnsi="宋体" w:eastAsia="宋体"/>
                <w:bCs/>
                <w:szCs w:val="21"/>
              </w:rPr>
            </w:pPr>
          </w:p>
        </w:tc>
      </w:tr>
      <w:tr w14:paraId="29963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70" w:type="dxa"/>
            <w:noWrap w:val="0"/>
            <w:vAlign w:val="center"/>
          </w:tcPr>
          <w:p w14:paraId="765C29FA">
            <w:pPr>
              <w:wordWrap w:val="0"/>
              <w:spacing w:line="360" w:lineRule="auto"/>
              <w:jc w:val="left"/>
              <w:rPr>
                <w:rFonts w:ascii="宋体" w:hAnsi="宋体" w:eastAsia="宋体"/>
                <w:szCs w:val="21"/>
              </w:rPr>
            </w:pPr>
            <w:r>
              <w:rPr>
                <w:rFonts w:hint="eastAsia" w:ascii="宋体" w:hAnsi="宋体" w:eastAsia="宋体"/>
                <w:szCs w:val="21"/>
              </w:rPr>
              <w:t>3</w:t>
            </w:r>
          </w:p>
        </w:tc>
        <w:tc>
          <w:tcPr>
            <w:tcW w:w="840" w:type="dxa"/>
            <w:noWrap w:val="0"/>
            <w:vAlign w:val="center"/>
          </w:tcPr>
          <w:p w14:paraId="48E4F832">
            <w:pPr>
              <w:wordWrap w:val="0"/>
              <w:spacing w:line="360" w:lineRule="auto"/>
              <w:jc w:val="center"/>
              <w:rPr>
                <w:rFonts w:ascii="宋体" w:hAnsi="宋体" w:eastAsia="宋体"/>
                <w:bCs/>
                <w:szCs w:val="21"/>
              </w:rPr>
            </w:pPr>
            <w:r>
              <w:rPr>
                <w:rFonts w:hint="eastAsia" w:ascii="宋体" w:hAnsi="宋体" w:eastAsia="宋体"/>
                <w:bCs/>
                <w:szCs w:val="21"/>
              </w:rPr>
              <w:t>人行通道闸机-右边机</w:t>
            </w:r>
          </w:p>
        </w:tc>
        <w:tc>
          <w:tcPr>
            <w:tcW w:w="5717" w:type="dxa"/>
            <w:noWrap w:val="0"/>
            <w:vAlign w:val="center"/>
          </w:tcPr>
          <w:p w14:paraId="6EEB4ECC">
            <w:pPr>
              <w:wordWrap w:val="0"/>
              <w:spacing w:line="360" w:lineRule="auto"/>
              <w:jc w:val="left"/>
              <w:rPr>
                <w:rFonts w:hint="eastAsia" w:ascii="宋体" w:hAnsi="宋体" w:eastAsia="宋体"/>
                <w:b/>
                <w:bCs w:val="0"/>
                <w:szCs w:val="21"/>
                <w:lang w:eastAsia="zh-CN"/>
              </w:rPr>
            </w:pPr>
            <w:r>
              <w:rPr>
                <w:rFonts w:hint="eastAsia" w:ascii="宋体" w:hAnsi="宋体" w:eastAsia="宋体"/>
                <w:b/>
                <w:bCs w:val="0"/>
                <w:szCs w:val="21"/>
              </w:rPr>
              <w:t>*1.</w:t>
            </w:r>
            <w:r>
              <w:rPr>
                <w:rFonts w:hint="eastAsia" w:ascii="宋体" w:hAnsi="宋体" w:eastAsia="宋体"/>
                <w:b/>
                <w:bCs w:val="0"/>
                <w:szCs w:val="21"/>
                <w:lang w:val="en-US" w:eastAsia="zh-CN"/>
              </w:rPr>
              <w:t>供应商</w:t>
            </w:r>
            <w:r>
              <w:rPr>
                <w:rFonts w:hint="eastAsia" w:ascii="宋体" w:hAnsi="宋体" w:eastAsia="宋体"/>
                <w:b/>
                <w:bCs w:val="0"/>
                <w:szCs w:val="21"/>
              </w:rPr>
              <w:t>提供承诺函，</w:t>
            </w:r>
            <w:r>
              <w:rPr>
                <w:rFonts w:hint="eastAsia" w:ascii="宋体" w:hAnsi="宋体" w:eastAsia="宋体"/>
                <w:b/>
                <w:bCs w:val="0"/>
                <w:szCs w:val="21"/>
                <w:lang w:val="en-US" w:eastAsia="zh-CN"/>
              </w:rPr>
              <w:t>承诺</w:t>
            </w:r>
            <w:r>
              <w:rPr>
                <w:rFonts w:hint="eastAsia" w:ascii="宋体" w:hAnsi="宋体" w:eastAsia="宋体"/>
                <w:b/>
                <w:bCs w:val="0"/>
                <w:szCs w:val="21"/>
              </w:rPr>
              <w:t>本次建设人行通道闸机需无缝接入单位现有综合安防平台，实现人脸统一下发、统一管理。</w:t>
            </w:r>
            <w:r>
              <w:rPr>
                <w:rFonts w:hint="eastAsia" w:ascii="宋体" w:hAnsi="宋体" w:eastAsia="宋体"/>
                <w:b/>
                <w:bCs w:val="0"/>
                <w:szCs w:val="21"/>
                <w:lang w:eastAsia="zh-CN"/>
              </w:rPr>
              <w:t>（</w:t>
            </w:r>
            <w:r>
              <w:rPr>
                <w:rFonts w:hint="eastAsia" w:ascii="宋体" w:hAnsi="宋体" w:eastAsia="宋体"/>
                <w:b/>
                <w:bCs w:val="0"/>
                <w:szCs w:val="21"/>
                <w:lang w:val="en-US" w:eastAsia="zh-CN"/>
              </w:rPr>
              <w:t>格式自拟并加盖单位公章</w:t>
            </w:r>
            <w:r>
              <w:rPr>
                <w:rFonts w:hint="eastAsia" w:ascii="宋体" w:hAnsi="宋体" w:eastAsia="宋体"/>
                <w:b/>
                <w:bCs w:val="0"/>
                <w:szCs w:val="21"/>
                <w:lang w:eastAsia="zh-CN"/>
              </w:rPr>
              <w:t>）</w:t>
            </w:r>
          </w:p>
          <w:p w14:paraId="2BF742AC">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2.闸机通道为摆闸支持室外环境使用，采用直流无刷伺服电机，编码器及行星减速箱</w:t>
            </w:r>
            <w:r>
              <w:rPr>
                <w:rFonts w:hint="eastAsia" w:ascii="宋体" w:hAnsi="宋体" w:eastAsia="宋体"/>
                <w:bCs/>
                <w:szCs w:val="21"/>
                <w:lang w:eastAsia="zh-CN"/>
              </w:rPr>
              <w:t>。</w:t>
            </w:r>
          </w:p>
          <w:p w14:paraId="2D725115">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3.闸机通道外壳对外界机械碰撞的防护等级最薄弱处不低于IK05要求，其他表面不低于IK07要求</w:t>
            </w:r>
            <w:r>
              <w:rPr>
                <w:rFonts w:hint="eastAsia" w:ascii="宋体" w:hAnsi="宋体" w:eastAsia="宋体"/>
                <w:bCs/>
                <w:szCs w:val="21"/>
                <w:lang w:eastAsia="zh-CN"/>
              </w:rPr>
              <w:t>。</w:t>
            </w:r>
          </w:p>
          <w:p w14:paraId="0C1F86CD">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4.闸机箱体厚度不低于1.5mm的不锈钢板材，不少于20对红外对射，通道宽度</w:t>
            </w:r>
            <w:r>
              <w:rPr>
                <w:rFonts w:hint="eastAsia" w:ascii="宋体" w:hAnsi="宋体" w:eastAsia="宋体"/>
                <w:bCs/>
                <w:szCs w:val="21"/>
                <w:lang w:val="en-US" w:eastAsia="zh-CN"/>
              </w:rPr>
              <w:t xml:space="preserve"> </w:t>
            </w:r>
            <w:r>
              <w:rPr>
                <w:rFonts w:hint="eastAsia" w:ascii="宋体" w:hAnsi="宋体" w:eastAsia="宋体"/>
                <w:bCs/>
                <w:szCs w:val="21"/>
              </w:rPr>
              <w:t>550mm-1100mm</w:t>
            </w:r>
            <w:r>
              <w:rPr>
                <w:rFonts w:hint="eastAsia" w:ascii="宋体" w:hAnsi="宋体" w:eastAsia="宋体"/>
                <w:bCs/>
                <w:szCs w:val="21"/>
                <w:lang w:val="en-US" w:eastAsia="zh-CN"/>
              </w:rPr>
              <w:t xml:space="preserve"> </w:t>
            </w:r>
            <w:r>
              <w:rPr>
                <w:rFonts w:hint="eastAsia" w:ascii="宋体" w:hAnsi="宋体" w:eastAsia="宋体"/>
                <w:bCs/>
                <w:szCs w:val="21"/>
                <w:lang w:eastAsia="zh-CN"/>
              </w:rPr>
              <w:t>。</w:t>
            </w:r>
          </w:p>
          <w:p w14:paraId="187B9990">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5.闸机通道物理接口满足同时可接入RS485 和wiegand 接口的读卡器，同时具备TCP/IP接口不少于1个，单独232接口不少于3个，RS485/RS232可切换通讯接口不少于5个，事件输入接口不少于4个，报警输出接口不少于4个，开门按钮接口不少于2个，电锁输出接口不少于2个，CAN接口不少于2个</w:t>
            </w:r>
            <w:r>
              <w:rPr>
                <w:rFonts w:hint="eastAsia" w:ascii="宋体" w:hAnsi="宋体" w:eastAsia="宋体"/>
                <w:bCs/>
                <w:szCs w:val="21"/>
                <w:lang w:eastAsia="zh-CN"/>
              </w:rPr>
              <w:t>。</w:t>
            </w:r>
          </w:p>
          <w:p w14:paraId="05A47D14">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6.闸机通道门翼开/关速度至少支持10档可调，开门速度</w:t>
            </w:r>
            <w:r>
              <w:rPr>
                <w:rFonts w:hint="eastAsia" w:ascii="宋体" w:hAnsi="宋体" w:eastAsia="宋体"/>
                <w:bCs/>
                <w:szCs w:val="21"/>
                <w:lang w:val="en-US" w:eastAsia="zh-CN"/>
              </w:rPr>
              <w:t>≤</w:t>
            </w:r>
            <w:r>
              <w:rPr>
                <w:rFonts w:hint="eastAsia" w:ascii="宋体" w:hAnsi="宋体" w:eastAsia="宋体"/>
                <w:bCs/>
                <w:szCs w:val="21"/>
              </w:rPr>
              <w:t>0.5 s</w:t>
            </w:r>
            <w:r>
              <w:rPr>
                <w:rFonts w:hint="eastAsia" w:ascii="宋体" w:hAnsi="宋体" w:eastAsia="宋体"/>
                <w:bCs/>
                <w:szCs w:val="21"/>
                <w:lang w:eastAsia="zh-CN"/>
              </w:rPr>
              <w:t>。</w:t>
            </w:r>
          </w:p>
          <w:p w14:paraId="71795A55">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7.闸机通道满足防冲要求，处于关门状态时门翼锁死，检测到外力冲撞，除联动语音播报、指示灯等警示外，上传对应的报警事件。在门翼受到撞击后，快速恢复到正常状态</w:t>
            </w:r>
            <w:r>
              <w:rPr>
                <w:rFonts w:hint="eastAsia" w:ascii="宋体" w:hAnsi="宋体" w:eastAsia="宋体"/>
                <w:bCs/>
                <w:szCs w:val="21"/>
                <w:lang w:val="en-US" w:eastAsia="zh-CN"/>
              </w:rPr>
              <w:t>的</w:t>
            </w:r>
            <w:r>
              <w:rPr>
                <w:rFonts w:hint="eastAsia" w:ascii="宋体" w:hAnsi="宋体" w:eastAsia="宋体"/>
                <w:bCs/>
                <w:szCs w:val="21"/>
              </w:rPr>
              <w:t>时间</w:t>
            </w:r>
            <w:r>
              <w:rPr>
                <w:rFonts w:hint="eastAsia" w:ascii="宋体" w:hAnsi="宋体" w:eastAsia="宋体"/>
                <w:bCs/>
                <w:szCs w:val="21"/>
                <w:lang w:val="en-US" w:eastAsia="zh-CN"/>
              </w:rPr>
              <w:t>≤</w:t>
            </w:r>
            <w:r>
              <w:rPr>
                <w:rFonts w:hint="eastAsia" w:ascii="宋体" w:hAnsi="宋体" w:eastAsia="宋体"/>
                <w:bCs/>
                <w:szCs w:val="21"/>
              </w:rPr>
              <w:t>3.5s</w:t>
            </w:r>
            <w:r>
              <w:rPr>
                <w:rFonts w:hint="eastAsia" w:ascii="宋体" w:hAnsi="宋体" w:eastAsia="宋体"/>
                <w:bCs/>
                <w:szCs w:val="21"/>
                <w:lang w:eastAsia="zh-CN"/>
              </w:rPr>
              <w:t>。</w:t>
            </w:r>
          </w:p>
          <w:p w14:paraId="775F2A62">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8.闸机通道认证通行支持根据不同场景的权限管理有不同的开启方式，二维码开门、面部识别开门、支持普通卡、来宾卡、胁迫卡等多类型用户权限设置</w:t>
            </w:r>
            <w:r>
              <w:rPr>
                <w:rFonts w:hint="eastAsia" w:ascii="宋体" w:hAnsi="宋体" w:eastAsia="宋体"/>
                <w:bCs/>
                <w:szCs w:val="21"/>
                <w:lang w:eastAsia="zh-CN"/>
              </w:rPr>
              <w:t>。</w:t>
            </w:r>
          </w:p>
          <w:p w14:paraId="46E8C4EF">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9.闸机通道集成语音模块，可满足根据用户需求自定义语音播报内容，同时可设置联动语音提示</w:t>
            </w:r>
            <w:r>
              <w:rPr>
                <w:rFonts w:hint="eastAsia" w:ascii="宋体" w:hAnsi="宋体" w:eastAsia="宋体"/>
                <w:bCs/>
                <w:szCs w:val="21"/>
                <w:lang w:eastAsia="zh-CN"/>
              </w:rPr>
              <w:t>。</w:t>
            </w:r>
          </w:p>
          <w:p w14:paraId="1800D5B0">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10.闸机通道支持每天不少于8个时间段的常开/常闭管控，设置某时段的通道为常开或常闭，同时支持按时间分时段管控门禁权限，支持不少于128个周计划、不少于1024个节假日、不少于64个假日组、不少于255个计划模板</w:t>
            </w:r>
            <w:r>
              <w:rPr>
                <w:rFonts w:hint="eastAsia" w:ascii="宋体" w:hAnsi="宋体" w:eastAsia="宋体"/>
                <w:bCs/>
                <w:szCs w:val="21"/>
                <w:lang w:eastAsia="zh-CN"/>
              </w:rPr>
              <w:t>。</w:t>
            </w:r>
          </w:p>
          <w:p w14:paraId="03C0D537">
            <w:pPr>
              <w:wordWrap w:val="0"/>
              <w:spacing w:line="360" w:lineRule="auto"/>
              <w:jc w:val="left"/>
              <w:rPr>
                <w:rFonts w:hint="eastAsia" w:ascii="宋体" w:hAnsi="宋体" w:eastAsia="宋体"/>
                <w:bCs/>
                <w:szCs w:val="21"/>
              </w:rPr>
            </w:pPr>
            <w:r>
              <w:rPr>
                <w:rFonts w:hint="eastAsia" w:ascii="宋体" w:hAnsi="宋体" w:eastAsia="宋体"/>
                <w:bCs/>
                <w:szCs w:val="21"/>
              </w:rPr>
              <w:t>11.闸机通道功能满足单通道反潜回、多通道跨主机反潜回的功能，当检测到任意一种反潜回报警时，除联动语音播报、指示灯等警示外，上传对应的报警事件，防止非授权人员非法入侵。</w:t>
            </w:r>
          </w:p>
          <w:p w14:paraId="79919F43">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12.闸机通道具备允许通行、禁止通行检查功能，</w:t>
            </w:r>
            <w:r>
              <w:rPr>
                <w:rFonts w:hint="eastAsia" w:ascii="宋体" w:hAnsi="宋体" w:eastAsia="宋体"/>
                <w:bCs/>
                <w:szCs w:val="21"/>
                <w:lang w:val="en-US" w:eastAsia="zh-CN"/>
              </w:rPr>
              <w:t>未</w:t>
            </w:r>
            <w:r>
              <w:rPr>
                <w:rFonts w:hint="eastAsia" w:ascii="宋体" w:hAnsi="宋体" w:eastAsia="宋体"/>
                <w:bCs/>
                <w:szCs w:val="21"/>
              </w:rPr>
              <w:t>经管理人员授权的人员闯入时能够警示</w:t>
            </w:r>
            <w:r>
              <w:rPr>
                <w:rFonts w:hint="eastAsia" w:ascii="宋体" w:hAnsi="宋体" w:eastAsia="宋体"/>
                <w:bCs/>
                <w:szCs w:val="21"/>
                <w:lang w:eastAsia="zh-CN"/>
              </w:rPr>
              <w:t>。</w:t>
            </w:r>
          </w:p>
          <w:p w14:paraId="094B889B">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13.闸机通道支持翻越报警的功能，当检测到有人翻越时，可联动语音播报、指示灯等警示，同时可上传报警事件</w:t>
            </w:r>
            <w:r>
              <w:rPr>
                <w:rFonts w:hint="eastAsia" w:ascii="宋体" w:hAnsi="宋体" w:eastAsia="宋体"/>
                <w:bCs/>
                <w:szCs w:val="21"/>
                <w:lang w:eastAsia="zh-CN"/>
              </w:rPr>
              <w:t>。</w:t>
            </w:r>
          </w:p>
        </w:tc>
        <w:tc>
          <w:tcPr>
            <w:tcW w:w="510" w:type="dxa"/>
            <w:noWrap w:val="0"/>
            <w:vAlign w:val="center"/>
          </w:tcPr>
          <w:p w14:paraId="4BC92698">
            <w:pPr>
              <w:wordWrap w:val="0"/>
              <w:spacing w:line="360" w:lineRule="auto"/>
              <w:jc w:val="left"/>
              <w:rPr>
                <w:rFonts w:hint="eastAsia" w:ascii="宋体" w:hAnsi="宋体" w:eastAsia="宋体"/>
                <w:bCs/>
                <w:szCs w:val="21"/>
              </w:rPr>
            </w:pPr>
            <w:r>
              <w:rPr>
                <w:rFonts w:hint="eastAsia" w:ascii="宋体" w:hAnsi="宋体" w:eastAsia="宋体"/>
                <w:bCs/>
                <w:szCs w:val="21"/>
              </w:rPr>
              <w:t>1</w:t>
            </w:r>
          </w:p>
        </w:tc>
        <w:tc>
          <w:tcPr>
            <w:tcW w:w="480" w:type="dxa"/>
            <w:noWrap w:val="0"/>
            <w:vAlign w:val="center"/>
          </w:tcPr>
          <w:p w14:paraId="20B5703E">
            <w:pPr>
              <w:wordWrap w:val="0"/>
              <w:spacing w:line="360" w:lineRule="auto"/>
              <w:jc w:val="left"/>
              <w:rPr>
                <w:rFonts w:hint="eastAsia" w:ascii="宋体" w:hAnsi="宋体" w:eastAsia="宋体"/>
                <w:bCs/>
                <w:szCs w:val="21"/>
                <w:lang w:val="en-US" w:eastAsia="zh-CN"/>
              </w:rPr>
            </w:pPr>
            <w:r>
              <w:rPr>
                <w:rFonts w:hint="eastAsia" w:ascii="宋体" w:hAnsi="宋体" w:eastAsia="宋体"/>
                <w:bCs/>
                <w:szCs w:val="21"/>
                <w:lang w:val="en-US" w:eastAsia="zh-CN"/>
              </w:rPr>
              <w:t>台</w:t>
            </w:r>
          </w:p>
        </w:tc>
        <w:tc>
          <w:tcPr>
            <w:tcW w:w="371" w:type="dxa"/>
            <w:noWrap w:val="0"/>
            <w:vAlign w:val="center"/>
          </w:tcPr>
          <w:p w14:paraId="618BB061">
            <w:pPr>
              <w:wordWrap w:val="0"/>
              <w:spacing w:line="360" w:lineRule="auto"/>
              <w:jc w:val="left"/>
              <w:rPr>
                <w:rFonts w:hint="eastAsia" w:ascii="宋体" w:hAnsi="宋体" w:eastAsia="宋体"/>
                <w:bCs/>
                <w:szCs w:val="21"/>
              </w:rPr>
            </w:pPr>
          </w:p>
        </w:tc>
      </w:tr>
      <w:tr w14:paraId="48E8A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 w:type="dxa"/>
            <w:noWrap w:val="0"/>
            <w:vAlign w:val="center"/>
          </w:tcPr>
          <w:p w14:paraId="2BBAE963">
            <w:pPr>
              <w:wordWrap w:val="0"/>
              <w:spacing w:line="360" w:lineRule="auto"/>
              <w:jc w:val="left"/>
              <w:rPr>
                <w:rFonts w:ascii="宋体" w:hAnsi="宋体" w:eastAsia="宋体"/>
                <w:szCs w:val="21"/>
              </w:rPr>
            </w:pPr>
            <w:r>
              <w:rPr>
                <w:rFonts w:hint="eastAsia" w:ascii="宋体" w:hAnsi="宋体" w:eastAsia="宋体"/>
                <w:szCs w:val="21"/>
              </w:rPr>
              <w:t>4</w:t>
            </w:r>
          </w:p>
        </w:tc>
        <w:tc>
          <w:tcPr>
            <w:tcW w:w="840" w:type="dxa"/>
            <w:noWrap w:val="0"/>
            <w:vAlign w:val="center"/>
          </w:tcPr>
          <w:p w14:paraId="7DF0CBEA">
            <w:pPr>
              <w:wordWrap w:val="0"/>
              <w:spacing w:line="360" w:lineRule="auto"/>
              <w:jc w:val="center"/>
              <w:rPr>
                <w:rFonts w:ascii="宋体" w:hAnsi="宋体" w:eastAsia="宋体"/>
                <w:bCs/>
                <w:szCs w:val="21"/>
              </w:rPr>
            </w:pPr>
            <w:r>
              <w:rPr>
                <w:rFonts w:hint="eastAsia" w:ascii="宋体" w:hAnsi="宋体" w:eastAsia="宋体"/>
                <w:bCs/>
                <w:szCs w:val="21"/>
              </w:rPr>
              <w:t>人脸识别终端</w:t>
            </w:r>
          </w:p>
        </w:tc>
        <w:tc>
          <w:tcPr>
            <w:tcW w:w="5717" w:type="dxa"/>
            <w:noWrap w:val="0"/>
            <w:vAlign w:val="center"/>
          </w:tcPr>
          <w:p w14:paraId="52F2B288">
            <w:pPr>
              <w:wordWrap w:val="0"/>
              <w:spacing w:line="360" w:lineRule="auto"/>
              <w:jc w:val="left"/>
              <w:rPr>
                <w:rFonts w:hint="eastAsia" w:ascii="宋体" w:hAnsi="宋体" w:eastAsia="宋体"/>
                <w:b/>
                <w:bCs w:val="0"/>
                <w:szCs w:val="21"/>
                <w:lang w:eastAsia="zh-CN"/>
              </w:rPr>
            </w:pPr>
            <w:r>
              <w:rPr>
                <w:rFonts w:hint="eastAsia" w:ascii="宋体" w:hAnsi="宋体" w:eastAsia="宋体"/>
                <w:b/>
                <w:bCs w:val="0"/>
                <w:szCs w:val="21"/>
              </w:rPr>
              <w:t>*1.</w:t>
            </w:r>
            <w:r>
              <w:rPr>
                <w:rFonts w:hint="eastAsia" w:ascii="宋体" w:hAnsi="宋体" w:eastAsia="宋体"/>
                <w:b/>
                <w:bCs w:val="0"/>
                <w:szCs w:val="21"/>
                <w:lang w:val="en-US" w:eastAsia="zh-CN"/>
              </w:rPr>
              <w:t>供应商</w:t>
            </w:r>
            <w:r>
              <w:rPr>
                <w:rFonts w:hint="eastAsia" w:ascii="宋体" w:hAnsi="宋体" w:eastAsia="宋体"/>
                <w:b/>
                <w:bCs w:val="0"/>
                <w:szCs w:val="21"/>
              </w:rPr>
              <w:t>提供承诺函，</w:t>
            </w:r>
            <w:r>
              <w:rPr>
                <w:rFonts w:hint="eastAsia" w:ascii="宋体" w:hAnsi="宋体" w:eastAsia="宋体"/>
                <w:b/>
                <w:bCs w:val="0"/>
                <w:szCs w:val="21"/>
                <w:lang w:val="en-US" w:eastAsia="zh-CN"/>
              </w:rPr>
              <w:t>承诺</w:t>
            </w:r>
            <w:r>
              <w:rPr>
                <w:rFonts w:hint="eastAsia" w:ascii="宋体" w:hAnsi="宋体" w:eastAsia="宋体"/>
                <w:b/>
                <w:bCs w:val="0"/>
                <w:szCs w:val="21"/>
              </w:rPr>
              <w:t>本次建设人行通道闸机需无缝接入单位现有综合安防平台，实现人脸统一下发、统一管理。</w:t>
            </w:r>
            <w:r>
              <w:rPr>
                <w:rFonts w:hint="eastAsia" w:ascii="宋体" w:hAnsi="宋体" w:eastAsia="宋体"/>
                <w:b/>
                <w:bCs w:val="0"/>
                <w:szCs w:val="21"/>
                <w:lang w:eastAsia="zh-CN"/>
              </w:rPr>
              <w:t>（</w:t>
            </w:r>
            <w:r>
              <w:rPr>
                <w:rFonts w:hint="eastAsia" w:ascii="宋体" w:hAnsi="宋体" w:eastAsia="宋体"/>
                <w:b/>
                <w:bCs w:val="0"/>
                <w:szCs w:val="21"/>
                <w:lang w:val="en-US" w:eastAsia="zh-CN"/>
              </w:rPr>
              <w:t>格式自拟并加盖单位公章</w:t>
            </w:r>
            <w:r>
              <w:rPr>
                <w:rFonts w:hint="eastAsia" w:ascii="宋体" w:hAnsi="宋体" w:eastAsia="宋体"/>
                <w:b/>
                <w:bCs w:val="0"/>
                <w:szCs w:val="21"/>
                <w:lang w:eastAsia="zh-CN"/>
              </w:rPr>
              <w:t>）</w:t>
            </w:r>
          </w:p>
          <w:p w14:paraId="6F12E020">
            <w:pPr>
              <w:wordWrap w:val="0"/>
              <w:spacing w:line="360" w:lineRule="auto"/>
              <w:jc w:val="left"/>
              <w:rPr>
                <w:rFonts w:hint="eastAsia" w:ascii="宋体" w:hAnsi="宋体" w:eastAsia="宋体"/>
                <w:bCs/>
                <w:szCs w:val="21"/>
              </w:rPr>
            </w:pPr>
            <w:r>
              <w:rPr>
                <w:rFonts w:hint="eastAsia" w:ascii="宋体" w:hAnsi="宋体" w:eastAsia="宋体"/>
                <w:bCs/>
                <w:szCs w:val="21"/>
              </w:rPr>
              <w:t>2.设备采用双目宽动态相机，适应强光、逆光、暗光环境条件的人脸识识别。</w:t>
            </w:r>
          </w:p>
          <w:p w14:paraId="0E331B86">
            <w:pPr>
              <w:wordWrap w:val="0"/>
              <w:spacing w:line="360" w:lineRule="auto"/>
              <w:jc w:val="left"/>
              <w:rPr>
                <w:rFonts w:hint="eastAsia" w:ascii="宋体" w:hAnsi="宋体" w:eastAsia="宋体"/>
                <w:bCs/>
                <w:szCs w:val="21"/>
              </w:rPr>
            </w:pPr>
            <w:r>
              <w:rPr>
                <w:rFonts w:hint="eastAsia" w:ascii="宋体" w:hAnsi="宋体" w:eastAsia="宋体"/>
                <w:bCs/>
                <w:szCs w:val="21"/>
              </w:rPr>
              <w:t>3. LCD 触摸显示屏≥10 英寸，钢化玻璃显示屏面板，屏幕支持多点触控操作；分辨率不小于600×1024。</w:t>
            </w:r>
          </w:p>
          <w:p w14:paraId="2D985442">
            <w:pPr>
              <w:wordWrap w:val="0"/>
              <w:spacing w:line="360" w:lineRule="auto"/>
              <w:jc w:val="left"/>
              <w:rPr>
                <w:rFonts w:hint="eastAsia" w:ascii="宋体" w:hAnsi="宋体" w:eastAsia="宋体"/>
                <w:bCs/>
                <w:szCs w:val="21"/>
              </w:rPr>
            </w:pPr>
            <w:r>
              <w:rPr>
                <w:rFonts w:hint="eastAsia" w:ascii="宋体" w:hAnsi="宋体" w:eastAsia="宋体"/>
                <w:bCs/>
                <w:szCs w:val="21"/>
              </w:rPr>
              <w:t>4.设备本地人脸库存储容量≥200000张。</w:t>
            </w:r>
          </w:p>
          <w:p w14:paraId="1205A4FB">
            <w:pPr>
              <w:wordWrap w:val="0"/>
              <w:spacing w:line="360" w:lineRule="auto"/>
              <w:jc w:val="left"/>
              <w:rPr>
                <w:rFonts w:hint="eastAsia" w:ascii="宋体" w:hAnsi="宋体" w:eastAsia="宋体"/>
                <w:bCs/>
                <w:szCs w:val="21"/>
              </w:rPr>
            </w:pPr>
            <w:r>
              <w:rPr>
                <w:rFonts w:hint="eastAsia" w:ascii="宋体" w:hAnsi="宋体" w:eastAsia="宋体"/>
                <w:bCs/>
                <w:szCs w:val="21"/>
              </w:rPr>
              <w:t>5.设备口罩佩戴监测功能：设备支持口罩佩戴监测模式并提示未佩戴口罩，能配置提醒模式、强制模式；提醒模式：未佩戴口罩时，能做身份验证及考勤签到，身份验证通过后提醒佩戴口罩；强制模式：未佩戴口罩时，无法做身份验证，并提醒佩戴口罩；设备支持佩戴口罩情况下的人脸识别功能。</w:t>
            </w:r>
          </w:p>
          <w:p w14:paraId="4AC2D2A8">
            <w:pPr>
              <w:pStyle w:val="2"/>
              <w:rPr>
                <w:rFonts w:hint="eastAsia" w:ascii="宋体" w:hAnsi="宋体" w:eastAsia="宋体" w:cs="宋体"/>
                <w:lang w:eastAsia="zh-CN"/>
              </w:rPr>
            </w:pPr>
            <w:r>
              <w:rPr>
                <w:rFonts w:hint="eastAsia" w:ascii="宋体" w:hAnsi="宋体" w:eastAsia="宋体"/>
                <w:bCs/>
                <w:szCs w:val="21"/>
              </w:rPr>
              <w:t>◆6.设备具有硬件接口，不少于以下硬件接口及能力：LAN 、 WIFI 双 网 络 ， 支 持 同 时 连 接（10M/100M/1000M 自适应）；RS485*1；韦根*1；USB*1；喇叭扬声器；门锁I/O输出*1； 门磁I/O输入*1；报警I/O输出*1；事件 I/O 输入*2；PSAM*1；红绿双色LED 状态灯提示结果输出接口；机械防拆开关*1。</w:t>
            </w:r>
          </w:p>
          <w:p w14:paraId="32364D09">
            <w:pPr>
              <w:wordWrap w:val="0"/>
              <w:spacing w:line="360" w:lineRule="auto"/>
              <w:jc w:val="left"/>
              <w:rPr>
                <w:rFonts w:hint="eastAsia" w:ascii="宋体" w:hAnsi="宋体" w:eastAsia="宋体"/>
                <w:bCs/>
                <w:szCs w:val="21"/>
              </w:rPr>
            </w:pPr>
            <w:r>
              <w:rPr>
                <w:rFonts w:hint="eastAsia" w:ascii="宋体" w:hAnsi="宋体" w:eastAsia="宋体"/>
                <w:bCs/>
                <w:szCs w:val="21"/>
              </w:rPr>
              <w:t>7.设备支持通过WEB进行设备信息查询；支持通过WEB进行用户信息管理；支持通过WEB进行设备时间管理；支持通过WEB进行系统维护；支持通过WEB进行安全操作管理；支持通过WEB进行人脸、指纹等技术参数配置；支持通过WEB进行图像参数配置。</w:t>
            </w:r>
          </w:p>
          <w:p w14:paraId="7926FFD3">
            <w:pPr>
              <w:wordWrap w:val="0"/>
              <w:spacing w:line="360" w:lineRule="auto"/>
              <w:jc w:val="left"/>
              <w:rPr>
                <w:rFonts w:hint="eastAsia" w:ascii="宋体" w:hAnsi="宋体" w:eastAsia="宋体"/>
                <w:bCs/>
                <w:szCs w:val="21"/>
              </w:rPr>
            </w:pPr>
            <w:r>
              <w:rPr>
                <w:rFonts w:hint="eastAsia" w:ascii="宋体" w:hAnsi="宋体" w:eastAsia="宋体"/>
                <w:bCs/>
                <w:szCs w:val="21"/>
              </w:rPr>
              <w:t>8.设备支持在低照度无补光环境下正常实现人脸识别；人脸比对时间：＜175ms；最大人脸识别距离：＞3m；最小人脸识别距离：＜0.2m；人脸识别误识率≤0.01%的条件下，准确率大于99.9%；支持防假体攻击功能，对视频、电子照片、打印照片中的人脸不能进行人脸识别。</w:t>
            </w:r>
          </w:p>
          <w:p w14:paraId="459C6665">
            <w:pPr>
              <w:wordWrap w:val="0"/>
              <w:spacing w:line="360" w:lineRule="auto"/>
              <w:jc w:val="left"/>
              <w:rPr>
                <w:rFonts w:hint="eastAsia" w:ascii="宋体" w:hAnsi="宋体" w:eastAsia="宋体"/>
                <w:bCs/>
                <w:szCs w:val="21"/>
              </w:rPr>
            </w:pPr>
            <w:r>
              <w:rPr>
                <w:rFonts w:hint="eastAsia" w:ascii="宋体" w:hAnsi="宋体" w:eastAsia="宋体"/>
                <w:bCs/>
                <w:szCs w:val="21"/>
              </w:rPr>
              <w:t>9.设备支持对门的开启方式，人脸、密码的各种使用权限进行组合设置，实现不同场景的权限管理：（多重认证开门、多重+中心远程认证开门、多重+超级密码开门、多重+超级密码开门、首脸开门、超级权限开门、管理中心远程开门、APP 远程开门、室内机及管理机远程开门）；设备支持普通人、来宾、胁迫、超级、巡更、黑名单等多种类型用户权限设置；支持按时间分时段管控门禁权限；支持常开、常闭时段管理；支持反潜回（防尾随）功能。</w:t>
            </w:r>
          </w:p>
          <w:p w14:paraId="4564AA30">
            <w:pPr>
              <w:wordWrap w:val="0"/>
              <w:spacing w:line="360" w:lineRule="auto"/>
              <w:jc w:val="left"/>
              <w:rPr>
                <w:rFonts w:hint="eastAsia" w:ascii="宋体" w:hAnsi="宋体" w:eastAsia="宋体"/>
                <w:bCs/>
                <w:szCs w:val="21"/>
              </w:rPr>
            </w:pPr>
            <w:r>
              <w:rPr>
                <w:rFonts w:hint="eastAsia" w:ascii="宋体" w:hAnsi="宋体" w:eastAsia="宋体"/>
                <w:bCs/>
                <w:szCs w:val="21"/>
              </w:rPr>
              <w:t>10.设备支持多种人脸注册方式：设备本地人脸注册；本地U盘导入人员信息； 远程中心下发人脸；通过APP采集人脸注册下发。</w:t>
            </w:r>
          </w:p>
          <w:p w14:paraId="69177E0A">
            <w:pPr>
              <w:wordWrap w:val="0"/>
              <w:spacing w:line="360" w:lineRule="auto"/>
              <w:jc w:val="left"/>
              <w:rPr>
                <w:rFonts w:hint="eastAsia" w:ascii="宋体" w:hAnsi="宋体" w:eastAsia="宋体"/>
                <w:bCs/>
                <w:szCs w:val="21"/>
              </w:rPr>
            </w:pPr>
            <w:r>
              <w:rPr>
                <w:rFonts w:hint="eastAsia" w:ascii="宋体" w:hAnsi="宋体" w:eastAsia="宋体"/>
                <w:bCs/>
                <w:szCs w:val="21"/>
              </w:rPr>
              <w:t>11.设备支持局域网、互联网环境的网络通信；支持选择无线网络通信传输方式；支持云平台通信，实现视频、对讲及权限管控功能；在线状态下实时上传比对记录。</w:t>
            </w:r>
          </w:p>
          <w:p w14:paraId="7D1F994F">
            <w:pPr>
              <w:wordWrap w:val="0"/>
              <w:spacing w:line="360" w:lineRule="auto"/>
              <w:jc w:val="left"/>
              <w:rPr>
                <w:rFonts w:hint="eastAsia" w:ascii="宋体" w:hAnsi="宋体" w:eastAsia="宋体"/>
                <w:bCs/>
                <w:szCs w:val="21"/>
              </w:rPr>
            </w:pPr>
            <w:r>
              <w:rPr>
                <w:rFonts w:hint="eastAsia" w:ascii="宋体" w:hAnsi="宋体" w:eastAsia="宋体"/>
                <w:bCs/>
                <w:szCs w:val="21"/>
              </w:rPr>
              <w:t>12.设备支持与平台或客户端、室内机、管理机、手机 APP 对讲功能；支持扩展电话网关功能；设备支持管理中心远程视频预览功能； 支持接入NVR设备，实现视频监控录像 。</w:t>
            </w:r>
          </w:p>
          <w:p w14:paraId="6667B54D">
            <w:pPr>
              <w:wordWrap w:val="0"/>
              <w:spacing w:line="360" w:lineRule="auto"/>
              <w:jc w:val="left"/>
              <w:rPr>
                <w:rFonts w:hint="eastAsia" w:ascii="宋体" w:hAnsi="宋体" w:eastAsia="宋体"/>
                <w:bCs/>
                <w:szCs w:val="21"/>
              </w:rPr>
            </w:pPr>
            <w:r>
              <w:rPr>
                <w:rFonts w:hint="eastAsia" w:ascii="宋体" w:hAnsi="宋体" w:eastAsia="宋体"/>
                <w:bCs/>
                <w:szCs w:val="21"/>
              </w:rPr>
              <w:t>13.设备支持中心下发黑名单信息；支持本地黑名单信息比对；支持本地黑名单事件报警功能，报警信息能上传至平台；最大支持不少于50000 个人脸黑名单比对。</w:t>
            </w:r>
          </w:p>
          <w:p w14:paraId="79693C9E">
            <w:pPr>
              <w:wordWrap w:val="0"/>
              <w:spacing w:line="360" w:lineRule="auto"/>
              <w:jc w:val="left"/>
              <w:rPr>
                <w:rFonts w:hint="eastAsia" w:ascii="宋体" w:hAnsi="宋体" w:eastAsia="宋体"/>
                <w:bCs/>
                <w:szCs w:val="21"/>
              </w:rPr>
            </w:pPr>
            <w:r>
              <w:rPr>
                <w:rFonts w:hint="eastAsia" w:ascii="宋体" w:hAnsi="宋体" w:eastAsia="宋体"/>
                <w:bCs/>
                <w:szCs w:val="21"/>
              </w:rPr>
              <w:t>14.设备支持不开启白光补光灯实现人脸识别；支持软硬件低功耗管理模式，设备运行功耗低于 6w。</w:t>
            </w:r>
          </w:p>
          <w:p w14:paraId="1EB4153D">
            <w:pPr>
              <w:wordWrap w:val="0"/>
              <w:spacing w:line="360" w:lineRule="auto"/>
              <w:jc w:val="left"/>
              <w:rPr>
                <w:rFonts w:hint="eastAsia" w:ascii="宋体" w:hAnsi="宋体" w:eastAsia="宋体"/>
                <w:bCs/>
                <w:color w:val="FF0000"/>
                <w:szCs w:val="21"/>
              </w:rPr>
            </w:pPr>
            <w:r>
              <w:rPr>
                <w:rFonts w:hint="eastAsia" w:ascii="宋体" w:hAnsi="宋体" w:eastAsia="宋体"/>
                <w:bCs/>
                <w:szCs w:val="21"/>
              </w:rPr>
              <w:t>15.含配套室外遮阳罩。</w:t>
            </w:r>
          </w:p>
        </w:tc>
        <w:tc>
          <w:tcPr>
            <w:tcW w:w="510" w:type="dxa"/>
            <w:noWrap w:val="0"/>
            <w:vAlign w:val="center"/>
          </w:tcPr>
          <w:p w14:paraId="5734DD11">
            <w:pPr>
              <w:wordWrap w:val="0"/>
              <w:spacing w:line="360" w:lineRule="auto"/>
              <w:jc w:val="left"/>
              <w:rPr>
                <w:rFonts w:hint="eastAsia" w:ascii="宋体" w:hAnsi="宋体" w:eastAsia="宋体"/>
                <w:bCs/>
                <w:szCs w:val="21"/>
                <w:lang w:eastAsia="zh-CN"/>
              </w:rPr>
            </w:pPr>
            <w:r>
              <w:rPr>
                <w:rFonts w:hint="eastAsia" w:ascii="宋体" w:hAnsi="宋体" w:eastAsia="宋体"/>
                <w:bCs/>
                <w:szCs w:val="21"/>
                <w:lang w:val="en-US" w:eastAsia="zh-CN"/>
              </w:rPr>
              <w:t>6</w:t>
            </w:r>
          </w:p>
        </w:tc>
        <w:tc>
          <w:tcPr>
            <w:tcW w:w="480" w:type="dxa"/>
            <w:noWrap w:val="0"/>
            <w:vAlign w:val="center"/>
          </w:tcPr>
          <w:p w14:paraId="25BBAFB4">
            <w:pPr>
              <w:wordWrap w:val="0"/>
              <w:spacing w:line="360" w:lineRule="auto"/>
              <w:jc w:val="left"/>
              <w:rPr>
                <w:rFonts w:hint="eastAsia" w:ascii="宋体" w:hAnsi="宋体" w:eastAsia="宋体"/>
                <w:bCs/>
                <w:szCs w:val="21"/>
              </w:rPr>
            </w:pPr>
            <w:r>
              <w:rPr>
                <w:rFonts w:hint="eastAsia" w:ascii="宋体" w:hAnsi="宋体" w:eastAsia="宋体"/>
                <w:bCs/>
                <w:szCs w:val="21"/>
              </w:rPr>
              <w:t>台</w:t>
            </w:r>
          </w:p>
        </w:tc>
        <w:tc>
          <w:tcPr>
            <w:tcW w:w="371" w:type="dxa"/>
            <w:noWrap w:val="0"/>
            <w:vAlign w:val="center"/>
          </w:tcPr>
          <w:p w14:paraId="688AF585">
            <w:pPr>
              <w:wordWrap w:val="0"/>
              <w:spacing w:line="360" w:lineRule="auto"/>
              <w:jc w:val="left"/>
              <w:rPr>
                <w:rFonts w:hint="eastAsia" w:ascii="宋体" w:hAnsi="宋体" w:eastAsia="宋体"/>
                <w:bCs/>
                <w:szCs w:val="21"/>
              </w:rPr>
            </w:pPr>
          </w:p>
        </w:tc>
      </w:tr>
      <w:tr w14:paraId="01173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 w:type="dxa"/>
            <w:noWrap w:val="0"/>
            <w:vAlign w:val="center"/>
          </w:tcPr>
          <w:p w14:paraId="7A97FB21">
            <w:pPr>
              <w:wordWrap w:val="0"/>
              <w:spacing w:line="360" w:lineRule="auto"/>
              <w:jc w:val="left"/>
              <w:rPr>
                <w:rFonts w:ascii="宋体" w:hAnsi="宋体" w:eastAsia="宋体"/>
                <w:szCs w:val="21"/>
              </w:rPr>
            </w:pPr>
            <w:r>
              <w:rPr>
                <w:rFonts w:hint="eastAsia" w:ascii="宋体" w:hAnsi="宋体" w:eastAsia="宋体"/>
                <w:szCs w:val="21"/>
              </w:rPr>
              <w:t>5</w:t>
            </w:r>
          </w:p>
        </w:tc>
        <w:tc>
          <w:tcPr>
            <w:tcW w:w="840" w:type="dxa"/>
            <w:noWrap w:val="0"/>
            <w:vAlign w:val="center"/>
          </w:tcPr>
          <w:p w14:paraId="1AB66C66">
            <w:pPr>
              <w:wordWrap w:val="0"/>
              <w:spacing w:line="360" w:lineRule="auto"/>
              <w:jc w:val="center"/>
              <w:rPr>
                <w:rFonts w:ascii="宋体" w:hAnsi="宋体" w:eastAsia="宋体"/>
                <w:bCs/>
                <w:szCs w:val="21"/>
              </w:rPr>
            </w:pPr>
            <w:r>
              <w:rPr>
                <w:rFonts w:hint="eastAsia" w:ascii="宋体" w:hAnsi="宋体" w:eastAsia="宋体"/>
                <w:bCs/>
                <w:szCs w:val="21"/>
              </w:rPr>
              <w:t>16口接入交换机</w:t>
            </w:r>
          </w:p>
        </w:tc>
        <w:tc>
          <w:tcPr>
            <w:tcW w:w="5717" w:type="dxa"/>
            <w:noWrap w:val="0"/>
            <w:vAlign w:val="center"/>
          </w:tcPr>
          <w:p w14:paraId="6201D28D">
            <w:pPr>
              <w:wordWrap w:val="0"/>
              <w:spacing w:line="360" w:lineRule="auto"/>
              <w:jc w:val="left"/>
              <w:rPr>
                <w:rFonts w:hint="eastAsia" w:ascii="宋体" w:hAnsi="宋体" w:eastAsia="宋体"/>
                <w:bCs/>
                <w:szCs w:val="21"/>
              </w:rPr>
            </w:pPr>
            <w:r>
              <w:rPr>
                <w:rFonts w:hint="eastAsia" w:ascii="宋体" w:hAnsi="宋体" w:eastAsia="宋体"/>
                <w:bCs/>
                <w:szCs w:val="21"/>
              </w:rPr>
              <w:t>1.提供≥16个10/100/1000M自适应RJ45电口</w:t>
            </w:r>
          </w:p>
          <w:p w14:paraId="698A7E14">
            <w:pPr>
              <w:wordWrap w:val="0"/>
              <w:spacing w:line="360" w:lineRule="auto"/>
              <w:jc w:val="left"/>
              <w:rPr>
                <w:rFonts w:hint="eastAsia" w:ascii="宋体" w:hAnsi="宋体" w:eastAsia="宋体"/>
                <w:bCs/>
                <w:szCs w:val="21"/>
              </w:rPr>
            </w:pPr>
            <w:r>
              <w:rPr>
                <w:rFonts w:hint="eastAsia" w:ascii="宋体" w:hAnsi="宋体" w:eastAsia="宋体"/>
                <w:bCs/>
                <w:szCs w:val="21"/>
              </w:rPr>
              <w:t>≥1个千兆SFP光口</w:t>
            </w:r>
          </w:p>
          <w:p w14:paraId="46A408E4">
            <w:pPr>
              <w:wordWrap w:val="0"/>
              <w:spacing w:line="360" w:lineRule="auto"/>
              <w:jc w:val="left"/>
              <w:rPr>
                <w:rFonts w:hint="eastAsia" w:ascii="宋体" w:hAnsi="宋体" w:eastAsia="宋体"/>
                <w:bCs/>
                <w:szCs w:val="21"/>
              </w:rPr>
            </w:pPr>
            <w:r>
              <w:rPr>
                <w:rFonts w:hint="eastAsia" w:ascii="宋体" w:hAnsi="宋体" w:eastAsia="宋体"/>
                <w:bCs/>
                <w:szCs w:val="21"/>
              </w:rPr>
              <w:t>2.支持IEEE802.3、IEEE802.3u、IEEE802.3x</w:t>
            </w:r>
          </w:p>
          <w:p w14:paraId="7B7A359D">
            <w:pPr>
              <w:wordWrap w:val="0"/>
              <w:spacing w:line="360" w:lineRule="auto"/>
              <w:jc w:val="left"/>
              <w:rPr>
                <w:rFonts w:hint="eastAsia" w:ascii="宋体" w:hAnsi="宋体" w:eastAsia="宋体"/>
                <w:bCs/>
                <w:szCs w:val="21"/>
              </w:rPr>
            </w:pPr>
            <w:r>
              <w:rPr>
                <w:rFonts w:hint="eastAsia" w:ascii="宋体" w:hAnsi="宋体" w:eastAsia="宋体"/>
                <w:bCs/>
                <w:szCs w:val="21"/>
              </w:rPr>
              <w:t>3.全千兆网络设计</w:t>
            </w:r>
          </w:p>
          <w:p w14:paraId="0E4537E2">
            <w:pPr>
              <w:wordWrap w:val="0"/>
              <w:spacing w:line="360" w:lineRule="auto"/>
              <w:jc w:val="left"/>
              <w:rPr>
                <w:rFonts w:hint="eastAsia" w:ascii="宋体" w:hAnsi="宋体" w:eastAsia="宋体"/>
                <w:bCs/>
                <w:szCs w:val="21"/>
              </w:rPr>
            </w:pPr>
            <w:r>
              <w:rPr>
                <w:rFonts w:hint="eastAsia" w:ascii="宋体" w:hAnsi="宋体" w:eastAsia="宋体"/>
                <w:bCs/>
                <w:szCs w:val="21"/>
                <w:lang w:val="en-US" w:eastAsia="zh-CN"/>
              </w:rPr>
              <w:t>4.</w:t>
            </w:r>
            <w:r>
              <w:rPr>
                <w:rFonts w:hint="eastAsia" w:ascii="宋体" w:hAnsi="宋体" w:eastAsia="宋体"/>
                <w:bCs/>
                <w:szCs w:val="21"/>
              </w:rPr>
              <w:t>线速转发、无阻塞设计</w:t>
            </w:r>
          </w:p>
          <w:p w14:paraId="5953BA05">
            <w:pPr>
              <w:wordWrap w:val="0"/>
              <w:spacing w:line="360" w:lineRule="auto"/>
              <w:jc w:val="left"/>
              <w:rPr>
                <w:rFonts w:hint="eastAsia" w:ascii="宋体" w:hAnsi="宋体" w:eastAsia="宋体"/>
                <w:bCs/>
                <w:szCs w:val="21"/>
              </w:rPr>
            </w:pPr>
            <w:r>
              <w:rPr>
                <w:rFonts w:hint="eastAsia" w:ascii="宋体" w:hAnsi="宋体" w:eastAsia="宋体"/>
                <w:bCs/>
                <w:szCs w:val="21"/>
                <w:lang w:val="en-US" w:eastAsia="zh-CN"/>
              </w:rPr>
              <w:t>5</w:t>
            </w:r>
            <w:r>
              <w:rPr>
                <w:rFonts w:hint="eastAsia" w:ascii="宋体" w:hAnsi="宋体" w:eastAsia="宋体"/>
                <w:bCs/>
                <w:szCs w:val="21"/>
              </w:rPr>
              <w:t>.存储转发交换方式</w:t>
            </w:r>
          </w:p>
          <w:p w14:paraId="7CB33F2A">
            <w:pPr>
              <w:wordWrap w:val="0"/>
              <w:spacing w:line="360" w:lineRule="auto"/>
              <w:jc w:val="left"/>
              <w:rPr>
                <w:rFonts w:hint="eastAsia" w:ascii="宋体" w:hAnsi="宋体" w:eastAsia="宋体"/>
                <w:bCs/>
                <w:szCs w:val="21"/>
              </w:rPr>
            </w:pPr>
            <w:r>
              <w:rPr>
                <w:rFonts w:hint="eastAsia" w:ascii="宋体" w:hAnsi="宋体" w:eastAsia="宋体"/>
                <w:bCs/>
                <w:szCs w:val="21"/>
                <w:lang w:val="en-US" w:eastAsia="zh-CN"/>
              </w:rPr>
              <w:t>6</w:t>
            </w:r>
            <w:r>
              <w:rPr>
                <w:rFonts w:hint="eastAsia" w:ascii="宋体" w:hAnsi="宋体" w:eastAsia="宋体"/>
                <w:bCs/>
                <w:szCs w:val="21"/>
              </w:rPr>
              <w:t>.-10~45℃宽温工作范围</w:t>
            </w:r>
          </w:p>
          <w:p w14:paraId="47113EE5">
            <w:pPr>
              <w:wordWrap w:val="0"/>
              <w:spacing w:line="360" w:lineRule="auto"/>
              <w:jc w:val="left"/>
              <w:rPr>
                <w:rFonts w:ascii="宋体" w:hAnsi="宋体" w:eastAsia="宋体"/>
                <w:bCs/>
                <w:szCs w:val="21"/>
              </w:rPr>
            </w:pPr>
            <w:r>
              <w:rPr>
                <w:rFonts w:hint="eastAsia" w:ascii="宋体" w:hAnsi="宋体" w:eastAsia="宋体"/>
                <w:bCs/>
                <w:szCs w:val="21"/>
                <w:lang w:val="en-US" w:eastAsia="zh-CN"/>
              </w:rPr>
              <w:t>7</w:t>
            </w:r>
            <w:r>
              <w:rPr>
                <w:rFonts w:hint="eastAsia" w:ascii="宋体" w:hAnsi="宋体" w:eastAsia="宋体"/>
                <w:bCs/>
                <w:szCs w:val="21"/>
              </w:rPr>
              <w:t>.坚固式高强度金属外壳</w:t>
            </w:r>
          </w:p>
        </w:tc>
        <w:tc>
          <w:tcPr>
            <w:tcW w:w="510" w:type="dxa"/>
            <w:noWrap w:val="0"/>
            <w:vAlign w:val="center"/>
          </w:tcPr>
          <w:p w14:paraId="6CDA529F">
            <w:pPr>
              <w:wordWrap w:val="0"/>
              <w:spacing w:line="360" w:lineRule="auto"/>
              <w:jc w:val="left"/>
              <w:rPr>
                <w:rFonts w:hint="eastAsia" w:ascii="宋体" w:hAnsi="宋体" w:eastAsia="宋体"/>
                <w:bCs/>
                <w:szCs w:val="21"/>
              </w:rPr>
            </w:pPr>
            <w:r>
              <w:rPr>
                <w:rFonts w:hint="eastAsia" w:ascii="宋体" w:hAnsi="宋体" w:eastAsia="宋体"/>
                <w:bCs/>
                <w:szCs w:val="21"/>
              </w:rPr>
              <w:t>1</w:t>
            </w:r>
          </w:p>
        </w:tc>
        <w:tc>
          <w:tcPr>
            <w:tcW w:w="480" w:type="dxa"/>
            <w:noWrap w:val="0"/>
            <w:vAlign w:val="center"/>
          </w:tcPr>
          <w:p w14:paraId="016AE45B">
            <w:pPr>
              <w:wordWrap w:val="0"/>
              <w:spacing w:line="360" w:lineRule="auto"/>
              <w:jc w:val="left"/>
              <w:rPr>
                <w:rFonts w:hint="eastAsia" w:ascii="宋体" w:hAnsi="宋体" w:eastAsia="宋体"/>
                <w:bCs/>
                <w:szCs w:val="21"/>
              </w:rPr>
            </w:pPr>
            <w:r>
              <w:rPr>
                <w:rFonts w:hint="eastAsia" w:ascii="宋体" w:hAnsi="宋体" w:eastAsia="宋体"/>
                <w:bCs/>
                <w:szCs w:val="21"/>
              </w:rPr>
              <w:t>台</w:t>
            </w:r>
          </w:p>
        </w:tc>
        <w:tc>
          <w:tcPr>
            <w:tcW w:w="371" w:type="dxa"/>
            <w:noWrap w:val="0"/>
            <w:vAlign w:val="center"/>
          </w:tcPr>
          <w:p w14:paraId="4CFFE88D">
            <w:pPr>
              <w:wordWrap w:val="0"/>
              <w:spacing w:line="360" w:lineRule="auto"/>
              <w:jc w:val="left"/>
              <w:rPr>
                <w:rFonts w:hint="eastAsia" w:ascii="宋体" w:hAnsi="宋体" w:eastAsia="宋体"/>
                <w:bCs/>
                <w:szCs w:val="21"/>
              </w:rPr>
            </w:pPr>
          </w:p>
        </w:tc>
      </w:tr>
      <w:tr w14:paraId="1FE47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470" w:type="dxa"/>
            <w:noWrap w:val="0"/>
            <w:vAlign w:val="center"/>
          </w:tcPr>
          <w:p w14:paraId="12F6B7E5">
            <w:pPr>
              <w:wordWrap w:val="0"/>
              <w:spacing w:line="360" w:lineRule="auto"/>
              <w:jc w:val="left"/>
              <w:rPr>
                <w:rFonts w:ascii="宋体" w:hAnsi="宋体" w:eastAsia="宋体"/>
                <w:szCs w:val="21"/>
              </w:rPr>
            </w:pPr>
            <w:r>
              <w:rPr>
                <w:rFonts w:hint="eastAsia" w:ascii="宋体" w:hAnsi="宋体" w:eastAsia="宋体"/>
                <w:szCs w:val="21"/>
              </w:rPr>
              <w:t>6</w:t>
            </w:r>
          </w:p>
        </w:tc>
        <w:tc>
          <w:tcPr>
            <w:tcW w:w="840" w:type="dxa"/>
            <w:noWrap w:val="0"/>
            <w:vAlign w:val="center"/>
          </w:tcPr>
          <w:p w14:paraId="1DEF2D41">
            <w:pPr>
              <w:wordWrap w:val="0"/>
              <w:spacing w:line="360" w:lineRule="auto"/>
              <w:jc w:val="center"/>
              <w:rPr>
                <w:rFonts w:hint="eastAsia" w:ascii="宋体" w:hAnsi="宋体" w:eastAsia="宋体"/>
                <w:bCs/>
                <w:szCs w:val="21"/>
              </w:rPr>
            </w:pPr>
            <w:r>
              <w:rPr>
                <w:rFonts w:hint="eastAsia" w:ascii="宋体" w:hAnsi="宋体" w:eastAsia="宋体"/>
                <w:bCs/>
                <w:szCs w:val="21"/>
              </w:rPr>
              <w:t>平台扩容</w:t>
            </w:r>
          </w:p>
        </w:tc>
        <w:tc>
          <w:tcPr>
            <w:tcW w:w="5717" w:type="dxa"/>
            <w:noWrap w:val="0"/>
            <w:vAlign w:val="center"/>
          </w:tcPr>
          <w:p w14:paraId="29E11938">
            <w:pPr>
              <w:wordWrap w:val="0"/>
              <w:spacing w:line="360" w:lineRule="auto"/>
              <w:jc w:val="left"/>
              <w:rPr>
                <w:rFonts w:hint="eastAsia" w:ascii="宋体" w:hAnsi="宋体" w:eastAsia="宋体"/>
                <w:bCs/>
                <w:szCs w:val="21"/>
              </w:rPr>
            </w:pPr>
            <w:r>
              <w:rPr>
                <w:rFonts w:hint="eastAsia" w:ascii="宋体" w:hAnsi="宋体" w:eastAsia="宋体"/>
                <w:b/>
                <w:bCs w:val="0"/>
                <w:szCs w:val="21"/>
              </w:rPr>
              <w:t>*1.</w:t>
            </w:r>
            <w:r>
              <w:rPr>
                <w:rFonts w:hint="eastAsia" w:ascii="宋体" w:hAnsi="宋体" w:eastAsia="宋体"/>
                <w:b/>
                <w:bCs w:val="0"/>
                <w:szCs w:val="21"/>
                <w:lang w:val="en-US" w:eastAsia="zh-CN"/>
              </w:rPr>
              <w:t>供应商提供承诺函，承诺</w:t>
            </w:r>
            <w:r>
              <w:rPr>
                <w:rFonts w:hint="eastAsia" w:ascii="宋体" w:hAnsi="宋体" w:eastAsia="宋体"/>
                <w:b/>
                <w:bCs w:val="0"/>
                <w:szCs w:val="21"/>
              </w:rPr>
              <w:t>本次不再新建平台对学校现有平安校园管理平台扩容不少于20路门禁授权。</w:t>
            </w:r>
            <w:r>
              <w:rPr>
                <w:rFonts w:hint="eastAsia" w:ascii="宋体" w:hAnsi="宋体" w:eastAsia="宋体"/>
                <w:b/>
                <w:bCs w:val="0"/>
                <w:szCs w:val="21"/>
                <w:lang w:eastAsia="zh-CN"/>
              </w:rPr>
              <w:t>（</w:t>
            </w:r>
            <w:r>
              <w:rPr>
                <w:rFonts w:hint="eastAsia" w:ascii="宋体" w:hAnsi="宋体" w:eastAsia="宋体"/>
                <w:b/>
                <w:bCs w:val="0"/>
                <w:szCs w:val="21"/>
                <w:lang w:val="en-US" w:eastAsia="zh-CN"/>
              </w:rPr>
              <w:t>格式自拟并加盖单位公章</w:t>
            </w:r>
            <w:r>
              <w:rPr>
                <w:rFonts w:hint="eastAsia" w:ascii="宋体" w:hAnsi="宋体" w:eastAsia="宋体"/>
                <w:b/>
                <w:bCs w:val="0"/>
                <w:szCs w:val="21"/>
                <w:lang w:eastAsia="zh-CN"/>
              </w:rPr>
              <w:t>）</w:t>
            </w:r>
          </w:p>
          <w:p w14:paraId="1CF88A1E">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2.支持对视频、门禁、停车场、访客等子系统进行报警配置</w:t>
            </w:r>
            <w:r>
              <w:rPr>
                <w:rFonts w:hint="eastAsia" w:ascii="宋体" w:hAnsi="宋体" w:eastAsia="宋体"/>
                <w:bCs/>
                <w:szCs w:val="21"/>
                <w:lang w:eastAsia="zh-CN"/>
              </w:rPr>
              <w:t>，</w:t>
            </w:r>
            <w:r>
              <w:rPr>
                <w:rFonts w:hint="eastAsia" w:ascii="宋体" w:hAnsi="宋体" w:eastAsia="宋体"/>
                <w:bCs/>
                <w:szCs w:val="21"/>
              </w:rPr>
              <w:t>产生客户端联动、录像联动、云台联动、抓图联动、电视墙联动、IO输出联动、开门联动、短信联动、邮件联动等，支持模板化联动配置</w:t>
            </w:r>
            <w:r>
              <w:rPr>
                <w:rFonts w:hint="eastAsia" w:ascii="宋体" w:hAnsi="宋体" w:eastAsia="宋体"/>
                <w:bCs/>
                <w:szCs w:val="21"/>
                <w:lang w:eastAsia="zh-CN"/>
              </w:rPr>
              <w:t>。</w:t>
            </w:r>
          </w:p>
          <w:p w14:paraId="274CC5FF">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3.支持对用户、角色、组织、区域、人员、车辆、卡片、设备等基础资源进行统一管理调配</w:t>
            </w:r>
            <w:r>
              <w:rPr>
                <w:rFonts w:hint="eastAsia" w:ascii="宋体" w:hAnsi="宋体" w:eastAsia="宋体"/>
                <w:bCs/>
                <w:szCs w:val="21"/>
                <w:lang w:eastAsia="zh-CN"/>
              </w:rPr>
              <w:t>。</w:t>
            </w:r>
          </w:p>
          <w:p w14:paraId="7ECF5024">
            <w:pPr>
              <w:pStyle w:val="2"/>
              <w:rPr>
                <w:rFonts w:hint="eastAsia" w:ascii="宋体" w:hAnsi="宋体" w:eastAsia="宋体" w:cs="宋体"/>
              </w:rPr>
            </w:pPr>
            <w:r>
              <w:rPr>
                <w:rFonts w:hint="eastAsia" w:ascii="宋体" w:hAnsi="宋体" w:eastAsia="宋体"/>
                <w:bCs/>
                <w:szCs w:val="21"/>
              </w:rPr>
              <w:t>◆4.支持导航视图管理，对系统内各节点进行查看、增加、删除、修改，展示、查找；支持对系统内所有服务器进行监控，包括名称、IP地址、状态、未处理告警数、CPU使用率、内存使用率、磁盘容量等；支持对系统内所有组件信息进行监控，组件信息包含：组件名称、未处理告警数、所属服务器、最近操作时间、授权状态、维保期限、使用期限等</w:t>
            </w:r>
            <w:r>
              <w:rPr>
                <w:rFonts w:hint="eastAsia" w:ascii="宋体" w:hAnsi="宋体" w:eastAsia="宋体"/>
                <w:bCs/>
                <w:szCs w:val="21"/>
                <w:lang w:eastAsia="zh-CN"/>
              </w:rPr>
              <w:t>。</w:t>
            </w:r>
            <w:r>
              <w:rPr>
                <w:rFonts w:hint="eastAsia" w:ascii="宋体" w:hAnsi="宋体" w:eastAsia="宋体"/>
                <w:b/>
                <w:bCs w:val="0"/>
                <w:szCs w:val="21"/>
              </w:rPr>
              <w:t>（提供第三方出具的带有 CMA 标识的检测报告扫描件）</w:t>
            </w:r>
          </w:p>
          <w:p w14:paraId="01A9FCBC">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5.能按照指定设备、指定通道进行图像的实时点播，支持点播图像的显示、缩放、抓拍和录像，支持多用户对同以图像资源的同时点播，支持基于GIS地图的图像点播</w:t>
            </w:r>
            <w:r>
              <w:rPr>
                <w:rFonts w:hint="eastAsia" w:ascii="宋体" w:hAnsi="宋体" w:eastAsia="宋体"/>
                <w:bCs/>
                <w:szCs w:val="21"/>
                <w:lang w:eastAsia="zh-CN"/>
              </w:rPr>
              <w:t>。</w:t>
            </w:r>
          </w:p>
          <w:p w14:paraId="2DF20A8D">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6.支持对重点人员识别，处于重点人员名单内的人脸出现时，系统自动报警，支持对陌生人识别，人脸不在名单内时，系统自动报警</w:t>
            </w:r>
            <w:r>
              <w:rPr>
                <w:rFonts w:hint="eastAsia" w:ascii="宋体" w:hAnsi="宋体" w:eastAsia="宋体"/>
                <w:bCs/>
                <w:szCs w:val="21"/>
                <w:lang w:eastAsia="zh-CN"/>
              </w:rPr>
              <w:t>。</w:t>
            </w:r>
          </w:p>
          <w:p w14:paraId="1A3C17E5">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7.支持以脸搜脸，对人脸图片进行检索，检索结果支持列表模式和地图模式，地图模式可以按照时间顺序形成人脸轨迹，用于描述目标人员在该区域的移动路线</w:t>
            </w:r>
            <w:r>
              <w:rPr>
                <w:rFonts w:hint="eastAsia" w:ascii="宋体" w:hAnsi="宋体" w:eastAsia="宋体"/>
                <w:bCs/>
                <w:szCs w:val="21"/>
                <w:lang w:eastAsia="zh-CN"/>
              </w:rPr>
              <w:t>。</w:t>
            </w:r>
          </w:p>
          <w:p w14:paraId="3E49D752">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8.支持门禁权限配置和下发；支持卡（含身份证）、人脸、指纹、卡密码等凭证单独或组合使用的认证方式</w:t>
            </w:r>
            <w:r>
              <w:rPr>
                <w:rFonts w:hint="eastAsia" w:ascii="宋体" w:hAnsi="宋体" w:eastAsia="宋体"/>
                <w:bCs/>
                <w:szCs w:val="21"/>
                <w:lang w:eastAsia="zh-CN"/>
              </w:rPr>
              <w:t>。</w:t>
            </w:r>
          </w:p>
          <w:p w14:paraId="4DCB4BF2">
            <w:pPr>
              <w:wordWrap w:val="0"/>
              <w:spacing w:line="360" w:lineRule="auto"/>
              <w:jc w:val="left"/>
              <w:rPr>
                <w:rFonts w:hint="eastAsia" w:ascii="宋体" w:hAnsi="宋体" w:eastAsia="宋体"/>
                <w:bCs/>
                <w:szCs w:val="21"/>
                <w:lang w:eastAsia="zh-CN"/>
              </w:rPr>
            </w:pPr>
            <w:r>
              <w:rPr>
                <w:rFonts w:hint="eastAsia" w:ascii="宋体" w:hAnsi="宋体" w:eastAsia="宋体"/>
                <w:bCs/>
                <w:szCs w:val="21"/>
              </w:rPr>
              <w:t>9.支持多种记录查询包括：过车记录、停车记录、场内车辆记录、充值退款记录、临时车缴费记录、优惠券记录、预约记录、班次记录等；查询结果支持列表和图片两种方式展示</w:t>
            </w:r>
            <w:r>
              <w:rPr>
                <w:rFonts w:hint="eastAsia" w:ascii="宋体" w:hAnsi="宋体" w:eastAsia="宋体"/>
                <w:bCs/>
                <w:szCs w:val="21"/>
                <w:lang w:eastAsia="zh-CN"/>
              </w:rPr>
              <w:t>。</w:t>
            </w:r>
          </w:p>
        </w:tc>
        <w:tc>
          <w:tcPr>
            <w:tcW w:w="510" w:type="dxa"/>
            <w:noWrap w:val="0"/>
            <w:vAlign w:val="center"/>
          </w:tcPr>
          <w:p w14:paraId="6B2FC378">
            <w:pPr>
              <w:wordWrap w:val="0"/>
              <w:spacing w:line="360" w:lineRule="auto"/>
              <w:jc w:val="left"/>
              <w:rPr>
                <w:rFonts w:ascii="宋体" w:hAnsi="宋体" w:eastAsia="宋体"/>
                <w:bCs/>
                <w:szCs w:val="21"/>
              </w:rPr>
            </w:pPr>
            <w:r>
              <w:rPr>
                <w:rFonts w:hint="eastAsia" w:ascii="宋体" w:hAnsi="宋体" w:eastAsia="宋体"/>
                <w:bCs/>
                <w:szCs w:val="21"/>
              </w:rPr>
              <w:t>1</w:t>
            </w:r>
          </w:p>
        </w:tc>
        <w:tc>
          <w:tcPr>
            <w:tcW w:w="480" w:type="dxa"/>
            <w:noWrap w:val="0"/>
            <w:vAlign w:val="center"/>
          </w:tcPr>
          <w:p w14:paraId="5978C13F">
            <w:pPr>
              <w:wordWrap w:val="0"/>
              <w:spacing w:line="360" w:lineRule="auto"/>
              <w:jc w:val="left"/>
              <w:rPr>
                <w:rFonts w:hint="eastAsia" w:ascii="宋体" w:hAnsi="宋体" w:eastAsia="宋体"/>
                <w:bCs/>
                <w:szCs w:val="21"/>
                <w:lang w:eastAsia="zh-CN"/>
              </w:rPr>
            </w:pPr>
            <w:r>
              <w:rPr>
                <w:rFonts w:hint="eastAsia" w:ascii="宋体" w:hAnsi="宋体" w:eastAsia="宋体"/>
                <w:bCs/>
                <w:szCs w:val="21"/>
                <w:lang w:val="en-US" w:eastAsia="zh-CN"/>
              </w:rPr>
              <w:t>项</w:t>
            </w:r>
          </w:p>
        </w:tc>
        <w:tc>
          <w:tcPr>
            <w:tcW w:w="371" w:type="dxa"/>
            <w:noWrap w:val="0"/>
            <w:vAlign w:val="center"/>
          </w:tcPr>
          <w:p w14:paraId="0C713771">
            <w:pPr>
              <w:wordWrap w:val="0"/>
              <w:spacing w:line="360" w:lineRule="auto"/>
              <w:jc w:val="left"/>
              <w:rPr>
                <w:rFonts w:hint="eastAsia" w:ascii="宋体" w:hAnsi="宋体" w:eastAsia="宋体"/>
                <w:bCs/>
                <w:szCs w:val="21"/>
              </w:rPr>
            </w:pPr>
          </w:p>
        </w:tc>
      </w:tr>
    </w:tbl>
    <w:p w14:paraId="157F1380">
      <w:pPr>
        <w:wordWrap w:val="0"/>
        <w:spacing w:line="360" w:lineRule="auto"/>
        <w:ind w:firstLine="437"/>
        <w:jc w:val="left"/>
        <w:rPr>
          <w:rFonts w:ascii="宋体" w:hAnsi="宋体" w:eastAsia="宋体"/>
          <w:b/>
          <w:bCs/>
          <w:sz w:val="24"/>
          <w:szCs w:val="18"/>
        </w:rPr>
      </w:pPr>
      <w:r>
        <w:rPr>
          <w:rFonts w:hint="eastAsia" w:ascii="宋体" w:hAnsi="宋体" w:eastAsia="宋体"/>
          <w:b/>
          <w:bCs/>
          <w:sz w:val="28"/>
          <w:szCs w:val="28"/>
        </w:rPr>
        <w:t>三、其他要求</w:t>
      </w:r>
    </w:p>
    <w:p w14:paraId="7F6DDD0D">
      <w:pPr>
        <w:wordWrap w:val="0"/>
        <w:spacing w:line="360" w:lineRule="auto"/>
        <w:ind w:firstLine="480" w:firstLineChars="200"/>
        <w:rPr>
          <w:rFonts w:hint="eastAsia" w:ascii="宋体" w:hAnsi="宋体" w:eastAsia="宋体"/>
          <w:sz w:val="24"/>
        </w:rPr>
      </w:pPr>
      <w:r>
        <w:rPr>
          <w:rFonts w:hint="eastAsia" w:ascii="宋体" w:hAnsi="宋体" w:eastAsia="宋体"/>
          <w:sz w:val="24"/>
        </w:rPr>
        <w:t>1、本项目购买设备数量、规格等根据采购人现场情况将所有设备安装到位，并提供本项目设备安装调试所需的所有辅材（包含但不限于各种规格型号的PVC线管、管卡、直接、弯头、及施工中的道路开挖修复等内容），此部分内容涉及的所有费用均包含在本项目报价中，不单独列项。</w:t>
      </w:r>
    </w:p>
    <w:p w14:paraId="08B765AD">
      <w:pPr>
        <w:wordWrap w:val="0"/>
        <w:spacing w:line="360" w:lineRule="auto"/>
        <w:ind w:firstLine="482" w:firstLineChars="200"/>
        <w:rPr>
          <w:rFonts w:hint="eastAsia" w:ascii="宋体" w:hAnsi="宋体" w:eastAsia="宋体"/>
          <w:b w:val="0"/>
          <w:bCs w:val="0"/>
          <w:sz w:val="24"/>
          <w:highlight w:val="none"/>
          <w:lang w:eastAsia="zh-CN"/>
        </w:rPr>
      </w:pPr>
      <w:r>
        <w:rPr>
          <w:rFonts w:hint="eastAsia" w:ascii="宋体" w:hAnsi="宋体" w:eastAsia="宋体"/>
          <w:b/>
          <w:bCs/>
          <w:sz w:val="24"/>
          <w:highlight w:val="none"/>
          <w:lang w:val="en-US" w:eastAsia="zh-CN"/>
        </w:rPr>
        <w:t>*</w:t>
      </w:r>
      <w:r>
        <w:rPr>
          <w:rFonts w:hint="eastAsia" w:ascii="宋体" w:hAnsi="宋体" w:eastAsia="宋体"/>
          <w:b w:val="0"/>
          <w:bCs w:val="0"/>
          <w:sz w:val="24"/>
          <w:highlight w:val="none"/>
        </w:rPr>
        <w:t>2、</w:t>
      </w:r>
      <w:r>
        <w:rPr>
          <w:rFonts w:hint="eastAsia" w:ascii="宋体" w:hAnsi="宋体" w:eastAsia="宋体"/>
          <w:b w:val="0"/>
          <w:bCs w:val="0"/>
          <w:sz w:val="24"/>
          <w:highlight w:val="none"/>
          <w:lang w:val="en-US" w:eastAsia="zh-CN"/>
        </w:rPr>
        <w:t>供应商</w:t>
      </w:r>
      <w:r>
        <w:rPr>
          <w:rFonts w:hint="eastAsia" w:ascii="宋体" w:hAnsi="宋体" w:eastAsia="宋体"/>
          <w:b w:val="0"/>
          <w:bCs w:val="0"/>
          <w:sz w:val="24"/>
          <w:highlight w:val="none"/>
        </w:rPr>
        <w:t>提供售后服务承诺函</w:t>
      </w:r>
      <w:r>
        <w:rPr>
          <w:rFonts w:hint="eastAsia" w:ascii="宋体" w:hAnsi="宋体" w:eastAsia="宋体"/>
          <w:b w:val="0"/>
          <w:bCs w:val="0"/>
          <w:sz w:val="24"/>
          <w:highlight w:val="none"/>
          <w:lang w:eastAsia="zh-CN"/>
        </w:rPr>
        <w:t>，</w:t>
      </w:r>
      <w:r>
        <w:rPr>
          <w:rFonts w:hint="eastAsia" w:ascii="宋体" w:hAnsi="宋体" w:eastAsia="宋体"/>
          <w:b w:val="0"/>
          <w:bCs w:val="0"/>
          <w:sz w:val="24"/>
          <w:highlight w:val="none"/>
          <w:lang w:val="en-US" w:eastAsia="zh-CN"/>
        </w:rPr>
        <w:t>承诺</w:t>
      </w:r>
      <w:r>
        <w:rPr>
          <w:rFonts w:hint="eastAsia" w:ascii="宋体" w:hAnsi="宋体" w:eastAsia="宋体"/>
          <w:b w:val="0"/>
          <w:bCs w:val="0"/>
          <w:sz w:val="24"/>
          <w:highlight w:val="none"/>
        </w:rPr>
        <w:t>本项目售后服务响应时间：30分钟内响应，一般故障4小时内解决，严重故障需向</w:t>
      </w:r>
      <w:r>
        <w:rPr>
          <w:rFonts w:hint="eastAsia" w:ascii="宋体" w:hAnsi="宋体" w:eastAsia="宋体"/>
          <w:b w:val="0"/>
          <w:bCs w:val="0"/>
          <w:sz w:val="24"/>
          <w:highlight w:val="none"/>
          <w:lang w:val="en-US" w:eastAsia="zh-CN"/>
        </w:rPr>
        <w:t>采购人</w:t>
      </w:r>
      <w:r>
        <w:rPr>
          <w:rFonts w:hint="eastAsia" w:ascii="宋体" w:hAnsi="宋体" w:eastAsia="宋体"/>
          <w:b w:val="0"/>
          <w:bCs w:val="0"/>
          <w:sz w:val="24"/>
          <w:highlight w:val="none"/>
        </w:rPr>
        <w:t>报备情况，给出解决方案，并在72小时内解决。</w:t>
      </w:r>
      <w:r>
        <w:rPr>
          <w:rFonts w:hint="eastAsia" w:ascii="宋体" w:hAnsi="宋体" w:eastAsia="宋体"/>
          <w:b/>
          <w:bCs/>
          <w:sz w:val="24"/>
          <w:highlight w:val="none"/>
          <w:lang w:eastAsia="zh-CN"/>
        </w:rPr>
        <w:t>（</w:t>
      </w:r>
      <w:r>
        <w:rPr>
          <w:rFonts w:hint="eastAsia" w:ascii="宋体" w:hAnsi="宋体" w:eastAsia="宋体"/>
          <w:b/>
          <w:bCs/>
          <w:sz w:val="24"/>
          <w:highlight w:val="none"/>
          <w:lang w:val="en-US" w:eastAsia="zh-CN"/>
        </w:rPr>
        <w:t>提供承诺函，格式自拟并加盖供应商公章</w:t>
      </w:r>
      <w:r>
        <w:rPr>
          <w:rFonts w:hint="eastAsia" w:ascii="宋体" w:hAnsi="宋体" w:eastAsia="宋体"/>
          <w:b/>
          <w:bCs/>
          <w:sz w:val="24"/>
          <w:highlight w:val="none"/>
          <w:lang w:eastAsia="zh-CN"/>
        </w:rPr>
        <w:t>）</w:t>
      </w:r>
    </w:p>
    <w:p w14:paraId="3934AEB1">
      <w:pPr>
        <w:wordWrap w:val="0"/>
        <w:spacing w:line="360" w:lineRule="auto"/>
        <w:ind w:firstLine="482" w:firstLineChars="200"/>
        <w:rPr>
          <w:rFonts w:ascii="宋体" w:hAnsi="宋体" w:eastAsia="宋体"/>
          <w:sz w:val="24"/>
        </w:rPr>
      </w:pPr>
      <w:r>
        <w:rPr>
          <w:rFonts w:hint="eastAsia" w:ascii="宋体" w:hAnsi="宋体" w:eastAsia="宋体"/>
          <w:b/>
          <w:bCs/>
          <w:sz w:val="24"/>
          <w:highlight w:val="none"/>
          <w:lang w:val="en-US" w:eastAsia="zh-CN"/>
        </w:rPr>
        <w:t>*</w:t>
      </w:r>
      <w:r>
        <w:rPr>
          <w:rFonts w:hint="eastAsia" w:ascii="宋体" w:hAnsi="宋体" w:eastAsia="宋体"/>
          <w:b w:val="0"/>
          <w:bCs w:val="0"/>
          <w:sz w:val="24"/>
          <w:highlight w:val="none"/>
          <w:lang w:val="en-US" w:eastAsia="zh-CN"/>
        </w:rPr>
        <w:t>3、供应商须严格按照产品配置、性能参数等响应，严格按照投标响应情况进行供货安装及履约，为确保项目整体性能及质量，成交供应商签订合同后采购人对所投产品相关功能进行验证，放弃验证或验证与响应情况不一致的不予安装，合同期限内未完成的采购人有权追究违约责任并上报监管部门按规定处理；由此产生的一切后果责任均由供应商承担。</w:t>
      </w:r>
      <w:r>
        <w:rPr>
          <w:rFonts w:hint="eastAsia" w:ascii="宋体" w:hAnsi="宋体" w:eastAsia="宋体"/>
          <w:b/>
          <w:bCs/>
          <w:sz w:val="24"/>
          <w:highlight w:val="none"/>
          <w:lang w:eastAsia="zh-CN"/>
        </w:rPr>
        <w:t>（</w:t>
      </w:r>
      <w:r>
        <w:rPr>
          <w:rFonts w:hint="eastAsia" w:ascii="宋体" w:hAnsi="宋体" w:eastAsia="宋体"/>
          <w:b/>
          <w:bCs/>
          <w:sz w:val="24"/>
          <w:highlight w:val="none"/>
          <w:lang w:val="en-US" w:eastAsia="zh-CN"/>
        </w:rPr>
        <w:t>提供承诺函，格式自拟并加盖供应商公章</w:t>
      </w:r>
      <w:r>
        <w:rPr>
          <w:rFonts w:hint="eastAsia" w:ascii="宋体" w:hAnsi="宋体" w:eastAsia="宋体"/>
          <w:b/>
          <w:bCs/>
          <w:sz w:val="24"/>
          <w:highlight w:val="none"/>
          <w:lang w:eastAsia="zh-CN"/>
        </w:rPr>
        <w:t>）</w:t>
      </w:r>
    </w:p>
    <w:p w14:paraId="7940B0EC">
      <w:bookmarkStart w:id="0" w:name="_GoBack"/>
      <w:bookmarkEnd w:id="0"/>
    </w:p>
    <w:sectPr>
      <w:pgSz w:w="11906" w:h="16838"/>
      <w:pgMar w:top="1417" w:right="1417" w:bottom="1417" w:left="1417"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795AA8"/>
    <w:rsid w:val="40C270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Body Text Indent"/>
    <w:basedOn w:val="1"/>
    <w:unhideWhenUsed/>
    <w:qFormat/>
    <w:uiPriority w:val="99"/>
    <w:pPr>
      <w:ind w:firstLine="645"/>
    </w:pPr>
    <w:rPr>
      <w:rFonts w:ascii="楷体_GB2312" w:eastAsia="楷体_GB2312"/>
      <w:sz w:val="32"/>
      <w:szCs w:val="20"/>
    </w:r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First Indent 2"/>
    <w:basedOn w:val="3"/>
    <w:unhideWhenUsed/>
    <w:qFormat/>
    <w:uiPriority w:val="99"/>
    <w:pPr>
      <w:ind w:left="420" w:firstLine="420" w:firstLineChars="200"/>
    </w:pPr>
    <w:rPr>
      <w:rFonts w:ascii="Times New Roman" w:cs="Times New Roman"/>
    </w:rPr>
  </w:style>
  <w:style w:type="paragraph" w:customStyle="1" w:styleId="8">
    <w:name w:val="D&amp;L"/>
    <w:basedOn w:val="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9">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2024-04-24T00:37:00Z</dcterms:created>
  <dc:creator>lenovo</dc:creator>
  <cp:lastModifiedBy>lenovo</cp:lastModifiedBy>
  <dcterms:modified xsi:type="dcterms:W3CDTF">2025-06-05T06:03:50Z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EBBE58CACEE74BFAB27550C30796A778_12</vt:lpwstr>
  </property>
  <property fmtid="{D5CDD505-2E9C-101B-9397-08002B2CF9AE}" pid="4" name="KSOTemplateDocerSaveRecord">
    <vt:lpwstr>eyJoZGlkIjoiYzk1YzkyZjJhMDdiOTgzNWMxYThmNDRhZWM1NTQzZTkiLCJ1c2VySWQiOiI2OTk4Nzk1ODIifQ==</vt:lpwstr>
  </property>
</Properties>
</file>