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74B9B1">
      <w:pPr>
        <w:wordWrap w:val="0"/>
        <w:spacing w:line="360" w:lineRule="auto"/>
        <w:jc w:val="center"/>
        <w:outlineLvl w:val="2"/>
        <w:rPr>
          <w:rFonts w:ascii="Arial" w:hAnsi="Arial" w:eastAsia="宋体" w:cs="Arial"/>
          <w:b/>
          <w:bCs/>
          <w:sz w:val="28"/>
          <w:szCs w:val="28"/>
          <w:highlight w:val="none"/>
        </w:rPr>
      </w:pPr>
      <w:r>
        <w:rPr>
          <w:rFonts w:hint="eastAsia" w:ascii="Arial" w:hAnsi="Arial" w:eastAsia="宋体" w:cs="Arial"/>
          <w:b/>
          <w:bCs/>
          <w:sz w:val="28"/>
          <w:szCs w:val="28"/>
          <w:highlight w:val="none"/>
        </w:rPr>
        <w:t>货物需求一览表</w:t>
      </w:r>
    </w:p>
    <w:tbl>
      <w:tblPr>
        <w:tblStyle w:val="26"/>
        <w:tblW w:w="97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5"/>
        <w:gridCol w:w="964"/>
        <w:gridCol w:w="6424"/>
        <w:gridCol w:w="901"/>
        <w:gridCol w:w="935"/>
      </w:tblGrid>
      <w:tr w14:paraId="6AF48F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525" w:type="dxa"/>
            <w:tcBorders>
              <w:tl2br w:val="nil"/>
              <w:tr2bl w:val="nil"/>
            </w:tcBorders>
            <w:shd w:val="clear" w:color="auto" w:fill="auto"/>
            <w:vAlign w:val="center"/>
          </w:tcPr>
          <w:p w14:paraId="65366FCA">
            <w:pPr>
              <w:widowControl/>
              <w:jc w:val="center"/>
              <w:textAlignment w:val="center"/>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lang w:bidi="ar"/>
                <w14:textFill>
                  <w14:solidFill>
                    <w14:schemeClr w14:val="tx1"/>
                  </w14:solidFill>
                </w14:textFill>
              </w:rPr>
              <w:t>序号</w:t>
            </w:r>
          </w:p>
        </w:tc>
        <w:tc>
          <w:tcPr>
            <w:tcW w:w="964" w:type="dxa"/>
            <w:tcBorders>
              <w:tl2br w:val="nil"/>
              <w:tr2bl w:val="nil"/>
            </w:tcBorders>
            <w:shd w:val="clear" w:color="auto" w:fill="auto"/>
            <w:vAlign w:val="center"/>
          </w:tcPr>
          <w:p w14:paraId="45C1E6EB">
            <w:pPr>
              <w:widowControl/>
              <w:jc w:val="center"/>
              <w:textAlignment w:val="top"/>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b/>
                <w:bCs/>
                <w:color w:val="000000" w:themeColor="text1"/>
                <w:kern w:val="0"/>
                <w:szCs w:val="21"/>
                <w:highlight w:val="none"/>
                <w:lang w:bidi="ar"/>
                <w14:textFill>
                  <w14:solidFill>
                    <w14:schemeClr w14:val="tx1"/>
                  </w14:solidFill>
                </w14:textFill>
              </w:rPr>
              <w:t>货物</w:t>
            </w:r>
          </w:p>
          <w:p w14:paraId="433673B7">
            <w:pPr>
              <w:widowControl/>
              <w:jc w:val="center"/>
              <w:textAlignment w:val="top"/>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lang w:bidi="ar"/>
                <w14:textFill>
                  <w14:solidFill>
                    <w14:schemeClr w14:val="tx1"/>
                  </w14:solidFill>
                </w14:textFill>
              </w:rPr>
              <w:t>名称</w:t>
            </w:r>
          </w:p>
        </w:tc>
        <w:tc>
          <w:tcPr>
            <w:tcW w:w="6424" w:type="dxa"/>
            <w:tcBorders>
              <w:right w:val="single" w:color="auto" w:sz="4" w:space="0"/>
              <w:tl2br w:val="nil"/>
              <w:tr2bl w:val="nil"/>
            </w:tcBorders>
            <w:shd w:val="clear" w:color="auto" w:fill="auto"/>
            <w:vAlign w:val="center"/>
          </w:tcPr>
          <w:p w14:paraId="25C40AA1">
            <w:pPr>
              <w:widowControl/>
              <w:jc w:val="center"/>
              <w:textAlignment w:val="center"/>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lang w:bidi="ar"/>
                <w14:textFill>
                  <w14:solidFill>
                    <w14:schemeClr w14:val="tx1"/>
                  </w14:solidFill>
                </w14:textFill>
              </w:rPr>
              <w:t>技术要求</w:t>
            </w:r>
          </w:p>
        </w:tc>
        <w:tc>
          <w:tcPr>
            <w:tcW w:w="901" w:type="dxa"/>
            <w:tcBorders>
              <w:left w:val="single" w:color="auto" w:sz="4" w:space="0"/>
              <w:right w:val="single" w:color="auto" w:sz="4" w:space="0"/>
              <w:tl2br w:val="nil"/>
              <w:tr2bl w:val="nil"/>
            </w:tcBorders>
            <w:shd w:val="clear" w:color="auto" w:fill="auto"/>
            <w:vAlign w:val="center"/>
          </w:tcPr>
          <w:p w14:paraId="47A1C2BB">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b/>
                <w:bCs/>
                <w:color w:val="000000" w:themeColor="text1"/>
                <w:kern w:val="0"/>
                <w:szCs w:val="21"/>
                <w:highlight w:val="none"/>
                <w:lang w:bidi="ar"/>
                <w14:textFill>
                  <w14:solidFill>
                    <w14:schemeClr w14:val="tx1"/>
                  </w14:solidFill>
                </w14:textFill>
              </w:rPr>
              <w:t>数量</w:t>
            </w:r>
          </w:p>
        </w:tc>
        <w:tc>
          <w:tcPr>
            <w:tcW w:w="935" w:type="dxa"/>
            <w:tcBorders>
              <w:left w:val="single" w:color="auto" w:sz="4" w:space="0"/>
              <w:tl2br w:val="nil"/>
              <w:tr2bl w:val="nil"/>
            </w:tcBorders>
            <w:shd w:val="clear" w:color="auto" w:fill="auto"/>
            <w:vAlign w:val="center"/>
          </w:tcPr>
          <w:p w14:paraId="4A3C3652">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b/>
                <w:bCs/>
                <w:color w:val="000000" w:themeColor="text1"/>
                <w:kern w:val="0"/>
                <w:szCs w:val="21"/>
                <w:highlight w:val="none"/>
                <w:lang w:bidi="ar"/>
                <w14:textFill>
                  <w14:solidFill>
                    <w14:schemeClr w14:val="tx1"/>
                  </w14:solidFill>
                </w14:textFill>
              </w:rPr>
              <w:t>单位</w:t>
            </w:r>
          </w:p>
        </w:tc>
      </w:tr>
      <w:tr w14:paraId="5E38B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25" w:type="dxa"/>
            <w:tcBorders>
              <w:tl2br w:val="nil"/>
              <w:tr2bl w:val="nil"/>
            </w:tcBorders>
            <w:shd w:val="clear" w:color="auto" w:fill="auto"/>
            <w:vAlign w:val="center"/>
          </w:tcPr>
          <w:p w14:paraId="5A42D980">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kern w:val="0"/>
                <w:szCs w:val="21"/>
                <w:highlight w:val="none"/>
                <w:lang w:bidi="ar"/>
                <w14:textFill>
                  <w14:solidFill>
                    <w14:schemeClr w14:val="tx1"/>
                  </w14:solidFill>
                </w14:textFill>
              </w:rPr>
              <w:t>1</w:t>
            </w:r>
          </w:p>
        </w:tc>
        <w:tc>
          <w:tcPr>
            <w:tcW w:w="964" w:type="dxa"/>
            <w:tcBorders>
              <w:tl2br w:val="nil"/>
              <w:tr2bl w:val="nil"/>
            </w:tcBorders>
            <w:shd w:val="clear" w:color="auto" w:fill="auto"/>
            <w:vAlign w:val="center"/>
          </w:tcPr>
          <w:p w14:paraId="25EF2707">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kern w:val="0"/>
                <w:szCs w:val="21"/>
                <w:highlight w:val="none"/>
                <w:lang w:bidi="ar"/>
                <w14:textFill>
                  <w14:solidFill>
                    <w14:schemeClr w14:val="tx1"/>
                  </w14:solidFill>
                </w14:textFill>
              </w:rPr>
              <w:t>（遮光）卷帘</w:t>
            </w:r>
          </w:p>
        </w:tc>
        <w:tc>
          <w:tcPr>
            <w:tcW w:w="6424" w:type="dxa"/>
            <w:tcBorders>
              <w:right w:val="single" w:color="auto" w:sz="4" w:space="0"/>
              <w:tl2br w:val="nil"/>
              <w:tr2bl w:val="nil"/>
            </w:tcBorders>
            <w:shd w:val="clear" w:color="auto" w:fill="auto"/>
            <w:vAlign w:val="center"/>
          </w:tcPr>
          <w:p w14:paraId="3C0334D8">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14:textFill>
                  <w14:solidFill>
                    <w14:schemeClr w14:val="tx1"/>
                  </w14:solidFill>
                </w14:textFill>
              </w:rPr>
              <w:t>1、基本要求</w:t>
            </w:r>
          </w:p>
          <w:p w14:paraId="68852CAF">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1.1成分：100%聚酯纤维；</w:t>
            </w:r>
          </w:p>
          <w:p w14:paraId="0C1E44C7">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1.2单位面积质量（g/㎡）：≥282；</w:t>
            </w:r>
          </w:p>
          <w:p w14:paraId="5BC2AD85">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1.3断裂强力（N）：经向≥1400、纬向≥900；</w:t>
            </w:r>
          </w:p>
          <w:p w14:paraId="29894D81">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1.4撕破强力（N）：经向≥130、纬向≥90；</w:t>
            </w:r>
          </w:p>
          <w:p w14:paraId="77941FDD">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1.5织物密度（根/10cm）：经密≥</w:t>
            </w:r>
            <w:r>
              <w:rPr>
                <w:rFonts w:ascii="宋体" w:hAnsi="宋体" w:eastAsia="宋体" w:cs="宋体"/>
                <w:color w:val="000000" w:themeColor="text1"/>
                <w:szCs w:val="21"/>
                <w:highlight w:val="none"/>
                <w14:textFill>
                  <w14:solidFill>
                    <w14:schemeClr w14:val="tx1"/>
                  </w14:solidFill>
                </w14:textFill>
              </w:rPr>
              <w:t>100，纬密≥80</w:t>
            </w:r>
            <w:r>
              <w:rPr>
                <w:rFonts w:hint="eastAsia" w:ascii="宋体" w:hAnsi="宋体" w:eastAsia="宋体" w:cs="宋体"/>
                <w:color w:val="000000" w:themeColor="text1"/>
                <w:szCs w:val="21"/>
                <w:highlight w:val="none"/>
                <w14:textFill>
                  <w14:solidFill>
                    <w14:schemeClr w14:val="tx1"/>
                  </w14:solidFill>
                </w14:textFill>
              </w:rPr>
              <w:t>；</w:t>
            </w:r>
          </w:p>
          <w:p w14:paraId="39AFC8EE">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1.6耐摩擦色牢度（级）：干摩≥4、湿摩≥4；耐水色牢度（级）：变色≥4、沾色≥4；</w:t>
            </w:r>
          </w:p>
          <w:p w14:paraId="0AB96651">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★2、安全指标要求：</w:t>
            </w:r>
          </w:p>
          <w:p w14:paraId="35900A22">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2.1甲醛含量：未检出；</w:t>
            </w:r>
          </w:p>
          <w:p w14:paraId="766099F4">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 PH值：4.0-7.5；</w:t>
            </w:r>
          </w:p>
          <w:p w14:paraId="159C985A">
            <w:pPr>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★3、阻燃性能指标要求：</w:t>
            </w:r>
          </w:p>
          <w:p w14:paraId="1CF46650">
            <w:pP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3.1损毁长度≤150mm；</w:t>
            </w:r>
          </w:p>
          <w:p w14:paraId="0965EE3B">
            <w:pP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3.2续燃时间≤5S、阴燃时间≤5S；</w:t>
            </w:r>
          </w:p>
          <w:p w14:paraId="2567AD51">
            <w:pP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3.3燃烧滴落物未引起脱脂棉燃烧或阴燃；</w:t>
            </w:r>
          </w:p>
          <w:p w14:paraId="3DAB644E">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★4、环保指标要求：</w:t>
            </w:r>
          </w:p>
          <w:p w14:paraId="6DA69273">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4.1致敏染料：禁用；</w:t>
            </w:r>
          </w:p>
          <w:p w14:paraId="6874CA53">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4.2可萃取重金属（mg/kg）：锑＜30.0、铅＜0.2、镉＜0.1、铬＜1.0、可萃取六价铬＜0.5、钴＜1.0、铜＜25.0、镍＜1.0、汞＜0.02、砷＜0.2；邻苯基苯酚（mg/kg）：＜50.0；氯化苯和氯化甲苯总量（mg/kg）：＜1.0；</w:t>
            </w:r>
          </w:p>
          <w:p w14:paraId="690B92D5">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w:t>
            </w:r>
            <w:r>
              <w:rPr>
                <w:rFonts w:hint="eastAsia" w:ascii="宋体" w:hAnsi="宋体" w:eastAsia="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szCs w:val="21"/>
                <w:highlight w:val="none"/>
                <w14:textFill>
                  <w14:solidFill>
                    <w14:schemeClr w14:val="tx1"/>
                  </w14:solidFill>
                </w14:textFill>
              </w:rPr>
              <w:t>邻苯二甲酸脂总量（%）：≤0.1；含氯苯酚（mg/kg）：五氯苯酚≤0.05、四氯苯酚（总量）≤0.05；总铅（mg/kg）：≤90.0；总镉（mg/kg）：≤40.0；紫外光稳定剂（%）：≤0.1；</w:t>
            </w:r>
          </w:p>
          <w:p w14:paraId="4F23D601">
            <w:pPr>
              <w:widowControl/>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★5、安全防护性能指标要求：</w:t>
            </w:r>
          </w:p>
          <w:p w14:paraId="4B0DF3D8">
            <w:pPr>
              <w:widowControl/>
              <w:jc w:val="left"/>
              <w:rPr>
                <w:rFonts w:ascii="宋体" w:hAnsi="宋体" w:eastAsia="宋体" w:cs="宋体"/>
                <w:kern w:val="0"/>
                <w:szCs w:val="21"/>
                <w:highlight w:val="none"/>
              </w:rPr>
            </w:pPr>
            <w:r>
              <w:rPr>
                <w:rFonts w:hint="eastAsia" w:ascii="宋体" w:hAnsi="宋体" w:eastAsia="宋体" w:cs="宋体"/>
                <w:color w:val="000000" w:themeColor="text1"/>
                <w:szCs w:val="21"/>
                <w:highlight w:val="none"/>
                <w14:textFill>
                  <w14:solidFill>
                    <w14:schemeClr w14:val="tx1"/>
                  </w14:solidFill>
                </w14:textFill>
              </w:rPr>
              <w:t>5.1水洗≥50次后，抗菌效果符合GB/T20944.3-2008标准；</w:t>
            </w:r>
          </w:p>
          <w:p w14:paraId="2F329E60">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5.2金黄色葡萄球菌抑菌率≥90%；</w:t>
            </w:r>
          </w:p>
          <w:p w14:paraId="6C1362FC">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5.3大肠杆菌抑菌率≥90%；</w:t>
            </w:r>
          </w:p>
          <w:p w14:paraId="24ACD2B4">
            <w:pPr>
              <w:widowControl/>
              <w:jc w:val="left"/>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w:t>
            </w:r>
            <w:r>
              <w:rPr>
                <w:rFonts w:hint="eastAsia" w:ascii="宋体" w:hAnsi="宋体" w:eastAsia="宋体" w:cs="宋体"/>
                <w:color w:val="000000" w:themeColor="text1"/>
                <w:szCs w:val="21"/>
                <w:highlight w:val="none"/>
                <w:lang w:val="en-US" w:eastAsia="zh-CN"/>
                <w14:textFill>
                  <w14:solidFill>
                    <w14:schemeClr w14:val="tx1"/>
                  </w14:solidFill>
                </w14:textFill>
              </w:rPr>
              <w:t>4</w:t>
            </w:r>
            <w:r>
              <w:rPr>
                <w:rFonts w:hint="eastAsia" w:ascii="宋体" w:hAnsi="宋体" w:eastAsia="宋体" w:cs="宋体"/>
                <w:color w:val="000000" w:themeColor="text1"/>
                <w:szCs w:val="21"/>
                <w:highlight w:val="none"/>
                <w14:textFill>
                  <w14:solidFill>
                    <w14:schemeClr w14:val="tx1"/>
                  </w14:solidFill>
                </w14:textFill>
              </w:rPr>
              <w:t>肺炎克雷伯氏菌抑菌率≥90%</w:t>
            </w:r>
            <w:r>
              <w:rPr>
                <w:rFonts w:hint="eastAsia" w:ascii="宋体" w:hAnsi="宋体" w:eastAsia="宋体" w:cs="宋体"/>
                <w:color w:val="000000" w:themeColor="text1"/>
                <w:szCs w:val="21"/>
                <w:highlight w:val="none"/>
                <w:lang w:eastAsia="zh-CN"/>
                <w14:textFill>
                  <w14:solidFill>
                    <w14:schemeClr w14:val="tx1"/>
                  </w14:solidFill>
                </w14:textFill>
              </w:rPr>
              <w:t>。</w:t>
            </w:r>
          </w:p>
          <w:p w14:paraId="655B7951">
            <w:pPr>
              <w:widowControl/>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注：以上1-5项的技术指标需投标人同时提供下列证明材料：</w:t>
            </w:r>
          </w:p>
          <w:p w14:paraId="243B2B62">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r>
              <w:rPr>
                <w:rFonts w:hint="eastAsia" w:ascii="宋体" w:hAnsi="宋体" w:eastAsia="宋体" w:cs="宋体"/>
                <w:b/>
                <w:bCs/>
                <w:color w:val="000000" w:themeColor="text1"/>
                <w:szCs w:val="21"/>
                <w:highlight w:val="none"/>
                <w14:textFill>
                  <w14:solidFill>
                    <w14:schemeClr w14:val="tx1"/>
                  </w14:solidFill>
                </w14:textFill>
              </w:rPr>
              <w:t>提供检验机构在CMA资质认定范围内出具的检验报告扫描件</w:t>
            </w:r>
            <w:r>
              <w:rPr>
                <w:rFonts w:hint="eastAsia" w:ascii="宋体" w:hAnsi="宋体" w:eastAsia="宋体" w:cs="宋体"/>
                <w:color w:val="000000" w:themeColor="text1"/>
                <w:szCs w:val="21"/>
                <w:highlight w:val="none"/>
                <w14:textFill>
                  <w14:solidFill>
                    <w14:schemeClr w14:val="tx1"/>
                  </w14:solidFill>
                </w14:textFill>
              </w:rPr>
              <w:t>。同一个检测报告编号只能在一个产品中使用，如用在多个产品检测报告无效。投标人提供的检验报告如超出了签发该检验报告机构CMA认定资质而需要分包给其它具有CMA资质的检验机构检测的，需在所提供的检测报告上明确分包检测单位。未按上述要求提供证明材料，不得分。</w:t>
            </w:r>
          </w:p>
          <w:p w14:paraId="680BB7DC">
            <w:pPr>
              <w:widowControl/>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r>
              <w:rPr>
                <w:rFonts w:hint="eastAsia" w:ascii="宋体" w:hAnsi="宋体" w:eastAsia="宋体" w:cs="宋体"/>
                <w:b/>
                <w:bCs/>
                <w:color w:val="000000" w:themeColor="text1"/>
                <w:szCs w:val="21"/>
                <w:highlight w:val="none"/>
                <w14:textFill>
                  <w14:solidFill>
                    <w14:schemeClr w14:val="tx1"/>
                  </w14:solidFill>
                </w14:textFill>
              </w:rPr>
              <w:t>提供检测报告（含分包单位出具的检验报告）在国家市场监督管理总局“全国认证认可信息公共服务平台”上的查询截图</w:t>
            </w:r>
            <w:r>
              <w:rPr>
                <w:rFonts w:hint="eastAsia" w:ascii="宋体" w:hAnsi="宋体" w:eastAsia="宋体" w:cs="宋体"/>
                <w:color w:val="000000" w:themeColor="text1"/>
                <w:szCs w:val="21"/>
                <w:highlight w:val="none"/>
                <w14:textFill>
                  <w14:solidFill>
                    <w14:schemeClr w14:val="tx1"/>
                  </w14:solidFill>
                </w14:textFill>
              </w:rPr>
              <w:t>。未按上述要求提供证明材料，不得分。</w:t>
            </w:r>
          </w:p>
          <w:p w14:paraId="3DB42A19">
            <w:pPr>
              <w:widowControl/>
              <w:wordWrap w:val="0"/>
              <w:topLinePunct/>
              <w:rPr>
                <w:rFonts w:ascii="宋体" w:hAnsi="宋体" w:eastAsia="宋体" w:cs="宋体"/>
                <w:b/>
                <w:bCs/>
                <w:color w:val="000000" w:themeColor="text1"/>
                <w:szCs w:val="21"/>
                <w:highlight w:val="none"/>
                <w:lang w:bidi="ar"/>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r>
              <w:rPr>
                <w:rFonts w:hint="eastAsia" w:ascii="宋体" w:hAnsi="宋体" w:eastAsia="宋体" w:cs="宋体"/>
                <w:b/>
                <w:bCs/>
                <w:color w:val="000000" w:themeColor="text1"/>
                <w:szCs w:val="21"/>
                <w:highlight w:val="none"/>
                <w14:textFill>
                  <w14:solidFill>
                    <w14:schemeClr w14:val="tx1"/>
                  </w14:solidFill>
                </w14:textFill>
              </w:rPr>
              <w:t>提供检测报告（含分包单位出具的检验报告）的防伪查询截图</w:t>
            </w:r>
            <w:r>
              <w:rPr>
                <w:rFonts w:hint="eastAsia" w:ascii="宋体" w:hAnsi="宋体" w:eastAsia="宋体" w:cs="宋体"/>
                <w:color w:val="000000" w:themeColor="text1"/>
                <w:szCs w:val="21"/>
                <w:highlight w:val="none"/>
                <w14:textFill>
                  <w14:solidFill>
                    <w14:schemeClr w14:val="tx1"/>
                  </w14:solidFill>
                </w14:textFill>
              </w:rPr>
              <w:t>。未按上述要求提供证明材料，不得分。注：</w:t>
            </w:r>
            <w:r>
              <w:rPr>
                <w:rFonts w:hint="eastAsia" w:ascii="宋体" w:hAnsi="宋体" w:eastAsia="宋体" w:cs="宋体"/>
                <w:b/>
                <w:bCs/>
                <w:color w:val="000000" w:themeColor="text1"/>
                <w:szCs w:val="21"/>
                <w:highlight w:val="none"/>
                <w14:textFill>
                  <w14:solidFill>
                    <w14:schemeClr w14:val="tx1"/>
                  </w14:solidFill>
                </w14:textFill>
              </w:rPr>
              <w:t>防伪查询指在出具检验报告的检测机构官网网页上查询或扫描检测报告上的二维码查询。判定是否属于检测机构官网，由评标委员会在评审现场按下列约定进行判定：检测机构官网标注的备案号须与在工业和信息化部政务服务平台（https://beian.miit.gov.cn/#/Integrated/notice_list）中所查询到的备案号保持一致，否则不予认可。</w:t>
            </w:r>
          </w:p>
        </w:tc>
        <w:tc>
          <w:tcPr>
            <w:tcW w:w="901" w:type="dxa"/>
            <w:tcBorders>
              <w:left w:val="single" w:color="auto" w:sz="4" w:space="0"/>
              <w:right w:val="single" w:color="auto" w:sz="4" w:space="0"/>
              <w:tl2br w:val="nil"/>
              <w:tr2bl w:val="nil"/>
            </w:tcBorders>
            <w:shd w:val="clear" w:color="auto" w:fill="auto"/>
            <w:vAlign w:val="center"/>
          </w:tcPr>
          <w:p w14:paraId="7CE2E182">
            <w:pPr>
              <w:pStyle w:val="70"/>
              <w:jc w:val="center"/>
              <w:rPr>
                <w:rFonts w:cs="宋体"/>
                <w:color w:val="000000" w:themeColor="text1"/>
                <w:kern w:val="2"/>
                <w:sz w:val="21"/>
                <w:szCs w:val="21"/>
                <w:highlight w:val="none"/>
                <w14:textFill>
                  <w14:solidFill>
                    <w14:schemeClr w14:val="tx1"/>
                  </w14:solidFill>
                </w14:textFill>
              </w:rPr>
            </w:pPr>
            <w:r>
              <w:rPr>
                <w:rFonts w:hint="eastAsia" w:cs="宋体"/>
                <w:color w:val="000000" w:themeColor="text1"/>
                <w:kern w:val="2"/>
                <w:sz w:val="21"/>
                <w:szCs w:val="21"/>
                <w:highlight w:val="none"/>
                <w14:textFill>
                  <w14:solidFill>
                    <w14:schemeClr w14:val="tx1"/>
                  </w14:solidFill>
                </w14:textFill>
              </w:rPr>
              <w:t>11500</w:t>
            </w:r>
          </w:p>
        </w:tc>
        <w:tc>
          <w:tcPr>
            <w:tcW w:w="935" w:type="dxa"/>
            <w:tcBorders>
              <w:left w:val="single" w:color="auto" w:sz="4" w:space="0"/>
              <w:tl2br w:val="nil"/>
              <w:tr2bl w:val="nil"/>
            </w:tcBorders>
            <w:shd w:val="clear" w:color="auto" w:fill="auto"/>
            <w:vAlign w:val="center"/>
          </w:tcPr>
          <w:p w14:paraId="4645A468">
            <w:pPr>
              <w:pStyle w:val="70"/>
              <w:jc w:val="center"/>
              <w:rPr>
                <w:rFonts w:cs="宋体"/>
                <w:color w:val="000000" w:themeColor="text1"/>
                <w:kern w:val="2"/>
                <w:sz w:val="21"/>
                <w:szCs w:val="21"/>
                <w:highlight w:val="none"/>
                <w14:textFill>
                  <w14:solidFill>
                    <w14:schemeClr w14:val="tx1"/>
                  </w14:solidFill>
                </w14:textFill>
              </w:rPr>
            </w:pPr>
            <w:r>
              <w:rPr>
                <w:rFonts w:hint="eastAsia" w:cs="宋体"/>
                <w:color w:val="000000" w:themeColor="text1"/>
                <w:kern w:val="2"/>
                <w:sz w:val="21"/>
                <w:szCs w:val="21"/>
                <w:highlight w:val="none"/>
                <w14:textFill>
                  <w14:solidFill>
                    <w14:schemeClr w14:val="tx1"/>
                  </w14:solidFill>
                </w14:textFill>
              </w:rPr>
              <w:t>平方米</w:t>
            </w:r>
          </w:p>
        </w:tc>
      </w:tr>
      <w:tr w14:paraId="5C5D2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25" w:type="dxa"/>
            <w:tcBorders>
              <w:tl2br w:val="nil"/>
              <w:tr2bl w:val="nil"/>
            </w:tcBorders>
            <w:shd w:val="clear" w:color="auto" w:fill="auto"/>
            <w:vAlign w:val="center"/>
          </w:tcPr>
          <w:p w14:paraId="684322E6">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kern w:val="0"/>
                <w:szCs w:val="21"/>
                <w:highlight w:val="none"/>
                <w:lang w:bidi="ar"/>
                <w14:textFill>
                  <w14:solidFill>
                    <w14:schemeClr w14:val="tx1"/>
                  </w14:solidFill>
                </w14:textFill>
              </w:rPr>
              <w:t>2</w:t>
            </w:r>
          </w:p>
        </w:tc>
        <w:tc>
          <w:tcPr>
            <w:tcW w:w="964" w:type="dxa"/>
            <w:tcBorders>
              <w:tl2br w:val="nil"/>
              <w:tr2bl w:val="nil"/>
            </w:tcBorders>
            <w:shd w:val="clear" w:color="auto" w:fill="auto"/>
            <w:vAlign w:val="center"/>
          </w:tcPr>
          <w:p w14:paraId="1FA2E7AA">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遮光布帘（吸音型）</w:t>
            </w:r>
          </w:p>
        </w:tc>
        <w:tc>
          <w:tcPr>
            <w:tcW w:w="6424" w:type="dxa"/>
            <w:tcBorders>
              <w:right w:val="single" w:color="auto" w:sz="4" w:space="0"/>
              <w:tl2br w:val="nil"/>
              <w:tr2bl w:val="nil"/>
            </w:tcBorders>
            <w:shd w:val="clear" w:color="auto" w:fill="auto"/>
            <w:vAlign w:val="center"/>
          </w:tcPr>
          <w:p w14:paraId="7CD0F453">
            <w:pPr>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★1、基本要求：</w:t>
            </w:r>
          </w:p>
          <w:p w14:paraId="67186391">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1.1成分：聚酯纤维90%（±9%），其他纤维10%（±9%），检测方法FZ/T01057-2007、GB/T2910.1-2009；</w:t>
            </w:r>
          </w:p>
          <w:p w14:paraId="0B759B14">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1.2密度（根/10cm）：经向≥</w:t>
            </w:r>
            <w:r>
              <w:rPr>
                <w:rFonts w:ascii="宋体" w:hAnsi="宋体" w:eastAsia="宋体" w:cs="宋体"/>
                <w:color w:val="000000" w:themeColor="text1"/>
                <w:szCs w:val="21"/>
                <w:highlight w:val="none"/>
                <w14:textFill>
                  <w14:solidFill>
                    <w14:schemeClr w14:val="tx1"/>
                  </w14:solidFill>
                </w14:textFill>
              </w:rPr>
              <w:t>1330，纬向≥330</w:t>
            </w:r>
            <w:r>
              <w:rPr>
                <w:rFonts w:hint="eastAsia" w:ascii="宋体" w:hAnsi="宋体" w:eastAsia="宋体" w:cs="宋体"/>
                <w:color w:val="000000" w:themeColor="text1"/>
                <w:szCs w:val="21"/>
                <w:highlight w:val="none"/>
                <w14:textFill>
                  <w14:solidFill>
                    <w14:schemeClr w14:val="tx1"/>
                  </w14:solidFill>
                </w14:textFill>
              </w:rPr>
              <w:t>；</w:t>
            </w:r>
          </w:p>
          <w:p w14:paraId="5FB6C156">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1.3线密度：经纱</w:t>
            </w:r>
            <w:r>
              <w:rPr>
                <w:rFonts w:ascii="宋体" w:hAnsi="宋体" w:eastAsia="宋体" w:cs="宋体"/>
                <w:color w:val="000000" w:themeColor="text1"/>
                <w:szCs w:val="21"/>
                <w:highlight w:val="none"/>
                <w14:textFill>
                  <w14:solidFill>
                    <w14:schemeClr w14:val="tx1"/>
                  </w14:solidFill>
                </w14:textFill>
              </w:rPr>
              <w:t>R8-10tex，纬纱R30-35tex</w:t>
            </w:r>
            <w:r>
              <w:rPr>
                <w:rFonts w:hint="eastAsia" w:ascii="宋体" w:hAnsi="宋体" w:eastAsia="宋体" w:cs="宋体"/>
                <w:color w:val="000000" w:themeColor="text1"/>
                <w:szCs w:val="21"/>
                <w:highlight w:val="none"/>
                <w14:textFill>
                  <w14:solidFill>
                    <w14:schemeClr w14:val="tx1"/>
                  </w14:solidFill>
                </w14:textFill>
              </w:rPr>
              <w:t>；</w:t>
            </w:r>
          </w:p>
          <w:p w14:paraId="71391F6B">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1.4单位面积质量（g/㎡）：≥242；</w:t>
            </w:r>
          </w:p>
          <w:p w14:paraId="32EAFB8C">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1.5断裂强力（N）：经向≥</w:t>
            </w:r>
            <w:r>
              <w:rPr>
                <w:rFonts w:ascii="宋体" w:hAnsi="宋体" w:eastAsia="宋体" w:cs="宋体"/>
                <w:color w:val="000000" w:themeColor="text1"/>
                <w:szCs w:val="21"/>
                <w:highlight w:val="none"/>
                <w14:textFill>
                  <w14:solidFill>
                    <w14:schemeClr w14:val="tx1"/>
                  </w14:solidFill>
                </w14:textFill>
              </w:rPr>
              <w:t>1700、纬向≥1540</w:t>
            </w:r>
            <w:r>
              <w:rPr>
                <w:rFonts w:hint="eastAsia" w:ascii="宋体" w:hAnsi="宋体" w:eastAsia="宋体" w:cs="宋体"/>
                <w:color w:val="000000" w:themeColor="text1"/>
                <w:kern w:val="0"/>
                <w:szCs w:val="21"/>
                <w:highlight w:val="none"/>
                <w14:textFill>
                  <w14:solidFill>
                    <w14:schemeClr w14:val="tx1"/>
                  </w14:solidFill>
                </w14:textFill>
              </w:rPr>
              <w:t>；</w:t>
            </w:r>
          </w:p>
          <w:p w14:paraId="6963486A">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1.6撕破强力（N）：经向≥</w:t>
            </w:r>
            <w:r>
              <w:rPr>
                <w:rFonts w:ascii="宋体" w:hAnsi="宋体" w:eastAsia="宋体" w:cs="宋体"/>
                <w:color w:val="000000" w:themeColor="text1"/>
                <w:szCs w:val="21"/>
                <w:highlight w:val="none"/>
                <w14:textFill>
                  <w14:solidFill>
                    <w14:schemeClr w14:val="tx1"/>
                  </w14:solidFill>
                </w14:textFill>
              </w:rPr>
              <w:t>33、纬向≥38</w:t>
            </w:r>
            <w:r>
              <w:rPr>
                <w:rFonts w:hint="eastAsia" w:ascii="宋体" w:hAnsi="宋体" w:eastAsia="宋体" w:cs="宋体"/>
                <w:color w:val="000000" w:themeColor="text1"/>
                <w:szCs w:val="21"/>
                <w:highlight w:val="none"/>
                <w14:textFill>
                  <w14:solidFill>
                    <w14:schemeClr w14:val="tx1"/>
                  </w14:solidFill>
                </w14:textFill>
              </w:rPr>
              <w:t>；</w:t>
            </w:r>
          </w:p>
          <w:p w14:paraId="4599A68C">
            <w:pPr>
              <w:pStyle w:val="8"/>
              <w:spacing w:after="0"/>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1.7总光通量透射比（%）：≤0.1；</w:t>
            </w:r>
          </w:p>
          <w:p w14:paraId="3379B5EB">
            <w:pPr>
              <w:pStyle w:val="20"/>
              <w:spacing w:line="240" w:lineRule="auto"/>
              <w:jc w:val="left"/>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1.8顶破强力（N）：≥</w:t>
            </w:r>
            <w:r>
              <w:rPr>
                <w:rFonts w:ascii="宋体" w:hAnsi="宋体" w:eastAsia="宋体" w:cs="宋体"/>
                <w:color w:val="000000" w:themeColor="text1"/>
                <w:sz w:val="21"/>
                <w:szCs w:val="21"/>
                <w:highlight w:val="none"/>
                <w14:textFill>
                  <w14:solidFill>
                    <w14:schemeClr w14:val="tx1"/>
                  </w14:solidFill>
                </w14:textFill>
              </w:rPr>
              <w:t>1890</w:t>
            </w:r>
            <w:r>
              <w:rPr>
                <w:rFonts w:hint="eastAsia" w:ascii="宋体" w:hAnsi="宋体" w:eastAsia="宋体" w:cs="宋体"/>
                <w:color w:val="000000" w:themeColor="text1"/>
                <w:sz w:val="21"/>
                <w:szCs w:val="21"/>
                <w:highlight w:val="none"/>
                <w14:textFill>
                  <w14:solidFill>
                    <w14:schemeClr w14:val="tx1"/>
                  </w14:solidFill>
                </w14:textFill>
              </w:rPr>
              <w:t>；</w:t>
            </w:r>
          </w:p>
          <w:p w14:paraId="3972F648">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1.9透气率（mm/s）：≥</w:t>
            </w:r>
            <w:r>
              <w:rPr>
                <w:rFonts w:ascii="宋体" w:hAnsi="宋体" w:eastAsia="宋体" w:cs="宋体"/>
                <w:color w:val="000000" w:themeColor="text1"/>
                <w:szCs w:val="21"/>
                <w:highlight w:val="none"/>
                <w14:textFill>
                  <w14:solidFill>
                    <w14:schemeClr w14:val="tx1"/>
                  </w14:solidFill>
                </w14:textFill>
              </w:rPr>
              <w:t>110</w:t>
            </w:r>
            <w:r>
              <w:rPr>
                <w:rFonts w:hint="eastAsia" w:ascii="宋体" w:hAnsi="宋体" w:eastAsia="宋体" w:cs="宋体"/>
                <w:color w:val="000000" w:themeColor="text1"/>
                <w:szCs w:val="21"/>
                <w:highlight w:val="none"/>
                <w14:textFill>
                  <w14:solidFill>
                    <w14:schemeClr w14:val="tx1"/>
                  </w14:solidFill>
                </w14:textFill>
              </w:rPr>
              <w:t>；</w:t>
            </w:r>
          </w:p>
          <w:p w14:paraId="11D349DA">
            <w:pPr>
              <w:pStyle w:val="20"/>
              <w:spacing w:line="240" w:lineRule="auto"/>
              <w:jc w:val="left"/>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1.10厚度（mm）：厚度≥</w:t>
            </w:r>
            <w:r>
              <w:rPr>
                <w:rFonts w:ascii="宋体" w:hAnsi="宋体" w:eastAsia="宋体" w:cs="宋体"/>
                <w:color w:val="000000" w:themeColor="text1"/>
                <w:sz w:val="21"/>
                <w:szCs w:val="21"/>
                <w:highlight w:val="none"/>
                <w14:textFill>
                  <w14:solidFill>
                    <w14:schemeClr w14:val="tx1"/>
                  </w14:solidFill>
                </w14:textFill>
              </w:rPr>
              <w:t>0.45mm</w:t>
            </w:r>
            <w:r>
              <w:rPr>
                <w:rFonts w:hint="eastAsia" w:ascii="宋体" w:hAnsi="宋体" w:eastAsia="宋体" w:cs="宋体"/>
                <w:color w:val="000000" w:themeColor="text1"/>
                <w:sz w:val="21"/>
                <w:szCs w:val="21"/>
                <w:highlight w:val="none"/>
                <w14:textFill>
                  <w14:solidFill>
                    <w14:schemeClr w14:val="tx1"/>
                  </w14:solidFill>
                </w14:textFill>
              </w:rPr>
              <w:t>；</w:t>
            </w:r>
          </w:p>
          <w:p w14:paraId="76115694">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1.11</w:t>
            </w:r>
            <w:r>
              <w:rPr>
                <w:rFonts w:hint="eastAsia" w:ascii="宋体" w:hAnsi="宋体" w:eastAsia="宋体" w:cs="宋体"/>
                <w:color w:val="000000" w:themeColor="text1"/>
                <w:kern w:val="0"/>
                <w:szCs w:val="21"/>
                <w:highlight w:val="none"/>
                <w14:textFill>
                  <w14:solidFill>
                    <w14:schemeClr w14:val="tx1"/>
                  </w14:solidFill>
                </w14:textFill>
              </w:rPr>
              <w:t>胀破强力（kPa）：≥</w:t>
            </w:r>
            <w:r>
              <w:rPr>
                <w:rFonts w:ascii="宋体" w:hAnsi="宋体" w:eastAsia="宋体" w:cs="宋体"/>
                <w:color w:val="000000" w:themeColor="text1"/>
                <w:kern w:val="0"/>
                <w:szCs w:val="21"/>
                <w:highlight w:val="none"/>
                <w14:textFill>
                  <w14:solidFill>
                    <w14:schemeClr w14:val="tx1"/>
                  </w14:solidFill>
                </w14:textFill>
              </w:rPr>
              <w:t>920</w:t>
            </w:r>
            <w:r>
              <w:rPr>
                <w:rFonts w:hint="eastAsia" w:ascii="宋体" w:hAnsi="宋体" w:eastAsia="宋体" w:cs="宋体"/>
                <w:color w:val="000000" w:themeColor="text1"/>
                <w:kern w:val="0"/>
                <w:szCs w:val="21"/>
                <w:highlight w:val="none"/>
                <w14:textFill>
                  <w14:solidFill>
                    <w14:schemeClr w14:val="tx1"/>
                  </w14:solidFill>
                </w14:textFill>
              </w:rPr>
              <w:t>；</w:t>
            </w:r>
          </w:p>
          <w:p w14:paraId="5660B996">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1.12接缝性能（mm）：经向</w:t>
            </w:r>
            <w:r>
              <w:rPr>
                <w:rFonts w:hint="eastAsia" w:ascii="宋体" w:hAnsi="宋体" w:eastAsia="宋体" w:cs="宋体"/>
                <w:color w:val="000000" w:themeColor="text1"/>
                <w:szCs w:val="21"/>
                <w:highlight w:val="none"/>
                <w14:textFill>
                  <w14:solidFill>
                    <w14:schemeClr w14:val="tx1"/>
                  </w14:solidFill>
                </w14:textFill>
              </w:rPr>
              <w:t>≤3，纬向≤3</w:t>
            </w:r>
            <w:r>
              <w:rPr>
                <w:rFonts w:hint="eastAsia" w:ascii="宋体" w:hAnsi="宋体" w:eastAsia="宋体" w:cs="宋体"/>
                <w:color w:val="000000" w:themeColor="text1"/>
                <w:kern w:val="0"/>
                <w:szCs w:val="21"/>
                <w:highlight w:val="none"/>
                <w14:textFill>
                  <w14:solidFill>
                    <w14:schemeClr w14:val="tx1"/>
                  </w14:solidFill>
                </w14:textFill>
              </w:rPr>
              <w:t>；</w:t>
            </w:r>
          </w:p>
          <w:p w14:paraId="2013DC1A">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1.13遮光率（%）：</w:t>
            </w:r>
            <w:r>
              <w:rPr>
                <w:rFonts w:hint="eastAsia" w:ascii="宋体" w:hAnsi="宋体" w:eastAsia="宋体" w:cs="宋体"/>
                <w:color w:val="000000" w:themeColor="text1"/>
                <w:szCs w:val="21"/>
                <w:highlight w:val="none"/>
                <w14:textFill>
                  <w14:solidFill>
                    <w14:schemeClr w14:val="tx1"/>
                  </w14:solidFill>
                </w14:textFill>
              </w:rPr>
              <w:t>≥95</w:t>
            </w:r>
            <w:r>
              <w:rPr>
                <w:rFonts w:hint="eastAsia" w:ascii="宋体" w:hAnsi="宋体" w:eastAsia="宋体" w:cs="宋体"/>
                <w:color w:val="000000" w:themeColor="text1"/>
                <w:kern w:val="0"/>
                <w:szCs w:val="21"/>
                <w:highlight w:val="none"/>
                <w14:textFill>
                  <w14:solidFill>
                    <w14:schemeClr w14:val="tx1"/>
                  </w14:solidFill>
                </w14:textFill>
              </w:rPr>
              <w:t>；</w:t>
            </w:r>
          </w:p>
          <w:p w14:paraId="5A7E48A5">
            <w:pPr>
              <w:pStyle w:val="70"/>
              <w:rPr>
                <w:rFonts w:cs="宋体"/>
                <w:color w:val="000000" w:themeColor="text1"/>
                <w:kern w:val="2"/>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1.14吸音系数：</w:t>
            </w:r>
            <w:r>
              <w:rPr>
                <w:rFonts w:hint="eastAsia" w:cs="宋体"/>
                <w:color w:val="000000" w:themeColor="text1"/>
                <w:kern w:val="2"/>
                <w:sz w:val="21"/>
                <w:szCs w:val="21"/>
                <w:highlight w:val="none"/>
                <w14:textFill>
                  <w14:solidFill>
                    <w14:schemeClr w14:val="tx1"/>
                  </w14:solidFill>
                </w14:textFill>
              </w:rPr>
              <w:t>频率250Hz吸声系数≥0.5，频率500Hz吸声系数≥0.90，频率1000Hz吸声系数≥0.80，频率2000Hz吸声系数≥0.80，频率4000Hz吸声系数≥0.80。</w:t>
            </w:r>
          </w:p>
          <w:p w14:paraId="183BDA08">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1.15耐水色牢度（级）：变色≥4、沾色≥4；</w:t>
            </w:r>
          </w:p>
          <w:p w14:paraId="3C976CF5">
            <w:pPr>
              <w:pStyle w:val="70"/>
              <w:rPr>
                <w:rFonts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1.16耐酸汗渍色牢度（级）：变色≥4、沾色≥4，耐碱汗渍色牢度（级）：变色≥4、沾色≥4；</w:t>
            </w:r>
          </w:p>
          <w:p w14:paraId="063D7637">
            <w:pPr>
              <w:pStyle w:val="70"/>
              <w:rPr>
                <w:rFonts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1.17耐摩擦色牢度（级）：干摩擦≥4，湿摩擦≥4；</w:t>
            </w:r>
          </w:p>
          <w:p w14:paraId="7A48DA34">
            <w:pPr>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★2、安全指标要求：</w:t>
            </w:r>
          </w:p>
          <w:p w14:paraId="6522B349">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2.1甲醛含量：未检出；</w:t>
            </w:r>
          </w:p>
          <w:p w14:paraId="76C79A25">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 PH值：4.0-7.5；；</w:t>
            </w:r>
          </w:p>
          <w:p w14:paraId="7B271A56">
            <w:pPr>
              <w:pStyle w:val="2"/>
              <w:widowControl/>
              <w:shd w:val="clear" w:color="auto" w:fill="FFFFFF"/>
              <w:spacing w:before="0" w:after="0" w:line="240" w:lineRule="auto"/>
              <w:jc w:val="left"/>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★3、阻燃性能指标要求：</w:t>
            </w:r>
          </w:p>
          <w:p w14:paraId="34D7EC89">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3.1水洗≥50次后检测；</w:t>
            </w:r>
          </w:p>
          <w:p w14:paraId="4D37DA67">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3.2氧指数≥33；</w:t>
            </w:r>
          </w:p>
          <w:p w14:paraId="29868E2B">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3.3损毁长度≤140mm；</w:t>
            </w:r>
          </w:p>
          <w:p w14:paraId="4AB2502B">
            <w:pPr>
              <w:pStyle w:val="8"/>
              <w:spacing w:after="0"/>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3.4续燃时间≤5S、阴燃时间≤5S；</w:t>
            </w:r>
          </w:p>
          <w:p w14:paraId="26850B5D">
            <w:pPr>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★4、环保指标要求：</w:t>
            </w:r>
          </w:p>
          <w:p w14:paraId="2C47A32C">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4.1致敏染料：禁用；</w:t>
            </w:r>
          </w:p>
          <w:p w14:paraId="4AF6773F">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4.2</w:t>
            </w:r>
            <w:bookmarkStart w:id="0" w:name="OLE_LINK1"/>
            <w:r>
              <w:rPr>
                <w:rFonts w:hint="eastAsia" w:ascii="宋体" w:hAnsi="宋体" w:eastAsia="宋体" w:cs="宋体"/>
                <w:color w:val="000000" w:themeColor="text1"/>
                <w:szCs w:val="21"/>
                <w:highlight w:val="none"/>
                <w14:textFill>
                  <w14:solidFill>
                    <w14:schemeClr w14:val="tx1"/>
                  </w14:solidFill>
                </w14:textFill>
              </w:rPr>
              <w:t>可萃取重金属（mg/kg）：铜＜25.0、铬＜1.0、铅＜0.2、钴＜1.0、镍＜1.0、锑＜30.0、镉＜0.1、砷＜0.2、汞＜0.02、六价铬含量＜0.5；</w:t>
            </w:r>
            <w:bookmarkEnd w:id="0"/>
          </w:p>
          <w:p w14:paraId="1082D329">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4.3总铅总量（mg/kg）＜2.5，总镉总量（mg/kg）＜0.25；</w:t>
            </w:r>
          </w:p>
          <w:p w14:paraId="759D290F">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4.4含氯酚（mg/kg）：五氯苯酚≤0.05、四氯苯酚（总量）≤0.05；</w:t>
            </w:r>
          </w:p>
          <w:p w14:paraId="58E103F2">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4.5有机锡化合物（mg/kg）：未检出</w:t>
            </w:r>
            <w:r>
              <w:rPr>
                <w:rFonts w:hint="eastAsia" w:ascii="宋体" w:hAnsi="宋体" w:eastAsia="宋体" w:cs="宋体"/>
                <w:color w:val="000000" w:themeColor="text1"/>
                <w:kern w:val="0"/>
                <w:szCs w:val="21"/>
                <w:highlight w:val="none"/>
                <w14:textFill>
                  <w14:solidFill>
                    <w14:schemeClr w14:val="tx1"/>
                  </w14:solidFill>
                </w14:textFill>
              </w:rPr>
              <w:t>三丁基锡、二丁基锡、一丁基锡、三苯基锡</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kern w:val="0"/>
                <w:szCs w:val="21"/>
                <w:highlight w:val="none"/>
                <w14:textFill>
                  <w14:solidFill>
                    <w14:schemeClr w14:val="tx1"/>
                  </w14:solidFill>
                </w14:textFill>
              </w:rPr>
              <w:t>定量限0.2mg/kg）</w:t>
            </w:r>
            <w:r>
              <w:rPr>
                <w:rFonts w:hint="eastAsia" w:ascii="宋体" w:hAnsi="宋体" w:eastAsia="宋体" w:cs="宋体"/>
                <w:color w:val="000000" w:themeColor="text1"/>
                <w:szCs w:val="21"/>
                <w:highlight w:val="none"/>
                <w14:textFill>
                  <w14:solidFill>
                    <w14:schemeClr w14:val="tx1"/>
                  </w14:solidFill>
                </w14:textFill>
              </w:rPr>
              <w:t>；</w:t>
            </w:r>
          </w:p>
          <w:p w14:paraId="266FC569">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4.6氯化苯和氯化甲苯总量（mg/kg）：＜0.1。</w:t>
            </w:r>
          </w:p>
          <w:p w14:paraId="6485A75E">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4.7致癌染料（mg/kg）：未检出；</w:t>
            </w:r>
          </w:p>
          <w:p w14:paraId="7F75497C">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4.12邻苯二甲酸脂总量（%）：未检出；</w:t>
            </w:r>
          </w:p>
          <w:p w14:paraId="26DD188B">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4.13</w:t>
            </w:r>
            <w:r>
              <w:rPr>
                <w:rFonts w:hint="eastAsia" w:ascii="宋体" w:hAnsi="宋体" w:eastAsia="宋体" w:cs="宋体"/>
                <w:color w:val="000000" w:themeColor="text1"/>
                <w:kern w:val="0"/>
                <w:szCs w:val="21"/>
                <w:highlight w:val="none"/>
                <w14:textFill>
                  <w14:solidFill>
                    <w14:schemeClr w14:val="tx1"/>
                  </w14:solidFill>
                </w14:textFill>
              </w:rPr>
              <w:t>邻苯基苯酚（mg/kg）：≤0.1</w:t>
            </w:r>
            <w:r>
              <w:rPr>
                <w:rFonts w:hint="eastAsia" w:ascii="宋体" w:hAnsi="宋体" w:eastAsia="宋体" w:cs="宋体"/>
                <w:color w:val="000000" w:themeColor="text1"/>
                <w:szCs w:val="21"/>
                <w:highlight w:val="none"/>
                <w14:textFill>
                  <w14:solidFill>
                    <w14:schemeClr w14:val="tx1"/>
                  </w14:solidFill>
                </w14:textFill>
              </w:rPr>
              <w:t>；</w:t>
            </w:r>
          </w:p>
          <w:p w14:paraId="2CFA12A2">
            <w:pPr>
              <w:pStyle w:val="70"/>
              <w:rPr>
                <w:rFonts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4.14其他染料（mg/kg）：分散黄23未检出，分散橙149未检出；</w:t>
            </w:r>
          </w:p>
          <w:p w14:paraId="7C6D2DA0">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4.15挥发性有机化合物（VOV）含量（mg/m³）：未检出；</w:t>
            </w:r>
          </w:p>
          <w:p w14:paraId="3E25B21C">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4.16</w:t>
            </w:r>
            <w:r>
              <w:rPr>
                <w:rFonts w:hint="eastAsia" w:ascii="宋体" w:hAnsi="宋体" w:eastAsia="宋体" w:cs="宋体"/>
                <w:color w:val="000000" w:themeColor="text1"/>
                <w:kern w:val="0"/>
                <w:szCs w:val="21"/>
                <w:highlight w:val="none"/>
                <w14:textFill>
                  <w14:solidFill>
                    <w14:schemeClr w14:val="tx1"/>
                  </w14:solidFill>
                </w14:textFill>
              </w:rPr>
              <w:t>富马酸二甲酯/（mg/kg）：≤0.1</w:t>
            </w:r>
            <w:r>
              <w:rPr>
                <w:rFonts w:hint="eastAsia" w:ascii="宋体" w:hAnsi="宋体" w:eastAsia="宋体" w:cs="宋体"/>
                <w:color w:val="000000" w:themeColor="text1"/>
                <w:szCs w:val="21"/>
                <w:highlight w:val="none"/>
                <w14:textFill>
                  <w14:solidFill>
                    <w14:schemeClr w14:val="tx1"/>
                  </w14:solidFill>
                </w14:textFill>
              </w:rPr>
              <w:t>；</w:t>
            </w:r>
          </w:p>
          <w:p w14:paraId="56EECEAE">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4.17紫外线稳定剂（%）：未检出</w:t>
            </w:r>
            <w:r>
              <w:rPr>
                <w:rFonts w:hint="eastAsia" w:ascii="宋体" w:hAnsi="宋体" w:eastAsia="宋体" w:cs="宋体"/>
                <w:color w:val="000000" w:themeColor="text1"/>
                <w:szCs w:val="21"/>
                <w:highlight w:val="none"/>
                <w14:textFill>
                  <w14:solidFill>
                    <w14:schemeClr w14:val="tx1"/>
                  </w14:solidFill>
                </w14:textFill>
              </w:rPr>
              <w:t>；</w:t>
            </w:r>
          </w:p>
          <w:p w14:paraId="40E1D041">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4.1</w:t>
            </w:r>
            <w:r>
              <w:rPr>
                <w:rFonts w:ascii="宋体" w:hAnsi="宋体" w:eastAsia="宋体" w:cs="宋体"/>
                <w:color w:val="000000" w:themeColor="text1"/>
                <w:szCs w:val="21"/>
                <w:highlight w:val="none"/>
                <w14:textFill>
                  <w14:solidFill>
                    <w14:schemeClr w14:val="tx1"/>
                  </w14:solidFill>
                </w14:textFill>
              </w:rPr>
              <w:t>8</w:t>
            </w:r>
            <w:r>
              <w:rPr>
                <w:rFonts w:hint="eastAsia" w:ascii="宋体" w:hAnsi="宋体" w:eastAsia="宋体" w:cs="宋体"/>
                <w:color w:val="000000" w:themeColor="text1"/>
                <w:kern w:val="0"/>
                <w:szCs w:val="21"/>
                <w:highlight w:val="none"/>
                <w14:textFill>
                  <w14:solidFill>
                    <w14:schemeClr w14:val="tx1"/>
                  </w14:solidFill>
                </w14:textFill>
              </w:rPr>
              <w:t>氨气异味成分浓度减少率（%）：</w:t>
            </w:r>
            <w:r>
              <w:rPr>
                <w:rFonts w:hint="eastAsia" w:ascii="宋体" w:hAnsi="宋体" w:eastAsia="宋体" w:cs="宋体"/>
                <w:color w:val="000000" w:themeColor="text1"/>
                <w:szCs w:val="21"/>
                <w:highlight w:val="none"/>
                <w14:textFill>
                  <w14:solidFill>
                    <w14:schemeClr w14:val="tx1"/>
                  </w14:solidFill>
                </w14:textFill>
              </w:rPr>
              <w:t>≥45；</w:t>
            </w:r>
          </w:p>
          <w:p w14:paraId="3C1DE7A9">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w:t>
            </w:r>
            <w:r>
              <w:rPr>
                <w:rFonts w:ascii="宋体" w:hAnsi="宋体" w:eastAsia="宋体" w:cs="宋体"/>
                <w:color w:val="000000" w:themeColor="text1"/>
                <w:szCs w:val="21"/>
                <w:highlight w:val="none"/>
                <w14:textFill>
                  <w14:solidFill>
                    <w14:schemeClr w14:val="tx1"/>
                  </w14:solidFill>
                </w14:textFill>
              </w:rPr>
              <w:t>19</w:t>
            </w:r>
            <w:r>
              <w:rPr>
                <w:rFonts w:hint="eastAsia" w:ascii="宋体" w:hAnsi="宋体" w:eastAsia="宋体" w:cs="宋体"/>
                <w:color w:val="000000" w:themeColor="text1"/>
                <w:kern w:val="0"/>
                <w:szCs w:val="21"/>
                <w:highlight w:val="none"/>
                <w14:textFill>
                  <w14:solidFill>
                    <w14:schemeClr w14:val="tx1"/>
                  </w14:solidFill>
                </w14:textFill>
              </w:rPr>
              <w:t>醋酸异味成分浓度减少率（%）：</w:t>
            </w:r>
            <w:r>
              <w:rPr>
                <w:rFonts w:hint="eastAsia" w:ascii="宋体" w:hAnsi="宋体" w:eastAsia="宋体" w:cs="宋体"/>
                <w:color w:val="000000" w:themeColor="text1"/>
                <w:szCs w:val="21"/>
                <w:highlight w:val="none"/>
                <w14:textFill>
                  <w14:solidFill>
                    <w14:schemeClr w14:val="tx1"/>
                  </w14:solidFill>
                </w14:textFill>
              </w:rPr>
              <w:t>≥80。</w:t>
            </w:r>
          </w:p>
          <w:p w14:paraId="3B9655AD">
            <w:pPr>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★5、影响使用的其它技术考核标准：</w:t>
            </w:r>
          </w:p>
          <w:p w14:paraId="6C2430CF">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5.1</w:t>
            </w:r>
            <w:r>
              <w:rPr>
                <w:rFonts w:hint="eastAsia" w:ascii="宋体" w:hAnsi="宋体" w:eastAsia="宋体" w:cs="宋体"/>
                <w:color w:val="000000" w:themeColor="text1"/>
                <w:kern w:val="0"/>
                <w:szCs w:val="21"/>
                <w:highlight w:val="none"/>
                <w14:textFill>
                  <w14:solidFill>
                    <w14:schemeClr w14:val="tx1"/>
                  </w14:solidFill>
                </w14:textFill>
              </w:rPr>
              <w:t>荧光增白剂（mg/kg）：未检出；</w:t>
            </w:r>
          </w:p>
          <w:p w14:paraId="45D5A9B5">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5.2</w:t>
            </w:r>
            <w:r>
              <w:rPr>
                <w:rFonts w:hint="eastAsia" w:ascii="宋体" w:hAnsi="宋体" w:eastAsia="宋体" w:cs="宋体"/>
                <w:color w:val="000000" w:themeColor="text1"/>
                <w:kern w:val="0"/>
                <w:szCs w:val="21"/>
                <w:highlight w:val="none"/>
                <w14:textFill>
                  <w14:solidFill>
                    <w14:schemeClr w14:val="tx1"/>
                  </w14:solidFill>
                </w14:textFill>
              </w:rPr>
              <w:t>负离子发生量（个/cm³）：</w:t>
            </w:r>
            <w:r>
              <w:rPr>
                <w:rFonts w:hint="eastAsia" w:ascii="宋体" w:hAnsi="宋体" w:eastAsia="宋体" w:cs="宋体"/>
                <w:color w:val="000000" w:themeColor="text1"/>
                <w:szCs w:val="21"/>
                <w:highlight w:val="none"/>
                <w14:textFill>
                  <w14:solidFill>
                    <w14:schemeClr w14:val="tx1"/>
                  </w14:solidFill>
                </w14:textFill>
              </w:rPr>
              <w:t>≥630；</w:t>
            </w:r>
          </w:p>
          <w:p w14:paraId="0E01B162">
            <w:pPr>
              <w:widowControl/>
              <w:jc w:val="lef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5.3防紫外线性能：</w:t>
            </w:r>
            <w:r>
              <w:rPr>
                <w:rFonts w:hint="eastAsia" w:ascii="宋体" w:hAnsi="宋体" w:eastAsia="宋体" w:cs="宋体"/>
                <w:color w:val="000000" w:themeColor="text1"/>
                <w:kern w:val="0"/>
                <w:szCs w:val="21"/>
                <w:highlight w:val="none"/>
                <w14:textFill>
                  <w14:solidFill>
                    <w14:schemeClr w14:val="tx1"/>
                  </w14:solidFill>
                </w14:textFill>
              </w:rPr>
              <w:t>UVA 平均透射比（%）≤5，UVB 平均透射比（%）≤5，UPF 平均值</w:t>
            </w:r>
            <w:r>
              <w:rPr>
                <w:rFonts w:hint="eastAsia" w:ascii="宋体" w:hAnsi="宋体" w:eastAsia="宋体" w:cs="宋体"/>
                <w:color w:val="000000" w:themeColor="text1"/>
                <w:szCs w:val="21"/>
                <w:highlight w:val="none"/>
                <w14:textFill>
                  <w14:solidFill>
                    <w14:schemeClr w14:val="tx1"/>
                  </w14:solidFill>
                </w14:textFill>
              </w:rPr>
              <w:t>≥1950，</w:t>
            </w:r>
            <w:r>
              <w:rPr>
                <w:rFonts w:hint="eastAsia" w:ascii="宋体" w:hAnsi="宋体" w:eastAsia="宋体" w:cs="宋体"/>
                <w:color w:val="000000" w:themeColor="text1"/>
                <w:kern w:val="0"/>
                <w:szCs w:val="21"/>
                <w:highlight w:val="none"/>
                <w14:textFill>
                  <w14:solidFill>
                    <w14:schemeClr w14:val="tx1"/>
                  </w14:solidFill>
                </w14:textFill>
              </w:rPr>
              <w:t>UPF 紫外线防护系数</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kern w:val="0"/>
                <w:szCs w:val="21"/>
                <w:highlight w:val="none"/>
                <w14:textFill>
                  <w14:solidFill>
                    <w14:schemeClr w14:val="tx1"/>
                  </w14:solidFill>
                </w14:textFill>
              </w:rPr>
              <w:t>40；</w:t>
            </w:r>
          </w:p>
          <w:p w14:paraId="5EBFAE32">
            <w:pPr>
              <w:widowControl/>
              <w:jc w:val="lef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5.4洗涤干燥后外观平整度（级）：</w:t>
            </w:r>
            <w:r>
              <w:rPr>
                <w:rFonts w:hint="eastAsia" w:ascii="宋体" w:hAnsi="宋体" w:eastAsia="宋体" w:cs="宋体"/>
                <w:color w:val="000000" w:themeColor="text1"/>
                <w:szCs w:val="21"/>
                <w:highlight w:val="none"/>
                <w14:textFill>
                  <w14:solidFill>
                    <w14:schemeClr w14:val="tx1"/>
                  </w14:solidFill>
                </w14:textFill>
              </w:rPr>
              <w:t>≥3.5</w:t>
            </w:r>
            <w:r>
              <w:rPr>
                <w:rFonts w:hint="eastAsia" w:ascii="宋体" w:hAnsi="宋体" w:eastAsia="宋体" w:cs="宋体"/>
                <w:color w:val="000000" w:themeColor="text1"/>
                <w:kern w:val="0"/>
                <w:szCs w:val="21"/>
                <w:highlight w:val="none"/>
                <w14:textFill>
                  <w14:solidFill>
                    <w14:schemeClr w14:val="tx1"/>
                  </w14:solidFill>
                </w14:textFill>
              </w:rPr>
              <w:t>；</w:t>
            </w:r>
          </w:p>
          <w:p w14:paraId="78D57123">
            <w:pPr>
              <w:widowControl/>
              <w:jc w:val="lef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5.5电荷量（μC/件）：≤0.3；</w:t>
            </w:r>
          </w:p>
          <w:p w14:paraId="57E5019A">
            <w:pPr>
              <w:widowControl/>
              <w:jc w:val="lef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5.6石棉含量（%）：未检出；</w:t>
            </w:r>
          </w:p>
          <w:p w14:paraId="1F9A8D35">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5.7</w:t>
            </w:r>
            <w:r>
              <w:rPr>
                <w:rFonts w:hint="eastAsia" w:ascii="宋体" w:hAnsi="宋体" w:eastAsia="宋体" w:cs="宋体"/>
                <w:color w:val="000000" w:themeColor="text1"/>
                <w:kern w:val="0"/>
                <w:szCs w:val="21"/>
                <w:highlight w:val="none"/>
                <w14:textFill>
                  <w14:solidFill>
                    <w14:schemeClr w14:val="tx1"/>
                  </w14:solidFill>
                </w14:textFill>
              </w:rPr>
              <w:t>悬垂性（%）：</w:t>
            </w:r>
            <w:r>
              <w:rPr>
                <w:rFonts w:hint="eastAsia" w:ascii="宋体" w:hAnsi="宋体" w:eastAsia="宋体" w:cs="宋体"/>
                <w:color w:val="000000" w:themeColor="text1"/>
                <w:szCs w:val="21"/>
                <w:highlight w:val="none"/>
                <w14:textFill>
                  <w14:solidFill>
                    <w14:schemeClr w14:val="tx1"/>
                  </w14:solidFill>
                </w14:textFill>
              </w:rPr>
              <w:t>≥60</w:t>
            </w:r>
            <w:r>
              <w:rPr>
                <w:rFonts w:hint="eastAsia" w:ascii="宋体" w:hAnsi="宋体" w:eastAsia="宋体" w:cs="宋体"/>
                <w:color w:val="000000" w:themeColor="text1"/>
                <w:kern w:val="0"/>
                <w:szCs w:val="21"/>
                <w:highlight w:val="none"/>
                <w14:textFill>
                  <w14:solidFill>
                    <w14:schemeClr w14:val="tx1"/>
                  </w14:solidFill>
                </w14:textFill>
              </w:rPr>
              <w:t>；</w:t>
            </w:r>
          </w:p>
          <w:p w14:paraId="31F25866">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5.8</w:t>
            </w:r>
            <w:r>
              <w:rPr>
                <w:rFonts w:hint="eastAsia" w:ascii="宋体" w:hAnsi="宋体" w:eastAsia="宋体" w:cs="宋体"/>
                <w:color w:val="000000" w:themeColor="text1"/>
                <w:kern w:val="0"/>
                <w:szCs w:val="21"/>
                <w:highlight w:val="none"/>
                <w14:textFill>
                  <w14:solidFill>
                    <w14:schemeClr w14:val="tx1"/>
                  </w14:solidFill>
                </w14:textFill>
              </w:rPr>
              <w:t>染料迁移性能（级）：沾色≥</w:t>
            </w:r>
            <w:r>
              <w:rPr>
                <w:rFonts w:ascii="宋体" w:hAnsi="宋体" w:eastAsia="宋体" w:cs="宋体"/>
                <w:color w:val="000000" w:themeColor="text1"/>
                <w:kern w:val="0"/>
                <w:szCs w:val="21"/>
                <w:highlight w:val="none"/>
                <w14:textFill>
                  <w14:solidFill>
                    <w14:schemeClr w14:val="tx1"/>
                  </w14:solidFill>
                </w14:textFill>
              </w:rPr>
              <w:t>4</w:t>
            </w:r>
            <w:r>
              <w:rPr>
                <w:rFonts w:hint="eastAsia" w:ascii="宋体" w:hAnsi="宋体" w:eastAsia="宋体" w:cs="宋体"/>
                <w:color w:val="000000" w:themeColor="text1"/>
                <w:kern w:val="0"/>
                <w:szCs w:val="21"/>
                <w:highlight w:val="none"/>
                <w14:textFill>
                  <w14:solidFill>
                    <w14:schemeClr w14:val="tx1"/>
                  </w14:solidFill>
                </w14:textFill>
              </w:rPr>
              <w:t>；</w:t>
            </w:r>
          </w:p>
          <w:p w14:paraId="2EDCBCE8">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5.9酚黄变（级）：黄变级数≥</w:t>
            </w:r>
            <w:r>
              <w:rPr>
                <w:rFonts w:ascii="宋体" w:hAnsi="宋体" w:eastAsia="宋体" w:cs="宋体"/>
                <w:color w:val="000000" w:themeColor="text1"/>
                <w:kern w:val="0"/>
                <w:szCs w:val="21"/>
                <w:highlight w:val="none"/>
                <w14:textFill>
                  <w14:solidFill>
                    <w14:schemeClr w14:val="tx1"/>
                  </w14:solidFill>
                </w14:textFill>
              </w:rPr>
              <w:t>4</w:t>
            </w:r>
            <w:r>
              <w:rPr>
                <w:rFonts w:hint="eastAsia" w:ascii="宋体" w:hAnsi="宋体" w:eastAsia="宋体" w:cs="宋体"/>
                <w:color w:val="000000" w:themeColor="text1"/>
                <w:kern w:val="0"/>
                <w:szCs w:val="21"/>
                <w:highlight w:val="none"/>
                <w14:textFill>
                  <w14:solidFill>
                    <w14:schemeClr w14:val="tx1"/>
                  </w14:solidFill>
                </w14:textFill>
              </w:rPr>
              <w:t>。</w:t>
            </w:r>
          </w:p>
          <w:p w14:paraId="4E714026">
            <w:pPr>
              <w:pStyle w:val="8"/>
              <w:spacing w:after="0"/>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14:textFill>
                  <w14:solidFill>
                    <w14:schemeClr w14:val="tx1"/>
                  </w14:solidFill>
                </w14:textFill>
              </w:rPr>
              <w:t>6、安全防护性能指标要求：</w:t>
            </w:r>
          </w:p>
          <w:p w14:paraId="5FD7FEB3">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6.1水洗≥50次后，抗菌效果符合GB/T20944.3-2008标准：</w:t>
            </w:r>
          </w:p>
          <w:p w14:paraId="0AF45DF3">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6.1.1金黄色葡萄球菌抑菌率≥90%；</w:t>
            </w:r>
          </w:p>
          <w:p w14:paraId="69302A64">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6.1.2大肠杆菌抑菌率≥90%；</w:t>
            </w:r>
          </w:p>
          <w:p w14:paraId="1B174E7D">
            <w:pPr>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6.1.3肺炎克雷伯氏菌抑菌率≥90%</w:t>
            </w:r>
            <w:r>
              <w:rPr>
                <w:rFonts w:hint="eastAsia" w:ascii="宋体" w:hAnsi="宋体" w:eastAsia="宋体" w:cs="宋体"/>
                <w:color w:val="000000" w:themeColor="text1"/>
                <w:szCs w:val="21"/>
                <w:highlight w:val="none"/>
                <w:lang w:eastAsia="zh-CN"/>
                <w14:textFill>
                  <w14:solidFill>
                    <w14:schemeClr w14:val="tx1"/>
                  </w14:solidFill>
                </w14:textFill>
              </w:rPr>
              <w:t>。</w:t>
            </w:r>
          </w:p>
          <w:p w14:paraId="79C6B03E">
            <w:pPr>
              <w:widowControl/>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注：以上1-6项的技术指标需投标人同时提供：</w:t>
            </w:r>
          </w:p>
          <w:p w14:paraId="1857A872">
            <w:pPr>
              <w:widowControl/>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（1）提供检验机构在CMA资质认定范围内出具的检验报告扫描件</w:t>
            </w:r>
            <w:r>
              <w:rPr>
                <w:rFonts w:hint="eastAsia" w:ascii="宋体" w:hAnsi="宋体" w:eastAsia="宋体" w:cs="宋体"/>
                <w:color w:val="000000" w:themeColor="text1"/>
                <w:szCs w:val="21"/>
                <w:highlight w:val="none"/>
                <w14:textFill>
                  <w14:solidFill>
                    <w14:schemeClr w14:val="tx1"/>
                  </w14:solidFill>
                </w14:textFill>
              </w:rPr>
              <w:t>。同一个检测报告编号只能在一个产品中使用，如用在多个产品检测报告无效。投标人提供的检验报告如超出了签发该检验报告机构CMA认定资质而需要分包给其它具有CMA资质的检验机构检测的，需在所提供的检测报告上明确分包检测单位。未按上述要求提供证明材料，不得分。</w:t>
            </w:r>
          </w:p>
          <w:p w14:paraId="58F18CF9">
            <w:pPr>
              <w:widowControl/>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（2）提供检测报告（含分包单位出具的检验报告）在国家市场监督管理总局“全国认证认可信息公共服务平台”上的查询截图</w:t>
            </w:r>
            <w:r>
              <w:rPr>
                <w:rFonts w:hint="eastAsia" w:ascii="宋体" w:hAnsi="宋体" w:eastAsia="宋体" w:cs="宋体"/>
                <w:color w:val="000000" w:themeColor="text1"/>
                <w:szCs w:val="21"/>
                <w:highlight w:val="none"/>
                <w14:textFill>
                  <w14:solidFill>
                    <w14:schemeClr w14:val="tx1"/>
                  </w14:solidFill>
                </w14:textFill>
              </w:rPr>
              <w:t>。未按上述要求提供证明材料，不得分。</w:t>
            </w:r>
          </w:p>
          <w:p w14:paraId="4279F345">
            <w:pPr>
              <w:wordWrap w:val="0"/>
              <w:topLinePunct/>
              <w:jc w:val="left"/>
              <w:rPr>
                <w:rFonts w:eastAsia="宋体" w:cs="宋体"/>
                <w:color w:val="000000" w:themeColor="text1"/>
                <w:szCs w:val="21"/>
                <w:highlight w:val="none"/>
                <w:shd w:val="clear" w:color="auto" w:fill="FFFFFF"/>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（3）提供检测报告（含分包单位出具的检验报告）的防伪查询截图</w:t>
            </w:r>
            <w:r>
              <w:rPr>
                <w:rFonts w:hint="eastAsia" w:ascii="宋体" w:hAnsi="宋体" w:eastAsia="宋体" w:cs="宋体"/>
                <w:color w:val="000000" w:themeColor="text1"/>
                <w:szCs w:val="21"/>
                <w:highlight w:val="none"/>
                <w14:textFill>
                  <w14:solidFill>
                    <w14:schemeClr w14:val="tx1"/>
                  </w14:solidFill>
                </w14:textFill>
              </w:rPr>
              <w:t>。未按上述要求提供证明材料，不得分。注：</w:t>
            </w:r>
            <w:r>
              <w:rPr>
                <w:rFonts w:hint="eastAsia" w:ascii="宋体" w:hAnsi="宋体" w:eastAsia="宋体" w:cs="宋体"/>
                <w:b/>
                <w:bCs/>
                <w:color w:val="000000" w:themeColor="text1"/>
                <w:szCs w:val="21"/>
                <w:highlight w:val="none"/>
                <w14:textFill>
                  <w14:solidFill>
                    <w14:schemeClr w14:val="tx1"/>
                  </w14:solidFill>
                </w14:textFill>
              </w:rPr>
              <w:t>防伪查询指在出具检验报告的检测机构官网网页上查询或扫描检测报告上的二维码查询。判定是否属于检测机构官网，由评标委员会在评审现场按下列约定进行判定：检测机构官网标注的备案号须与在工业和信息化部政务服务平台（https://beian.miit.gov.cn/#/Integrated/notice_list）中所查询到的备案号保持一致，否则不予认可。</w:t>
            </w:r>
          </w:p>
        </w:tc>
        <w:tc>
          <w:tcPr>
            <w:tcW w:w="901" w:type="dxa"/>
            <w:tcBorders>
              <w:left w:val="single" w:color="auto" w:sz="4" w:space="0"/>
              <w:right w:val="single" w:color="auto" w:sz="4" w:space="0"/>
              <w:tl2br w:val="nil"/>
              <w:tr2bl w:val="nil"/>
            </w:tcBorders>
            <w:shd w:val="clear" w:color="auto" w:fill="auto"/>
            <w:vAlign w:val="center"/>
          </w:tcPr>
          <w:p w14:paraId="52687B1F">
            <w:pPr>
              <w:pStyle w:val="70"/>
              <w:jc w:val="center"/>
              <w:rPr>
                <w:rFonts w:cs="宋体"/>
                <w:color w:val="000000" w:themeColor="text1"/>
                <w:kern w:val="2"/>
                <w:sz w:val="21"/>
                <w:szCs w:val="21"/>
                <w:highlight w:val="none"/>
                <w14:textFill>
                  <w14:solidFill>
                    <w14:schemeClr w14:val="tx1"/>
                  </w14:solidFill>
                </w14:textFill>
              </w:rPr>
            </w:pPr>
            <w:r>
              <w:rPr>
                <w:rFonts w:hint="eastAsia" w:cs="宋体"/>
                <w:color w:val="000000" w:themeColor="text1"/>
                <w:kern w:val="2"/>
                <w:sz w:val="21"/>
                <w:szCs w:val="21"/>
                <w:highlight w:val="none"/>
                <w14:textFill>
                  <w14:solidFill>
                    <w14:schemeClr w14:val="tx1"/>
                  </w14:solidFill>
                </w14:textFill>
              </w:rPr>
              <w:t>1050</w:t>
            </w:r>
          </w:p>
        </w:tc>
        <w:tc>
          <w:tcPr>
            <w:tcW w:w="935" w:type="dxa"/>
            <w:tcBorders>
              <w:left w:val="single" w:color="auto" w:sz="4" w:space="0"/>
              <w:tl2br w:val="nil"/>
              <w:tr2bl w:val="nil"/>
            </w:tcBorders>
            <w:shd w:val="clear" w:color="auto" w:fill="auto"/>
            <w:vAlign w:val="center"/>
          </w:tcPr>
          <w:p w14:paraId="645088CE">
            <w:pPr>
              <w:pStyle w:val="70"/>
              <w:jc w:val="center"/>
              <w:rPr>
                <w:rFonts w:cs="宋体"/>
                <w:color w:val="000000" w:themeColor="text1"/>
                <w:kern w:val="2"/>
                <w:sz w:val="21"/>
                <w:szCs w:val="21"/>
                <w:highlight w:val="none"/>
                <w14:textFill>
                  <w14:solidFill>
                    <w14:schemeClr w14:val="tx1"/>
                  </w14:solidFill>
                </w14:textFill>
              </w:rPr>
            </w:pPr>
            <w:r>
              <w:rPr>
                <w:rFonts w:hint="eastAsia" w:cs="宋体"/>
                <w:color w:val="000000" w:themeColor="text1"/>
                <w:kern w:val="2"/>
                <w:sz w:val="21"/>
                <w:szCs w:val="21"/>
                <w:highlight w:val="none"/>
                <w14:textFill>
                  <w14:solidFill>
                    <w14:schemeClr w14:val="tx1"/>
                  </w14:solidFill>
                </w14:textFill>
              </w:rPr>
              <w:t>平方米</w:t>
            </w:r>
          </w:p>
        </w:tc>
      </w:tr>
      <w:tr w14:paraId="7BC46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45" w:hRule="atLeast"/>
          <w:jc w:val="center"/>
        </w:trPr>
        <w:tc>
          <w:tcPr>
            <w:tcW w:w="525" w:type="dxa"/>
            <w:tcBorders>
              <w:tl2br w:val="nil"/>
              <w:tr2bl w:val="nil"/>
            </w:tcBorders>
            <w:shd w:val="clear" w:color="auto" w:fill="auto"/>
            <w:vAlign w:val="center"/>
          </w:tcPr>
          <w:p w14:paraId="08B112B2">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kern w:val="0"/>
                <w:szCs w:val="21"/>
                <w:highlight w:val="none"/>
                <w:lang w:bidi="ar"/>
                <w14:textFill>
                  <w14:solidFill>
                    <w14:schemeClr w14:val="tx1"/>
                  </w14:solidFill>
                </w14:textFill>
              </w:rPr>
              <w:t>3</w:t>
            </w:r>
          </w:p>
        </w:tc>
        <w:tc>
          <w:tcPr>
            <w:tcW w:w="964" w:type="dxa"/>
            <w:tcBorders>
              <w:tl2br w:val="nil"/>
              <w:tr2bl w:val="nil"/>
            </w:tcBorders>
            <w:shd w:val="clear" w:color="auto" w:fill="auto"/>
            <w:vAlign w:val="center"/>
          </w:tcPr>
          <w:p w14:paraId="09E0A117">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纱帘</w:t>
            </w:r>
          </w:p>
        </w:tc>
        <w:tc>
          <w:tcPr>
            <w:tcW w:w="6424" w:type="dxa"/>
            <w:tcBorders>
              <w:right w:val="single" w:color="auto" w:sz="4" w:space="0"/>
              <w:tl2br w:val="nil"/>
              <w:tr2bl w:val="nil"/>
            </w:tcBorders>
            <w:shd w:val="clear" w:color="auto" w:fill="auto"/>
            <w:vAlign w:val="center"/>
          </w:tcPr>
          <w:p w14:paraId="6EB2FB67">
            <w:pPr>
              <w:pStyle w:val="6"/>
              <w:widowControl/>
              <w:ind w:firstLine="0"/>
              <w:rPr>
                <w:rFonts w:hAnsi="宋体" w:cs="宋体"/>
                <w:b/>
                <w:bCs/>
                <w:color w:val="000000" w:themeColor="text1"/>
                <w:sz w:val="21"/>
                <w:szCs w:val="21"/>
                <w:highlight w:val="none"/>
                <w14:textFill>
                  <w14:solidFill>
                    <w14:schemeClr w14:val="tx1"/>
                  </w14:solidFill>
                </w14:textFill>
              </w:rPr>
            </w:pPr>
            <w:r>
              <w:rPr>
                <w:rFonts w:hint="eastAsia" w:hAnsi="宋体" w:cs="宋体"/>
                <w:b/>
                <w:bCs/>
                <w:color w:val="000000" w:themeColor="text1"/>
                <w:sz w:val="21"/>
                <w:szCs w:val="21"/>
                <w:highlight w:val="none"/>
                <w14:textFill>
                  <w14:solidFill>
                    <w14:schemeClr w14:val="tx1"/>
                  </w14:solidFill>
                </w14:textFill>
              </w:rPr>
              <w:t>1、基本技术标准：</w:t>
            </w:r>
          </w:p>
          <w:p w14:paraId="3C6DC2F6">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1.1甲醛含量：未检出。</w:t>
            </w:r>
          </w:p>
          <w:p w14:paraId="685BF976">
            <w:pPr>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2、阻燃性能：</w:t>
            </w:r>
          </w:p>
          <w:p w14:paraId="3B72EDFE">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2.1符合GB/T 5455-2014，损毁长度经向纬向≤150mm；</w:t>
            </w:r>
          </w:p>
          <w:p w14:paraId="0A9426AB">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2.2续燃时间经向纬向≤5S，阴燃时间经向纬向≤5S；</w:t>
            </w:r>
          </w:p>
          <w:p w14:paraId="3000AF02">
            <w:pPr>
              <w:jc w:val="left"/>
              <w:rPr>
                <w:rFonts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3、耐洗色牢度：变色≥4，沾色≥4。</w:t>
            </w:r>
          </w:p>
          <w:p w14:paraId="0B6F97A4">
            <w:pPr>
              <w:jc w:val="left"/>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4、断裂强力：经向≥100，纬向≥80。</w:t>
            </w:r>
          </w:p>
        </w:tc>
        <w:tc>
          <w:tcPr>
            <w:tcW w:w="901" w:type="dxa"/>
            <w:tcBorders>
              <w:left w:val="single" w:color="auto" w:sz="4" w:space="0"/>
              <w:right w:val="single" w:color="auto" w:sz="4" w:space="0"/>
              <w:tl2br w:val="nil"/>
              <w:tr2bl w:val="nil"/>
            </w:tcBorders>
            <w:shd w:val="clear" w:color="auto" w:fill="auto"/>
            <w:vAlign w:val="center"/>
          </w:tcPr>
          <w:p w14:paraId="72F4BC7B">
            <w:pPr>
              <w:jc w:val="cente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1050</w:t>
            </w:r>
          </w:p>
        </w:tc>
        <w:tc>
          <w:tcPr>
            <w:tcW w:w="935" w:type="dxa"/>
            <w:tcBorders>
              <w:left w:val="single" w:color="auto" w:sz="4" w:space="0"/>
              <w:tl2br w:val="nil"/>
              <w:tr2bl w:val="nil"/>
            </w:tcBorders>
            <w:shd w:val="clear" w:color="auto" w:fill="auto"/>
            <w:vAlign w:val="center"/>
          </w:tcPr>
          <w:p w14:paraId="71DBC0DC">
            <w:pPr>
              <w:jc w:val="cente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平方米</w:t>
            </w:r>
          </w:p>
        </w:tc>
      </w:tr>
      <w:tr w14:paraId="73BFD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14" w:hRule="atLeast"/>
          <w:jc w:val="center"/>
        </w:trPr>
        <w:tc>
          <w:tcPr>
            <w:tcW w:w="525" w:type="dxa"/>
            <w:tcBorders>
              <w:tl2br w:val="nil"/>
              <w:tr2bl w:val="nil"/>
            </w:tcBorders>
            <w:shd w:val="clear" w:color="auto" w:fill="auto"/>
            <w:vAlign w:val="center"/>
          </w:tcPr>
          <w:p w14:paraId="189B7A19">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w:t>
            </w:r>
          </w:p>
        </w:tc>
        <w:tc>
          <w:tcPr>
            <w:tcW w:w="964" w:type="dxa"/>
            <w:tcBorders>
              <w:tl2br w:val="nil"/>
              <w:tr2bl w:val="nil"/>
            </w:tcBorders>
            <w:shd w:val="clear" w:color="auto" w:fill="auto"/>
            <w:vAlign w:val="center"/>
          </w:tcPr>
          <w:p w14:paraId="10C2D4E8">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窗帘电动轨道</w:t>
            </w:r>
          </w:p>
        </w:tc>
        <w:tc>
          <w:tcPr>
            <w:tcW w:w="6424" w:type="dxa"/>
            <w:tcBorders>
              <w:right w:val="single" w:color="auto" w:sz="4" w:space="0"/>
              <w:tl2br w:val="nil"/>
              <w:tr2bl w:val="nil"/>
            </w:tcBorders>
            <w:shd w:val="clear" w:color="auto" w:fill="auto"/>
            <w:vAlign w:val="center"/>
          </w:tcPr>
          <w:p w14:paraId="2E8B9A00">
            <w:pPr>
              <w:pStyle w:val="6"/>
              <w:widowControl/>
              <w:ind w:firstLine="0"/>
              <w:rPr>
                <w:rFonts w:hAnsi="宋体" w:cs="宋体"/>
                <w:color w:val="000000" w:themeColor="text1"/>
                <w:sz w:val="21"/>
                <w:szCs w:val="21"/>
                <w:highlight w:val="none"/>
                <w14:textFill>
                  <w14:solidFill>
                    <w14:schemeClr w14:val="tx1"/>
                  </w14:solidFill>
                </w14:textFill>
              </w:rPr>
            </w:pPr>
            <w:r>
              <w:rPr>
                <w:rFonts w:hint="eastAsia" w:hAnsi="宋体" w:cs="宋体"/>
                <w:b/>
                <w:bCs/>
                <w:color w:val="000000" w:themeColor="text1"/>
                <w:sz w:val="21"/>
                <w:szCs w:val="21"/>
                <w:highlight w:val="none"/>
                <w14:textFill>
                  <w14:solidFill>
                    <w14:schemeClr w14:val="tx1"/>
                  </w14:solidFill>
                </w14:textFill>
              </w:rPr>
              <w:t>1、基本技术标准：</w:t>
            </w:r>
          </w:p>
          <w:p w14:paraId="7E7C14A0">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1.1规格：铝合金材质，宽≥23mm、高≥25mm，壁厚≥1.5mm，弯曲度：0.01-0.15mm之间（含两端）。</w:t>
            </w:r>
          </w:p>
          <w:p w14:paraId="1B622DBD">
            <w:pPr>
              <w:jc w:val="left"/>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1.2外观质量：涂漆前型材的外观质量应符合GB/T 5237.2-2017的有关规定。涂漆后的漆膜应均匀、整洁、不准许有皱纹、裂纹、气泡、流痕、夹杂物、发粘和漆膜脱落等影响使用的缺陷，但在型材端头80mm范围内允许局部无膜。</w:t>
            </w:r>
          </w:p>
        </w:tc>
        <w:tc>
          <w:tcPr>
            <w:tcW w:w="901" w:type="dxa"/>
            <w:tcBorders>
              <w:left w:val="single" w:color="auto" w:sz="4" w:space="0"/>
              <w:right w:val="single" w:color="auto" w:sz="4" w:space="0"/>
              <w:tl2br w:val="nil"/>
              <w:tr2bl w:val="nil"/>
            </w:tcBorders>
            <w:shd w:val="clear" w:color="auto" w:fill="auto"/>
            <w:vAlign w:val="center"/>
          </w:tcPr>
          <w:p w14:paraId="573D230D">
            <w:pPr>
              <w:jc w:val="cente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200</w:t>
            </w:r>
          </w:p>
        </w:tc>
        <w:tc>
          <w:tcPr>
            <w:tcW w:w="935" w:type="dxa"/>
            <w:tcBorders>
              <w:left w:val="single" w:color="auto" w:sz="4" w:space="0"/>
              <w:tl2br w:val="nil"/>
              <w:tr2bl w:val="nil"/>
            </w:tcBorders>
            <w:shd w:val="clear" w:color="auto" w:fill="auto"/>
            <w:vAlign w:val="center"/>
          </w:tcPr>
          <w:p w14:paraId="5F4E0757">
            <w:pPr>
              <w:jc w:val="cente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米</w:t>
            </w:r>
          </w:p>
        </w:tc>
      </w:tr>
      <w:tr w14:paraId="557BC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25" w:type="dxa"/>
            <w:tcBorders>
              <w:tl2br w:val="nil"/>
              <w:tr2bl w:val="nil"/>
            </w:tcBorders>
            <w:shd w:val="clear" w:color="auto" w:fill="auto"/>
            <w:vAlign w:val="center"/>
          </w:tcPr>
          <w:p w14:paraId="15717F0D">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kern w:val="0"/>
                <w:szCs w:val="21"/>
                <w:highlight w:val="none"/>
                <w:lang w:bidi="ar"/>
                <w14:textFill>
                  <w14:solidFill>
                    <w14:schemeClr w14:val="tx1"/>
                  </w14:solidFill>
                </w14:textFill>
              </w:rPr>
              <w:t>5</w:t>
            </w:r>
          </w:p>
        </w:tc>
        <w:tc>
          <w:tcPr>
            <w:tcW w:w="964" w:type="dxa"/>
            <w:tcBorders>
              <w:tl2br w:val="nil"/>
              <w:tr2bl w:val="nil"/>
            </w:tcBorders>
            <w:shd w:val="clear" w:color="auto" w:fill="auto"/>
            <w:vAlign w:val="center"/>
          </w:tcPr>
          <w:p w14:paraId="2401DF15">
            <w:pPr>
              <w:widowControl/>
              <w:jc w:val="center"/>
              <w:textAlignment w:val="center"/>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开合帘电动系统</w:t>
            </w:r>
          </w:p>
        </w:tc>
        <w:tc>
          <w:tcPr>
            <w:tcW w:w="6424" w:type="dxa"/>
            <w:tcBorders>
              <w:right w:val="single" w:color="auto" w:sz="4" w:space="0"/>
              <w:tl2br w:val="nil"/>
              <w:tr2bl w:val="nil"/>
            </w:tcBorders>
            <w:shd w:val="clear" w:color="auto" w:fill="auto"/>
            <w:vAlign w:val="center"/>
          </w:tcPr>
          <w:p w14:paraId="419CDF92">
            <w:pPr>
              <w:pStyle w:val="6"/>
              <w:widowControl/>
              <w:ind w:firstLine="0"/>
              <w:rPr>
                <w:rFonts w:hAnsi="宋体" w:cs="宋体"/>
                <w:color w:val="000000" w:themeColor="text1"/>
                <w:sz w:val="21"/>
                <w:szCs w:val="21"/>
                <w:highlight w:val="none"/>
                <w14:textFill>
                  <w14:solidFill>
                    <w14:schemeClr w14:val="tx1"/>
                  </w14:solidFill>
                </w14:textFill>
              </w:rPr>
            </w:pPr>
            <w:r>
              <w:rPr>
                <w:rFonts w:hint="eastAsia" w:hAnsi="宋体" w:cs="宋体"/>
                <w:b/>
                <w:bCs/>
                <w:color w:val="000000" w:themeColor="text1"/>
                <w:sz w:val="21"/>
                <w:szCs w:val="21"/>
                <w:highlight w:val="none"/>
                <w14:textFill>
                  <w14:solidFill>
                    <w14:schemeClr w14:val="tx1"/>
                  </w14:solidFill>
                </w14:textFill>
              </w:rPr>
              <w:t>1、基本技术标准：</w:t>
            </w:r>
          </w:p>
          <w:p w14:paraId="2ECBF455">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1.1内置遥控功能；</w:t>
            </w:r>
          </w:p>
          <w:p w14:paraId="3EEEB9A0">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1.2停电手拉功能；</w:t>
            </w:r>
          </w:p>
          <w:p w14:paraId="0724E399">
            <w:pPr>
              <w:jc w:val="left"/>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1.3运行速度：20cm/s。</w:t>
            </w:r>
          </w:p>
          <w:p w14:paraId="6A23A1B3">
            <w:pPr>
              <w:jc w:val="left"/>
              <w:rPr>
                <w:rFonts w:ascii="宋体" w:hAnsi="宋体" w:eastAsia="宋体" w:cs="宋体"/>
                <w:b/>
                <w:bCs/>
                <w:color w:val="000000" w:themeColor="text1"/>
                <w:kern w:val="0"/>
                <w:szCs w:val="21"/>
                <w:highlight w:val="none"/>
                <w:lang w:bidi="ar"/>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1.4额定电压：220V，额定功率≥60W，额定电流≤0.8A。</w:t>
            </w:r>
          </w:p>
        </w:tc>
        <w:tc>
          <w:tcPr>
            <w:tcW w:w="901" w:type="dxa"/>
            <w:tcBorders>
              <w:left w:val="single" w:color="auto" w:sz="4" w:space="0"/>
              <w:right w:val="single" w:color="auto" w:sz="4" w:space="0"/>
              <w:tl2br w:val="nil"/>
              <w:tr2bl w:val="nil"/>
            </w:tcBorders>
            <w:shd w:val="clear" w:color="auto" w:fill="auto"/>
            <w:vAlign w:val="center"/>
          </w:tcPr>
          <w:p w14:paraId="43339BA7">
            <w:pPr>
              <w:jc w:val="cente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54</w:t>
            </w:r>
          </w:p>
        </w:tc>
        <w:tc>
          <w:tcPr>
            <w:tcW w:w="935" w:type="dxa"/>
            <w:tcBorders>
              <w:left w:val="single" w:color="auto" w:sz="4" w:space="0"/>
              <w:tl2br w:val="nil"/>
              <w:tr2bl w:val="nil"/>
            </w:tcBorders>
            <w:shd w:val="clear" w:color="auto" w:fill="auto"/>
            <w:vAlign w:val="center"/>
          </w:tcPr>
          <w:p w14:paraId="6C53A77A">
            <w:pPr>
              <w:jc w:val="center"/>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台</w:t>
            </w:r>
          </w:p>
        </w:tc>
      </w:tr>
    </w:tbl>
    <w:p w14:paraId="5E4B3CEA">
      <w:pPr>
        <w:rPr>
          <w:highlight w:val="none"/>
        </w:rPr>
      </w:pPr>
    </w:p>
    <w:p w14:paraId="1F9313B8">
      <w:pPr>
        <w:pStyle w:val="25"/>
        <w:ind w:left="0" w:firstLine="0" w:firstLineChars="0"/>
        <w:rPr>
          <w:rFonts w:ascii="宋体" w:hAnsi="宋体" w:eastAsia="宋体" w:cs="Calibri Light"/>
          <w:b/>
          <w:bCs/>
          <w:kern w:val="0"/>
          <w:sz w:val="24"/>
          <w:szCs w:val="24"/>
          <w:highlight w:val="none"/>
        </w:rPr>
      </w:pPr>
      <w:r>
        <w:rPr>
          <w:rFonts w:hint="eastAsia" w:ascii="宋体" w:hAnsi="宋体" w:eastAsia="宋体" w:cs="Calibri Light"/>
          <w:b/>
          <w:bCs/>
          <w:kern w:val="0"/>
          <w:sz w:val="24"/>
          <w:szCs w:val="24"/>
          <w:highlight w:val="none"/>
        </w:rPr>
        <w:t>备注：上表中数量为暂定量，后期履约时，以实际采购数量作为最终结算的依据。</w:t>
      </w:r>
    </w:p>
    <w:p w14:paraId="4FADDC78">
      <w:pPr>
        <w:rPr>
          <w:rFonts w:ascii="宋体" w:hAnsi="宋体" w:eastAsia="宋体" w:cs="Calibri Light"/>
          <w:b/>
          <w:bCs/>
          <w:kern w:val="0"/>
          <w:sz w:val="24"/>
          <w:szCs w:val="24"/>
          <w:highlight w:val="none"/>
        </w:rPr>
      </w:pPr>
    </w:p>
    <w:p w14:paraId="47F53EB5">
      <w:pPr>
        <w:rPr>
          <w:rFonts w:ascii="宋体" w:hAnsi="宋体" w:eastAsia="宋体" w:cs="Calibri Light"/>
          <w:b/>
          <w:bCs/>
          <w:kern w:val="0"/>
          <w:sz w:val="24"/>
          <w:szCs w:val="24"/>
          <w:highlight w:val="none"/>
        </w:rPr>
        <w:sectPr>
          <w:headerReference r:id="rId3" w:type="default"/>
          <w:footerReference r:id="rId4" w:type="default"/>
          <w:pgSz w:w="11906" w:h="16838"/>
          <w:pgMar w:top="1440" w:right="1080" w:bottom="1440" w:left="1080" w:header="851" w:footer="992" w:gutter="0"/>
          <w:cols w:space="425" w:num="1"/>
          <w:docGrid w:type="lines" w:linePitch="312" w:charSpace="0"/>
        </w:sectPr>
      </w:pPr>
    </w:p>
    <w:p w14:paraId="3CC8C0B7">
      <w:pPr>
        <w:wordWrap w:val="0"/>
        <w:spacing w:line="360" w:lineRule="auto"/>
        <w:jc w:val="center"/>
        <w:outlineLvl w:val="2"/>
        <w:rPr>
          <w:rFonts w:ascii="Arial" w:hAnsi="Arial" w:eastAsia="宋体" w:cs="Arial"/>
          <w:b/>
          <w:bCs/>
          <w:sz w:val="28"/>
          <w:szCs w:val="28"/>
          <w:highlight w:val="none"/>
        </w:rPr>
      </w:pPr>
      <w:r>
        <w:rPr>
          <w:rFonts w:hint="eastAsia" w:ascii="Arial" w:hAnsi="Arial" w:eastAsia="宋体" w:cs="Arial"/>
          <w:b/>
          <w:bCs/>
          <w:sz w:val="28"/>
          <w:szCs w:val="28"/>
          <w:highlight w:val="none"/>
        </w:rPr>
        <w:t>三、样品清单</w:t>
      </w:r>
    </w:p>
    <w:p w14:paraId="7C51FDD5">
      <w:pPr>
        <w:wordWrap w:val="0"/>
        <w:spacing w:line="440" w:lineRule="exact"/>
        <w:ind w:firstLine="480" w:firstLineChars="200"/>
        <w:rPr>
          <w:rFonts w:ascii="宋体" w:hAnsi="宋体" w:eastAsia="宋体" w:cs="宋体"/>
          <w:b/>
          <w:sz w:val="24"/>
          <w:szCs w:val="18"/>
          <w:highlight w:val="none"/>
        </w:rPr>
      </w:pPr>
      <w:r>
        <w:rPr>
          <w:rFonts w:hint="eastAsia" w:ascii="宋体" w:hAnsi="宋体" w:eastAsia="宋体" w:cs="宋体"/>
          <w:bCs/>
          <w:sz w:val="24"/>
          <w:szCs w:val="18"/>
          <w:highlight w:val="none"/>
        </w:rPr>
        <w:t>1、投标时，投标人应按招标文件规定准备投标样品。</w:t>
      </w:r>
      <w:r>
        <w:rPr>
          <w:rFonts w:hint="eastAsia" w:ascii="宋体" w:hAnsi="宋体" w:eastAsia="宋体" w:cs="宋体"/>
          <w:b/>
          <w:sz w:val="24"/>
          <w:szCs w:val="18"/>
          <w:highlight w:val="none"/>
        </w:rPr>
        <w:t>投标人须在样品上粘贴标签，并标记以下信息：“</w:t>
      </w:r>
      <w:r>
        <w:rPr>
          <w:rFonts w:hint="eastAsia" w:ascii="宋体" w:hAnsi="宋体" w:eastAsia="宋体" w:cs="宋体"/>
          <w:b/>
          <w:color w:val="auto"/>
          <w:sz w:val="24"/>
          <w:szCs w:val="18"/>
          <w:highlight w:val="none"/>
        </w:rPr>
        <w:t>物质科学交叉前沿研究中心窗帘项目样品</w:t>
      </w:r>
      <w:r>
        <w:rPr>
          <w:rFonts w:hint="eastAsia" w:ascii="宋体" w:hAnsi="宋体" w:eastAsia="宋体" w:cs="宋体"/>
          <w:b/>
          <w:sz w:val="24"/>
          <w:szCs w:val="18"/>
          <w:highlight w:val="none"/>
        </w:rPr>
        <w:t>”。样品标签上须加盖投标人公章，否则不予接受。</w:t>
      </w:r>
    </w:p>
    <w:p w14:paraId="49AD43BC">
      <w:pPr>
        <w:wordWrap w:val="0"/>
        <w:spacing w:line="440" w:lineRule="exact"/>
        <w:ind w:firstLine="480" w:firstLineChars="200"/>
        <w:rPr>
          <w:rFonts w:ascii="宋体" w:hAnsi="宋体" w:eastAsia="宋体" w:cs="宋体"/>
          <w:bCs/>
          <w:sz w:val="24"/>
          <w:szCs w:val="18"/>
          <w:highlight w:val="none"/>
        </w:rPr>
      </w:pPr>
      <w:r>
        <w:rPr>
          <w:rFonts w:hint="eastAsia" w:ascii="宋体" w:hAnsi="宋体" w:eastAsia="宋体" w:cs="宋体"/>
          <w:bCs/>
          <w:sz w:val="24"/>
          <w:szCs w:val="18"/>
          <w:highlight w:val="none"/>
        </w:rPr>
        <w:t>2、投标时，投标人应将样品送至“</w:t>
      </w:r>
      <w:r>
        <w:rPr>
          <w:rFonts w:hint="eastAsia" w:ascii="宋体" w:hAnsi="宋体" w:eastAsia="宋体" w:cs="宋体"/>
          <w:b/>
          <w:bCs w:val="0"/>
          <w:sz w:val="24"/>
          <w:szCs w:val="18"/>
          <w:highlight w:val="none"/>
        </w:rPr>
        <w:t>合肥市经开区翡翠路与芙蓉路交口港澳广场A座1</w:t>
      </w:r>
      <w:r>
        <w:rPr>
          <w:rFonts w:hint="eastAsia" w:ascii="宋体" w:hAnsi="宋体" w:eastAsia="宋体" w:cs="宋体"/>
          <w:b/>
          <w:bCs w:val="0"/>
          <w:sz w:val="24"/>
          <w:szCs w:val="18"/>
          <w:highlight w:val="none"/>
          <w:lang w:val="en-US" w:eastAsia="zh-CN"/>
        </w:rPr>
        <w:t>9楼3</w:t>
      </w:r>
      <w:r>
        <w:rPr>
          <w:rFonts w:hint="eastAsia" w:ascii="宋体" w:hAnsi="宋体" w:eastAsia="宋体" w:cs="宋体"/>
          <w:b/>
          <w:bCs w:val="0"/>
          <w:sz w:val="24"/>
          <w:szCs w:val="18"/>
          <w:highlight w:val="none"/>
        </w:rPr>
        <w:t>号会议室</w:t>
      </w:r>
      <w:r>
        <w:rPr>
          <w:rFonts w:hint="eastAsia" w:ascii="宋体" w:hAnsi="宋体" w:eastAsia="宋体" w:cs="宋体"/>
          <w:bCs/>
          <w:sz w:val="24"/>
          <w:szCs w:val="18"/>
          <w:highlight w:val="none"/>
        </w:rPr>
        <w:t>”；投标文件递交截止时间后提交的样品，采购代理机构将拒绝接收，由此引发的后果由投标人自行承担。</w:t>
      </w:r>
    </w:p>
    <w:p w14:paraId="0ED041F8">
      <w:pPr>
        <w:wordWrap w:val="0"/>
        <w:spacing w:line="440" w:lineRule="exact"/>
        <w:ind w:firstLine="480" w:firstLineChars="200"/>
        <w:rPr>
          <w:rFonts w:ascii="宋体" w:hAnsi="宋体" w:eastAsia="宋体" w:cs="宋体"/>
          <w:bCs/>
          <w:sz w:val="24"/>
          <w:szCs w:val="18"/>
          <w:highlight w:val="none"/>
        </w:rPr>
      </w:pPr>
      <w:r>
        <w:rPr>
          <w:rFonts w:hint="eastAsia" w:ascii="宋体" w:hAnsi="宋体" w:eastAsia="宋体" w:cs="宋体"/>
          <w:bCs/>
          <w:sz w:val="24"/>
          <w:szCs w:val="18"/>
          <w:highlight w:val="none"/>
        </w:rPr>
        <w:t>3、开始接收样品时间：</w:t>
      </w:r>
      <w:r>
        <w:rPr>
          <w:rFonts w:hint="eastAsia" w:ascii="宋体" w:hAnsi="宋体" w:eastAsia="宋体" w:cs="宋体"/>
          <w:b/>
          <w:bCs w:val="0"/>
          <w:sz w:val="24"/>
          <w:szCs w:val="18"/>
          <w:highlight w:val="none"/>
        </w:rPr>
        <w:t>北京时间2025年</w:t>
      </w:r>
      <w:r>
        <w:rPr>
          <w:rFonts w:hint="eastAsia" w:ascii="宋体" w:hAnsi="宋体" w:eastAsia="宋体" w:cs="宋体"/>
          <w:b/>
          <w:bCs w:val="0"/>
          <w:sz w:val="24"/>
          <w:szCs w:val="18"/>
          <w:highlight w:val="none"/>
          <w:lang w:val="en-US" w:eastAsia="zh-CN"/>
        </w:rPr>
        <w:t>6</w:t>
      </w:r>
      <w:r>
        <w:rPr>
          <w:rFonts w:hint="eastAsia" w:ascii="宋体" w:hAnsi="宋体" w:eastAsia="宋体" w:cs="宋体"/>
          <w:b/>
          <w:bCs w:val="0"/>
          <w:sz w:val="24"/>
          <w:szCs w:val="18"/>
          <w:highlight w:val="none"/>
        </w:rPr>
        <w:t>月</w:t>
      </w:r>
      <w:r>
        <w:rPr>
          <w:rFonts w:hint="eastAsia" w:ascii="宋体" w:hAnsi="宋体" w:eastAsia="宋体" w:cs="宋体"/>
          <w:b/>
          <w:bCs w:val="0"/>
          <w:sz w:val="24"/>
          <w:szCs w:val="18"/>
          <w:highlight w:val="none"/>
          <w:lang w:val="en-US" w:eastAsia="zh-CN"/>
        </w:rPr>
        <w:t>6</w:t>
      </w:r>
      <w:r>
        <w:rPr>
          <w:rFonts w:hint="eastAsia" w:ascii="宋体" w:hAnsi="宋体" w:eastAsia="宋体" w:cs="宋体"/>
          <w:b/>
          <w:bCs w:val="0"/>
          <w:sz w:val="24"/>
          <w:szCs w:val="18"/>
          <w:highlight w:val="none"/>
        </w:rPr>
        <w:t>日</w:t>
      </w:r>
      <w:r>
        <w:rPr>
          <w:rFonts w:hint="eastAsia" w:ascii="宋体" w:hAnsi="宋体" w:eastAsia="宋体" w:cs="宋体"/>
          <w:b/>
          <w:bCs w:val="0"/>
          <w:sz w:val="24"/>
          <w:szCs w:val="18"/>
          <w:highlight w:val="none"/>
          <w:lang w:val="en-US" w:eastAsia="zh-CN"/>
        </w:rPr>
        <w:t>09</w:t>
      </w:r>
      <w:r>
        <w:rPr>
          <w:rFonts w:hint="eastAsia" w:ascii="宋体" w:hAnsi="宋体" w:eastAsia="宋体" w:cs="宋体"/>
          <w:b/>
          <w:bCs w:val="0"/>
          <w:sz w:val="24"/>
          <w:szCs w:val="18"/>
          <w:highlight w:val="none"/>
        </w:rPr>
        <w:t>点00分；停止接收样品时间：2025年</w:t>
      </w:r>
      <w:r>
        <w:rPr>
          <w:rFonts w:hint="eastAsia" w:ascii="宋体" w:hAnsi="宋体" w:eastAsia="宋体" w:cs="宋体"/>
          <w:b/>
          <w:bCs w:val="0"/>
          <w:sz w:val="24"/>
          <w:szCs w:val="18"/>
          <w:highlight w:val="none"/>
          <w:lang w:val="en-US" w:eastAsia="zh-CN"/>
        </w:rPr>
        <w:t>6</w:t>
      </w:r>
      <w:r>
        <w:rPr>
          <w:rFonts w:hint="eastAsia" w:ascii="宋体" w:hAnsi="宋体" w:eastAsia="宋体" w:cs="宋体"/>
          <w:b/>
          <w:bCs w:val="0"/>
          <w:sz w:val="24"/>
          <w:szCs w:val="18"/>
          <w:highlight w:val="none"/>
        </w:rPr>
        <w:t>月</w:t>
      </w:r>
      <w:r>
        <w:rPr>
          <w:rFonts w:hint="eastAsia" w:ascii="宋体" w:hAnsi="宋体" w:eastAsia="宋体" w:cs="宋体"/>
          <w:b/>
          <w:bCs w:val="0"/>
          <w:sz w:val="24"/>
          <w:szCs w:val="18"/>
          <w:highlight w:val="none"/>
          <w:lang w:val="en-US" w:eastAsia="zh-CN"/>
        </w:rPr>
        <w:t>6</w:t>
      </w:r>
      <w:r>
        <w:rPr>
          <w:rFonts w:hint="eastAsia" w:ascii="宋体" w:hAnsi="宋体" w:eastAsia="宋体" w:cs="宋体"/>
          <w:b/>
          <w:bCs w:val="0"/>
          <w:sz w:val="24"/>
          <w:szCs w:val="18"/>
          <w:highlight w:val="none"/>
        </w:rPr>
        <w:t>日1</w:t>
      </w:r>
      <w:r>
        <w:rPr>
          <w:rFonts w:hint="eastAsia" w:ascii="宋体" w:hAnsi="宋体" w:eastAsia="宋体" w:cs="宋体"/>
          <w:b/>
          <w:bCs w:val="0"/>
          <w:sz w:val="24"/>
          <w:szCs w:val="18"/>
          <w:highlight w:val="none"/>
          <w:lang w:val="en-US" w:eastAsia="zh-CN"/>
        </w:rPr>
        <w:t>0</w:t>
      </w:r>
      <w:r>
        <w:rPr>
          <w:rFonts w:hint="eastAsia" w:ascii="宋体" w:hAnsi="宋体" w:eastAsia="宋体" w:cs="宋体"/>
          <w:b/>
          <w:bCs w:val="0"/>
          <w:sz w:val="24"/>
          <w:szCs w:val="18"/>
          <w:highlight w:val="none"/>
        </w:rPr>
        <w:t>点00分。</w:t>
      </w:r>
    </w:p>
    <w:p w14:paraId="2579192D">
      <w:pPr>
        <w:wordWrap w:val="0"/>
        <w:spacing w:line="440" w:lineRule="exact"/>
        <w:ind w:firstLine="480" w:firstLineChars="200"/>
        <w:rPr>
          <w:rFonts w:ascii="宋体" w:hAnsi="宋体" w:eastAsia="宋体" w:cs="宋体"/>
          <w:bCs/>
          <w:sz w:val="24"/>
          <w:szCs w:val="18"/>
          <w:highlight w:val="none"/>
        </w:rPr>
      </w:pPr>
      <w:r>
        <w:rPr>
          <w:rFonts w:hint="eastAsia" w:ascii="宋体" w:hAnsi="宋体" w:eastAsia="宋体" w:cs="宋体"/>
          <w:bCs/>
          <w:sz w:val="24"/>
          <w:szCs w:val="18"/>
          <w:highlight w:val="none"/>
        </w:rPr>
        <w:t>4、样品的制作、包装、运输、递交、退还等费用由投标人自行承担。</w:t>
      </w:r>
    </w:p>
    <w:p w14:paraId="191F25A3">
      <w:pPr>
        <w:wordWrap w:val="0"/>
        <w:spacing w:line="440" w:lineRule="exact"/>
        <w:ind w:firstLine="480" w:firstLineChars="200"/>
        <w:rPr>
          <w:rFonts w:ascii="宋体" w:hAnsi="宋体" w:eastAsia="宋体" w:cs="宋体"/>
          <w:b/>
          <w:bCs/>
          <w:sz w:val="24"/>
          <w:szCs w:val="18"/>
          <w:highlight w:val="none"/>
        </w:rPr>
      </w:pPr>
      <w:r>
        <w:rPr>
          <w:rFonts w:hint="eastAsia" w:ascii="宋体" w:hAnsi="宋体" w:eastAsia="宋体" w:cs="宋体"/>
          <w:bCs/>
          <w:sz w:val="24"/>
          <w:szCs w:val="18"/>
          <w:highlight w:val="none"/>
        </w:rPr>
        <w:t>5、投标人未提供样品或提供样品不全的：</w:t>
      </w:r>
      <w:r>
        <w:rPr>
          <w:rFonts w:hint="eastAsia" w:ascii="宋体" w:hAnsi="宋体" w:eastAsia="宋体" w:cs="宋体"/>
          <w:b/>
          <w:bCs/>
          <w:sz w:val="24"/>
          <w:szCs w:val="18"/>
          <w:highlight w:val="none"/>
          <w:u w:val="single"/>
        </w:rPr>
        <w:t>按评标办法约定处理</w:t>
      </w:r>
      <w:r>
        <w:rPr>
          <w:rFonts w:hint="eastAsia" w:ascii="宋体" w:hAnsi="宋体" w:eastAsia="宋体" w:cs="宋体"/>
          <w:b/>
          <w:bCs/>
          <w:sz w:val="24"/>
          <w:szCs w:val="18"/>
          <w:highlight w:val="none"/>
        </w:rPr>
        <w:t>。</w:t>
      </w:r>
    </w:p>
    <w:p w14:paraId="4A9D9BD7">
      <w:pPr>
        <w:wordWrap w:val="0"/>
        <w:spacing w:line="440" w:lineRule="exact"/>
        <w:ind w:firstLine="480" w:firstLineChars="200"/>
        <w:rPr>
          <w:rFonts w:ascii="宋体" w:hAnsi="宋体" w:eastAsia="宋体" w:cs="宋体"/>
          <w:bCs/>
          <w:sz w:val="24"/>
          <w:szCs w:val="18"/>
          <w:highlight w:val="none"/>
        </w:rPr>
      </w:pPr>
      <w:r>
        <w:rPr>
          <w:rFonts w:hint="eastAsia" w:ascii="宋体" w:hAnsi="宋体" w:eastAsia="宋体" w:cs="宋体"/>
          <w:bCs/>
          <w:sz w:val="24"/>
          <w:szCs w:val="18"/>
          <w:highlight w:val="none"/>
        </w:rPr>
        <w:t>6、本项目要求提供的样品如下</w:t>
      </w:r>
      <w:r>
        <w:rPr>
          <w:rFonts w:hint="eastAsia" w:ascii="宋体" w:hAnsi="宋体" w:eastAsia="宋体" w:cs="宋体"/>
          <w:bCs/>
          <w:sz w:val="24"/>
          <w:szCs w:val="18"/>
          <w:highlight w:val="none"/>
          <w:lang w:eastAsia="zh-CN"/>
        </w:rPr>
        <w:t>（</w:t>
      </w:r>
      <w:r>
        <w:rPr>
          <w:rFonts w:hint="eastAsia" w:ascii="宋体" w:hAnsi="宋体" w:eastAsia="宋体" w:cs="宋体"/>
          <w:b/>
          <w:bCs w:val="0"/>
          <w:sz w:val="24"/>
          <w:szCs w:val="18"/>
          <w:highlight w:val="none"/>
          <w:lang w:eastAsia="zh-CN"/>
        </w:rPr>
        <w:t>在满足规格要求的前提下，不宜过大，以方便携带为宜</w:t>
      </w:r>
      <w:r>
        <w:rPr>
          <w:rFonts w:hint="eastAsia" w:ascii="宋体" w:hAnsi="宋体" w:eastAsia="宋体" w:cs="宋体"/>
          <w:bCs/>
          <w:sz w:val="24"/>
          <w:szCs w:val="18"/>
          <w:highlight w:val="none"/>
          <w:lang w:eastAsia="zh-CN"/>
        </w:rPr>
        <w:t>）</w:t>
      </w:r>
      <w:r>
        <w:rPr>
          <w:rFonts w:hint="eastAsia" w:ascii="宋体" w:hAnsi="宋体" w:eastAsia="宋体" w:cs="宋体"/>
          <w:bCs/>
          <w:sz w:val="24"/>
          <w:szCs w:val="18"/>
          <w:highlight w:val="none"/>
        </w:rPr>
        <w:t>：</w:t>
      </w:r>
    </w:p>
    <w:tbl>
      <w:tblPr>
        <w:tblStyle w:val="26"/>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824"/>
        <w:gridCol w:w="795"/>
        <w:gridCol w:w="962"/>
        <w:gridCol w:w="3737"/>
      </w:tblGrid>
      <w:tr w14:paraId="37025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39" w:type="dxa"/>
            <w:vAlign w:val="center"/>
          </w:tcPr>
          <w:p w14:paraId="2C2B4B6E">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序号</w:t>
            </w:r>
          </w:p>
        </w:tc>
        <w:tc>
          <w:tcPr>
            <w:tcW w:w="2824" w:type="dxa"/>
            <w:vAlign w:val="center"/>
          </w:tcPr>
          <w:p w14:paraId="63E10B3C">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名称</w:t>
            </w:r>
          </w:p>
        </w:tc>
        <w:tc>
          <w:tcPr>
            <w:tcW w:w="795" w:type="dxa"/>
            <w:vAlign w:val="center"/>
          </w:tcPr>
          <w:p w14:paraId="2DC57F02">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数量</w:t>
            </w:r>
          </w:p>
        </w:tc>
        <w:tc>
          <w:tcPr>
            <w:tcW w:w="962" w:type="dxa"/>
            <w:vAlign w:val="center"/>
          </w:tcPr>
          <w:p w14:paraId="40B5CE90">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单位</w:t>
            </w:r>
          </w:p>
        </w:tc>
        <w:tc>
          <w:tcPr>
            <w:tcW w:w="3737" w:type="dxa"/>
            <w:vAlign w:val="center"/>
          </w:tcPr>
          <w:p w14:paraId="7D3EE09E">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规格</w:t>
            </w:r>
          </w:p>
        </w:tc>
      </w:tr>
      <w:tr w14:paraId="4F825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39" w:type="dxa"/>
            <w:vAlign w:val="center"/>
          </w:tcPr>
          <w:p w14:paraId="041091DF">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1</w:t>
            </w:r>
          </w:p>
        </w:tc>
        <w:tc>
          <w:tcPr>
            <w:tcW w:w="2824" w:type="dxa"/>
            <w:vAlign w:val="center"/>
          </w:tcPr>
          <w:p w14:paraId="651960D8">
            <w:pPr>
              <w:pStyle w:val="71"/>
              <w:spacing w:line="360" w:lineRule="auto"/>
              <w:ind w:firstLine="0" w:firstLineChars="0"/>
              <w:jc w:val="center"/>
              <w:rPr>
                <w:rFonts w:ascii="宋体" w:hAnsi="宋体" w:eastAsia="宋体" w:cs="宋体"/>
                <w:bCs/>
                <w:snapToGrid w:val="0"/>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bidi="ar"/>
                <w14:textFill>
                  <w14:solidFill>
                    <w14:schemeClr w14:val="tx1"/>
                  </w14:solidFill>
                </w14:textFill>
              </w:rPr>
              <w:t>（遮光）卷帘</w:t>
            </w:r>
          </w:p>
        </w:tc>
        <w:tc>
          <w:tcPr>
            <w:tcW w:w="795" w:type="dxa"/>
            <w:vAlign w:val="center"/>
          </w:tcPr>
          <w:p w14:paraId="12627BEE">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1</w:t>
            </w:r>
          </w:p>
        </w:tc>
        <w:tc>
          <w:tcPr>
            <w:tcW w:w="962" w:type="dxa"/>
            <w:vAlign w:val="center"/>
          </w:tcPr>
          <w:p w14:paraId="73D97DC0">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套</w:t>
            </w:r>
          </w:p>
        </w:tc>
        <w:tc>
          <w:tcPr>
            <w:tcW w:w="3737" w:type="dxa"/>
            <w:vAlign w:val="center"/>
          </w:tcPr>
          <w:p w14:paraId="3961D0AE">
            <w:pPr>
              <w:pStyle w:val="71"/>
              <w:spacing w:line="360" w:lineRule="auto"/>
              <w:ind w:firstLine="0" w:firstLineChars="0"/>
              <w:jc w:val="left"/>
              <w:rPr>
                <w:rFonts w:ascii="宋体" w:hAnsi="宋体" w:eastAsia="宋体" w:cs="宋体"/>
                <w:bCs/>
                <w:snapToGrid w:val="0"/>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kern w:val="2"/>
                <w:sz w:val="24"/>
                <w:szCs w:val="24"/>
                <w:highlight w:val="none"/>
                <w14:textFill>
                  <w14:solidFill>
                    <w14:schemeClr w14:val="tx1"/>
                  </w14:solidFill>
                </w14:textFill>
              </w:rPr>
              <w:t>尺寸：宽≥50㎝，高</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bCs/>
                <w:color w:val="000000" w:themeColor="text1"/>
                <w:kern w:val="2"/>
                <w:sz w:val="24"/>
                <w:szCs w:val="24"/>
                <w:highlight w:val="none"/>
                <w14:textFill>
                  <w14:solidFill>
                    <w14:schemeClr w14:val="tx1"/>
                  </w14:solidFill>
                </w14:textFill>
              </w:rPr>
              <w:t>120㎝</w:t>
            </w:r>
          </w:p>
        </w:tc>
      </w:tr>
      <w:tr w14:paraId="4C377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39" w:type="dxa"/>
            <w:vAlign w:val="center"/>
          </w:tcPr>
          <w:p w14:paraId="0B55FDC1">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2</w:t>
            </w:r>
          </w:p>
        </w:tc>
        <w:tc>
          <w:tcPr>
            <w:tcW w:w="2824" w:type="dxa"/>
            <w:vAlign w:val="center"/>
          </w:tcPr>
          <w:p w14:paraId="61984F29">
            <w:pPr>
              <w:pStyle w:val="71"/>
              <w:spacing w:line="360" w:lineRule="auto"/>
              <w:ind w:firstLine="0" w:firstLineChars="0"/>
              <w:jc w:val="center"/>
              <w:rPr>
                <w:rFonts w:ascii="宋体" w:hAnsi="宋体" w:eastAsia="宋体" w:cs="宋体"/>
                <w:bCs/>
                <w:snapToGrid w:val="0"/>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遮光布帘（吸音型）</w:t>
            </w:r>
          </w:p>
        </w:tc>
        <w:tc>
          <w:tcPr>
            <w:tcW w:w="795" w:type="dxa"/>
            <w:vAlign w:val="center"/>
          </w:tcPr>
          <w:p w14:paraId="0D21F408">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1</w:t>
            </w:r>
          </w:p>
        </w:tc>
        <w:tc>
          <w:tcPr>
            <w:tcW w:w="962" w:type="dxa"/>
            <w:vAlign w:val="center"/>
          </w:tcPr>
          <w:p w14:paraId="43657C58">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套</w:t>
            </w:r>
          </w:p>
        </w:tc>
        <w:tc>
          <w:tcPr>
            <w:tcW w:w="3737" w:type="dxa"/>
            <w:vAlign w:val="center"/>
          </w:tcPr>
          <w:p w14:paraId="76AB46C4">
            <w:pPr>
              <w:pStyle w:val="71"/>
              <w:spacing w:line="360" w:lineRule="auto"/>
              <w:ind w:firstLine="0" w:firstLineChars="0"/>
              <w:jc w:val="left"/>
              <w:rPr>
                <w:rFonts w:ascii="宋体" w:hAnsi="宋体" w:eastAsia="宋体" w:cs="宋体"/>
                <w:bCs/>
                <w:snapToGrid w:val="0"/>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尺寸：</w:t>
            </w:r>
            <w:r>
              <w:rPr>
                <w:rFonts w:hint="eastAsia" w:ascii="宋体" w:hAnsi="宋体" w:eastAsia="宋体" w:cs="宋体"/>
                <w:bCs/>
                <w:color w:val="000000" w:themeColor="text1"/>
                <w:kern w:val="2"/>
                <w:sz w:val="24"/>
                <w:szCs w:val="24"/>
                <w:highlight w:val="none"/>
                <w14:textFill>
                  <w14:solidFill>
                    <w14:schemeClr w14:val="tx1"/>
                  </w14:solidFill>
                </w14:textFill>
              </w:rPr>
              <w:t>宽</w:t>
            </w:r>
            <w:r>
              <w:rPr>
                <w:rFonts w:hint="eastAsia" w:ascii="宋体" w:hAnsi="宋体" w:eastAsia="宋体" w:cs="宋体"/>
                <w:color w:val="000000" w:themeColor="text1"/>
                <w:sz w:val="24"/>
                <w:szCs w:val="24"/>
                <w:highlight w:val="none"/>
                <w14:textFill>
                  <w14:solidFill>
                    <w14:schemeClr w14:val="tx1"/>
                  </w14:solidFill>
                </w14:textFill>
              </w:rPr>
              <w:t>≥50</w:t>
            </w:r>
            <w:r>
              <w:rPr>
                <w:rFonts w:hint="eastAsia" w:ascii="宋体" w:hAnsi="宋体" w:eastAsia="宋体" w:cs="宋体"/>
                <w:bCs/>
                <w:color w:val="000000" w:themeColor="text1"/>
                <w:kern w:val="2"/>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，高≥120㎝</w:t>
            </w:r>
          </w:p>
        </w:tc>
      </w:tr>
      <w:tr w14:paraId="5BA44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39" w:type="dxa"/>
            <w:vAlign w:val="center"/>
          </w:tcPr>
          <w:p w14:paraId="4F14C795">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3</w:t>
            </w:r>
          </w:p>
        </w:tc>
        <w:tc>
          <w:tcPr>
            <w:tcW w:w="2824" w:type="dxa"/>
            <w:vAlign w:val="center"/>
          </w:tcPr>
          <w:p w14:paraId="49A8C1DB">
            <w:pPr>
              <w:pStyle w:val="71"/>
              <w:spacing w:line="360" w:lineRule="auto"/>
              <w:ind w:firstLine="0" w:firstLineChars="0"/>
              <w:jc w:val="center"/>
              <w:rPr>
                <w:rFonts w:ascii="宋体" w:hAnsi="宋体" w:eastAsia="宋体" w:cs="宋体"/>
                <w:bCs/>
                <w:snapToGrid w:val="0"/>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纱帘</w:t>
            </w:r>
          </w:p>
        </w:tc>
        <w:tc>
          <w:tcPr>
            <w:tcW w:w="795" w:type="dxa"/>
            <w:vAlign w:val="center"/>
          </w:tcPr>
          <w:p w14:paraId="3CC63C38">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1</w:t>
            </w:r>
          </w:p>
        </w:tc>
        <w:tc>
          <w:tcPr>
            <w:tcW w:w="962" w:type="dxa"/>
            <w:vAlign w:val="center"/>
          </w:tcPr>
          <w:p w14:paraId="6947EF79">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套</w:t>
            </w:r>
          </w:p>
        </w:tc>
        <w:tc>
          <w:tcPr>
            <w:tcW w:w="3737" w:type="dxa"/>
            <w:vAlign w:val="center"/>
          </w:tcPr>
          <w:p w14:paraId="3AE8E138">
            <w:pPr>
              <w:pStyle w:val="71"/>
              <w:spacing w:line="360" w:lineRule="auto"/>
              <w:ind w:firstLine="0" w:firstLineChars="0"/>
              <w:jc w:val="left"/>
              <w:rPr>
                <w:rFonts w:ascii="宋体" w:hAnsi="宋体" w:eastAsia="宋体" w:cs="宋体"/>
                <w:bCs/>
                <w:snapToGrid w:val="0"/>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kern w:val="2"/>
                <w:sz w:val="24"/>
                <w:szCs w:val="24"/>
                <w:highlight w:val="none"/>
                <w14:textFill>
                  <w14:solidFill>
                    <w14:schemeClr w14:val="tx1"/>
                  </w14:solidFill>
                </w14:textFill>
              </w:rPr>
              <w:t>尺寸：宽≥50㎝，高</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bCs/>
                <w:color w:val="000000" w:themeColor="text1"/>
                <w:kern w:val="2"/>
                <w:sz w:val="24"/>
                <w:szCs w:val="24"/>
                <w:highlight w:val="none"/>
                <w14:textFill>
                  <w14:solidFill>
                    <w14:schemeClr w14:val="tx1"/>
                  </w14:solidFill>
                </w14:textFill>
              </w:rPr>
              <w:t>120cm</w:t>
            </w:r>
          </w:p>
        </w:tc>
      </w:tr>
      <w:tr w14:paraId="60E47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39" w:type="dxa"/>
            <w:vAlign w:val="center"/>
          </w:tcPr>
          <w:p w14:paraId="7FF4E740">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4</w:t>
            </w:r>
          </w:p>
        </w:tc>
        <w:tc>
          <w:tcPr>
            <w:tcW w:w="2824" w:type="dxa"/>
            <w:vAlign w:val="center"/>
          </w:tcPr>
          <w:p w14:paraId="21A4F2C8">
            <w:pPr>
              <w:pStyle w:val="71"/>
              <w:spacing w:line="360" w:lineRule="auto"/>
              <w:ind w:firstLine="0" w:firstLineChars="0"/>
              <w:jc w:val="center"/>
              <w:rPr>
                <w:rFonts w:ascii="宋体" w:hAnsi="宋体" w:eastAsia="宋体" w:cs="宋体"/>
                <w:bCs/>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窗帘电动轨道</w:t>
            </w:r>
          </w:p>
        </w:tc>
        <w:tc>
          <w:tcPr>
            <w:tcW w:w="795" w:type="dxa"/>
            <w:vAlign w:val="center"/>
          </w:tcPr>
          <w:p w14:paraId="55F716D1">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1</w:t>
            </w:r>
          </w:p>
        </w:tc>
        <w:tc>
          <w:tcPr>
            <w:tcW w:w="962" w:type="dxa"/>
            <w:vAlign w:val="center"/>
          </w:tcPr>
          <w:p w14:paraId="6F311914">
            <w:pPr>
              <w:jc w:val="center"/>
              <w:rPr>
                <w:rFonts w:ascii="宋体" w:hAnsi="宋体" w:eastAsia="宋体" w:cs="宋体"/>
                <w:bCs/>
                <w:snapToGrid w:val="0"/>
                <w:color w:val="000000" w:themeColor="text1"/>
                <w:kern w:val="0"/>
                <w:sz w:val="24"/>
                <w:szCs w:val="24"/>
                <w:highlight w:val="none"/>
                <w14:textFill>
                  <w14:solidFill>
                    <w14:schemeClr w14:val="tx1"/>
                  </w14:solidFill>
                </w14:textFill>
              </w:rPr>
            </w:pPr>
            <w:r>
              <w:rPr>
                <w:rFonts w:hint="eastAsia" w:ascii="宋体" w:hAnsi="宋体" w:eastAsia="宋体" w:cs="宋体"/>
                <w:bCs/>
                <w:snapToGrid w:val="0"/>
                <w:color w:val="000000" w:themeColor="text1"/>
                <w:kern w:val="0"/>
                <w:sz w:val="24"/>
                <w:szCs w:val="24"/>
                <w:highlight w:val="none"/>
                <w14:textFill>
                  <w14:solidFill>
                    <w14:schemeClr w14:val="tx1"/>
                  </w14:solidFill>
                </w14:textFill>
              </w:rPr>
              <w:t>根</w:t>
            </w:r>
          </w:p>
        </w:tc>
        <w:tc>
          <w:tcPr>
            <w:tcW w:w="3737" w:type="dxa"/>
            <w:vAlign w:val="center"/>
          </w:tcPr>
          <w:p w14:paraId="43302B4B">
            <w:pPr>
              <w:pStyle w:val="71"/>
              <w:spacing w:line="360" w:lineRule="auto"/>
              <w:ind w:firstLine="0" w:firstLineChars="0"/>
              <w:jc w:val="left"/>
              <w:rPr>
                <w:rFonts w:ascii="宋体" w:hAnsi="宋体" w:eastAsia="宋体" w:cs="宋体"/>
                <w:bCs/>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尺寸：长度≥50cm</w:t>
            </w:r>
          </w:p>
        </w:tc>
      </w:tr>
    </w:tbl>
    <w:p w14:paraId="0FEF9DC2">
      <w:pPr>
        <w:wordWrap w:val="0"/>
        <w:spacing w:line="440" w:lineRule="exact"/>
        <w:ind w:firstLine="480" w:firstLineChars="200"/>
        <w:rPr>
          <w:rFonts w:ascii="Arial" w:hAnsi="Arial" w:eastAsia="宋体" w:cs="Arial"/>
          <w:sz w:val="24"/>
          <w:highlight w:val="none"/>
        </w:rPr>
      </w:pPr>
      <w:r>
        <w:rPr>
          <w:rFonts w:hint="eastAsia" w:ascii="宋体" w:hAnsi="宋体" w:eastAsia="宋体" w:cs="宋体"/>
          <w:bCs/>
          <w:sz w:val="24"/>
          <w:szCs w:val="18"/>
          <w:highlight w:val="none"/>
        </w:rPr>
        <w:t>7、</w:t>
      </w:r>
      <w:r>
        <w:rPr>
          <w:rFonts w:hint="eastAsia" w:ascii="宋体" w:hAnsi="宋体" w:eastAsia="宋体" w:cs="宋体"/>
          <w:bCs/>
          <w:sz w:val="24"/>
          <w:szCs w:val="18"/>
          <w:highlight w:val="none"/>
          <w:lang w:eastAsia="zh-CN"/>
        </w:rPr>
        <w:t>第一中标候选人</w:t>
      </w:r>
      <w:r>
        <w:rPr>
          <w:rFonts w:hint="eastAsia" w:ascii="宋体" w:hAnsi="宋体" w:eastAsia="宋体" w:cs="宋体"/>
          <w:bCs/>
          <w:sz w:val="24"/>
          <w:szCs w:val="18"/>
          <w:highlight w:val="none"/>
        </w:rPr>
        <w:t>的样品将在评审结束后移交给采购人，由采购人封存作为后期供货的主要参考标准之</w:t>
      </w:r>
      <w:r>
        <w:rPr>
          <w:rFonts w:hint="eastAsia" w:ascii="宋体" w:hAnsi="宋体" w:eastAsia="宋体" w:cs="宋体"/>
          <w:bCs/>
          <w:sz w:val="24"/>
          <w:szCs w:val="18"/>
          <w:highlight w:val="none"/>
          <w:lang w:val="en-US" w:eastAsia="zh-CN"/>
        </w:rPr>
        <w:t>一，实际供货质量不得低于样品质量标准</w:t>
      </w:r>
      <w:r>
        <w:rPr>
          <w:rFonts w:hint="eastAsia" w:ascii="宋体" w:hAnsi="宋体" w:eastAsia="宋体" w:cs="宋体"/>
          <w:bCs/>
          <w:sz w:val="24"/>
          <w:szCs w:val="18"/>
          <w:highlight w:val="none"/>
        </w:rPr>
        <w:t>；其余投标人的样品，将在评审结束后现场退还。合同签订后，相关产品的材质、尺寸、样式及工艺图须经采购人确认后方可批量生产、供货。如供货产品不符合投标时承诺达到的技术指标及要求，中标人需重新制作样品直至合格为止（样品费用由中标人自行承担），否则采购人有权单方面解除合同。</w:t>
      </w:r>
    </w:p>
    <w:p w14:paraId="1C79892D">
      <w:pPr>
        <w:pStyle w:val="8"/>
        <w:rPr>
          <w:highlight w:val="none"/>
        </w:rPr>
      </w:pPr>
    </w:p>
    <w:p w14:paraId="1C8EBC0B">
      <w:pPr>
        <w:rPr>
          <w:highlight w:val="none"/>
        </w:rPr>
        <w:sectPr>
          <w:pgSz w:w="11906" w:h="16838"/>
          <w:pgMar w:top="1440" w:right="1800" w:bottom="1440" w:left="1800" w:header="851" w:footer="992" w:gutter="0"/>
          <w:cols w:space="425" w:num="1"/>
          <w:docGrid w:type="lines" w:linePitch="312" w:charSpace="0"/>
        </w:sectPr>
      </w:pPr>
    </w:p>
    <w:p w14:paraId="5F7804E4">
      <w:pPr>
        <w:wordWrap w:val="0"/>
        <w:spacing w:line="360" w:lineRule="auto"/>
        <w:jc w:val="center"/>
        <w:outlineLvl w:val="1"/>
        <w:rPr>
          <w:rFonts w:ascii="华文中宋" w:hAnsi="华文中宋" w:eastAsia="华文中宋" w:cs="Times New Roman"/>
          <w:b/>
          <w:bCs/>
          <w:kern w:val="44"/>
          <w:sz w:val="44"/>
          <w:szCs w:val="44"/>
          <w:highlight w:val="none"/>
        </w:rPr>
      </w:pPr>
      <w:bookmarkStart w:id="1" w:name="_Toc24027"/>
      <w:bookmarkStart w:id="2" w:name="_Toc3581"/>
      <w:r>
        <w:rPr>
          <w:rFonts w:hint="eastAsia" w:ascii="华文中宋" w:hAnsi="华文中宋" w:eastAsia="华文中宋" w:cs="Times New Roman"/>
          <w:b/>
          <w:bCs/>
          <w:kern w:val="44"/>
          <w:sz w:val="44"/>
          <w:szCs w:val="44"/>
          <w:highlight w:val="none"/>
        </w:rPr>
        <w:t>第四章  评标方法和标准</w:t>
      </w:r>
      <w:bookmarkEnd w:id="1"/>
    </w:p>
    <w:p w14:paraId="279DF62C">
      <w:pPr>
        <w:pStyle w:val="8"/>
        <w:wordWrap w:val="0"/>
        <w:jc w:val="center"/>
        <w:rPr>
          <w:rFonts w:ascii="华文中宋" w:hAnsi="华文中宋" w:eastAsia="华文中宋" w:cs="华文中宋"/>
          <w:sz w:val="44"/>
          <w:szCs w:val="44"/>
          <w:highlight w:val="none"/>
          <w:lang w:val="en-US"/>
        </w:rPr>
      </w:pPr>
      <w:r>
        <w:rPr>
          <w:rFonts w:hint="eastAsia" w:ascii="宋体" w:hAnsi="宋体" w:eastAsia="宋体" w:cs="宋体"/>
          <w:sz w:val="28"/>
          <w:szCs w:val="28"/>
          <w:highlight w:val="none"/>
          <w:lang w:val="en-US"/>
        </w:rPr>
        <w:t>（综合评分法）</w:t>
      </w:r>
      <w:bookmarkEnd w:id="2"/>
    </w:p>
    <w:tbl>
      <w:tblPr>
        <w:tblStyle w:val="26"/>
        <w:tblW w:w="9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1068"/>
        <w:gridCol w:w="5945"/>
        <w:gridCol w:w="1093"/>
      </w:tblGrid>
      <w:tr w14:paraId="4A3C4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9410" w:type="dxa"/>
            <w:gridSpan w:val="4"/>
            <w:tcBorders>
              <w:top w:val="single" w:color="auto" w:sz="4" w:space="0"/>
              <w:left w:val="single" w:color="auto" w:sz="4" w:space="0"/>
              <w:bottom w:val="single" w:color="auto" w:sz="4" w:space="0"/>
              <w:right w:val="single" w:color="auto" w:sz="4" w:space="0"/>
            </w:tcBorders>
            <w:vAlign w:val="center"/>
          </w:tcPr>
          <w:p w14:paraId="1F17AC40">
            <w:pPr>
              <w:jc w:val="center"/>
              <w:outlineLvl w:val="2"/>
              <w:rPr>
                <w:rFonts w:ascii="宋体" w:hAnsi="宋体" w:eastAsia="宋体" w:cs="宋体"/>
                <w:b/>
                <w:bCs/>
                <w:szCs w:val="21"/>
                <w:highlight w:val="none"/>
              </w:rPr>
            </w:pPr>
            <w:r>
              <w:rPr>
                <w:rFonts w:hint="eastAsia" w:ascii="宋体" w:hAnsi="宋体" w:eastAsia="宋体" w:cs="宋体"/>
                <w:b/>
                <w:bCs/>
                <w:szCs w:val="21"/>
                <w:highlight w:val="none"/>
              </w:rPr>
              <w:t>评标办法</w:t>
            </w:r>
          </w:p>
        </w:tc>
      </w:tr>
      <w:tr w14:paraId="678F3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304" w:type="dxa"/>
            <w:tcBorders>
              <w:top w:val="single" w:color="auto" w:sz="4" w:space="0"/>
              <w:left w:val="single" w:color="auto" w:sz="4" w:space="0"/>
              <w:bottom w:val="single" w:color="auto" w:sz="4" w:space="0"/>
              <w:right w:val="single" w:color="auto" w:sz="4" w:space="0"/>
            </w:tcBorders>
            <w:vAlign w:val="center"/>
          </w:tcPr>
          <w:p w14:paraId="15CF10B1">
            <w:pPr>
              <w:jc w:val="center"/>
              <w:rPr>
                <w:rFonts w:ascii="宋体" w:hAnsi="宋体" w:eastAsia="宋体" w:cs="宋体"/>
                <w:b/>
                <w:bCs/>
                <w:szCs w:val="21"/>
                <w:highlight w:val="none"/>
              </w:rPr>
            </w:pPr>
            <w:r>
              <w:rPr>
                <w:rFonts w:hint="eastAsia" w:ascii="宋体" w:hAnsi="宋体" w:eastAsia="宋体" w:cs="宋体"/>
                <w:b/>
                <w:bCs/>
                <w:szCs w:val="21"/>
                <w:highlight w:val="none"/>
              </w:rPr>
              <w:t>类别</w:t>
            </w:r>
          </w:p>
        </w:tc>
        <w:tc>
          <w:tcPr>
            <w:tcW w:w="1068" w:type="dxa"/>
            <w:tcBorders>
              <w:top w:val="single" w:color="auto" w:sz="4" w:space="0"/>
              <w:left w:val="single" w:color="auto" w:sz="4" w:space="0"/>
              <w:bottom w:val="single" w:color="auto" w:sz="4" w:space="0"/>
              <w:right w:val="single" w:color="auto" w:sz="4" w:space="0"/>
            </w:tcBorders>
            <w:vAlign w:val="center"/>
          </w:tcPr>
          <w:p w14:paraId="33D4C274">
            <w:pPr>
              <w:jc w:val="center"/>
              <w:rPr>
                <w:rFonts w:ascii="宋体" w:hAnsi="宋体" w:eastAsia="宋体" w:cs="宋体"/>
                <w:b/>
                <w:bCs/>
                <w:szCs w:val="21"/>
                <w:highlight w:val="none"/>
              </w:rPr>
            </w:pPr>
            <w:r>
              <w:rPr>
                <w:rFonts w:hint="eastAsia" w:ascii="宋体" w:hAnsi="宋体" w:eastAsia="宋体" w:cs="宋体"/>
                <w:b/>
                <w:bCs/>
                <w:szCs w:val="21"/>
                <w:highlight w:val="none"/>
              </w:rPr>
              <w:t>评分</w:t>
            </w:r>
          </w:p>
          <w:p w14:paraId="06682B88">
            <w:pPr>
              <w:jc w:val="center"/>
              <w:rPr>
                <w:rFonts w:ascii="宋体" w:hAnsi="宋体" w:eastAsia="宋体" w:cs="宋体"/>
                <w:b/>
                <w:bCs/>
                <w:szCs w:val="21"/>
                <w:highlight w:val="none"/>
              </w:rPr>
            </w:pPr>
            <w:r>
              <w:rPr>
                <w:rFonts w:hint="eastAsia" w:ascii="宋体" w:hAnsi="宋体" w:eastAsia="宋体" w:cs="宋体"/>
                <w:b/>
                <w:bCs/>
                <w:szCs w:val="21"/>
                <w:highlight w:val="none"/>
              </w:rPr>
              <w:t>内容</w:t>
            </w:r>
          </w:p>
        </w:tc>
        <w:tc>
          <w:tcPr>
            <w:tcW w:w="5945" w:type="dxa"/>
            <w:tcBorders>
              <w:top w:val="single" w:color="auto" w:sz="4" w:space="0"/>
              <w:left w:val="single" w:color="auto" w:sz="4" w:space="0"/>
              <w:bottom w:val="single" w:color="auto" w:sz="4" w:space="0"/>
              <w:right w:val="single" w:color="auto" w:sz="4" w:space="0"/>
            </w:tcBorders>
            <w:vAlign w:val="center"/>
          </w:tcPr>
          <w:p w14:paraId="3DA97F19">
            <w:pPr>
              <w:jc w:val="center"/>
              <w:rPr>
                <w:rFonts w:ascii="宋体" w:hAnsi="宋体" w:eastAsia="宋体" w:cs="宋体"/>
                <w:b/>
                <w:bCs/>
                <w:szCs w:val="21"/>
                <w:highlight w:val="none"/>
              </w:rPr>
            </w:pPr>
            <w:r>
              <w:rPr>
                <w:rFonts w:hint="eastAsia" w:ascii="宋体" w:hAnsi="宋体" w:eastAsia="宋体" w:cs="宋体"/>
                <w:b/>
                <w:bCs/>
                <w:szCs w:val="21"/>
                <w:highlight w:val="none"/>
              </w:rPr>
              <w:t>评分标准</w:t>
            </w:r>
          </w:p>
        </w:tc>
        <w:tc>
          <w:tcPr>
            <w:tcW w:w="1093" w:type="dxa"/>
            <w:tcBorders>
              <w:top w:val="single" w:color="auto" w:sz="4" w:space="0"/>
              <w:left w:val="single" w:color="auto" w:sz="4" w:space="0"/>
              <w:bottom w:val="single" w:color="auto" w:sz="4" w:space="0"/>
              <w:right w:val="single" w:color="auto" w:sz="4" w:space="0"/>
            </w:tcBorders>
            <w:vAlign w:val="center"/>
          </w:tcPr>
          <w:p w14:paraId="13C21DFA">
            <w:pPr>
              <w:jc w:val="center"/>
              <w:rPr>
                <w:rFonts w:ascii="宋体" w:hAnsi="宋体" w:eastAsia="宋体" w:cs="宋体"/>
                <w:b/>
                <w:bCs/>
                <w:szCs w:val="21"/>
                <w:highlight w:val="none"/>
              </w:rPr>
            </w:pPr>
            <w:r>
              <w:rPr>
                <w:rFonts w:hint="eastAsia" w:ascii="宋体" w:hAnsi="宋体" w:eastAsia="宋体" w:cs="宋体"/>
                <w:b/>
                <w:bCs/>
                <w:szCs w:val="21"/>
                <w:highlight w:val="none"/>
              </w:rPr>
              <w:t>分值</w:t>
            </w:r>
          </w:p>
          <w:p w14:paraId="688A70E0">
            <w:pPr>
              <w:jc w:val="center"/>
              <w:rPr>
                <w:rFonts w:ascii="宋体" w:hAnsi="宋体" w:eastAsia="宋体" w:cs="宋体"/>
                <w:b/>
                <w:bCs/>
                <w:szCs w:val="21"/>
                <w:highlight w:val="none"/>
              </w:rPr>
            </w:pPr>
            <w:r>
              <w:rPr>
                <w:rFonts w:hint="eastAsia" w:ascii="宋体" w:hAnsi="宋体" w:eastAsia="宋体" w:cs="宋体"/>
                <w:b/>
                <w:bCs/>
                <w:szCs w:val="21"/>
                <w:highlight w:val="none"/>
              </w:rPr>
              <w:t>范围</w:t>
            </w:r>
          </w:p>
        </w:tc>
      </w:tr>
      <w:tr w14:paraId="247D8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1" w:hRule="atLeast"/>
          <w:jc w:val="center"/>
        </w:trPr>
        <w:tc>
          <w:tcPr>
            <w:tcW w:w="1304" w:type="dxa"/>
            <w:vMerge w:val="restart"/>
            <w:tcBorders>
              <w:top w:val="single" w:color="auto" w:sz="4" w:space="0"/>
              <w:left w:val="single" w:color="auto" w:sz="4" w:space="0"/>
              <w:right w:val="single" w:color="auto" w:sz="4" w:space="0"/>
            </w:tcBorders>
            <w:vAlign w:val="center"/>
          </w:tcPr>
          <w:p w14:paraId="3AE4E48E">
            <w:pPr>
              <w:jc w:val="center"/>
              <w:rPr>
                <w:rFonts w:ascii="宋体" w:hAnsi="宋体" w:eastAsia="宋体" w:cs="宋体"/>
                <w:szCs w:val="21"/>
                <w:highlight w:val="none"/>
              </w:rPr>
            </w:pPr>
            <w:r>
              <w:rPr>
                <w:rFonts w:hint="eastAsia" w:ascii="宋体" w:hAnsi="宋体" w:eastAsia="宋体" w:cs="宋体"/>
                <w:szCs w:val="21"/>
                <w:highlight w:val="none"/>
              </w:rPr>
              <w:t>技术资信分</w:t>
            </w:r>
          </w:p>
          <w:p w14:paraId="469BB92A">
            <w:pPr>
              <w:jc w:val="center"/>
              <w:rPr>
                <w:rFonts w:ascii="宋体" w:hAnsi="宋体" w:eastAsia="宋体" w:cs="宋体"/>
                <w:szCs w:val="21"/>
                <w:highlight w:val="none"/>
              </w:rPr>
            </w:pPr>
            <w:r>
              <w:rPr>
                <w:rFonts w:hint="eastAsia" w:ascii="宋体" w:hAnsi="宋体" w:eastAsia="宋体" w:cs="宋体"/>
                <w:szCs w:val="21"/>
                <w:highlight w:val="none"/>
              </w:rPr>
              <w:t>（70分）</w:t>
            </w:r>
          </w:p>
        </w:tc>
        <w:tc>
          <w:tcPr>
            <w:tcW w:w="1068" w:type="dxa"/>
            <w:tcBorders>
              <w:top w:val="single" w:color="auto" w:sz="4" w:space="0"/>
              <w:left w:val="single" w:color="auto" w:sz="4" w:space="0"/>
              <w:right w:val="single" w:color="auto" w:sz="4" w:space="0"/>
            </w:tcBorders>
            <w:vAlign w:val="center"/>
          </w:tcPr>
          <w:p w14:paraId="29994C9F">
            <w:pPr>
              <w:jc w:val="center"/>
              <w:rPr>
                <w:rFonts w:ascii="宋体" w:hAnsi="宋体" w:eastAsia="宋体" w:cs="宋体"/>
                <w:szCs w:val="21"/>
                <w:highlight w:val="none"/>
              </w:rPr>
            </w:pPr>
            <w:r>
              <w:rPr>
                <w:rFonts w:hint="eastAsia" w:ascii="宋体" w:hAnsi="宋体" w:eastAsia="宋体" w:cs="宋体"/>
                <w:szCs w:val="21"/>
                <w:highlight w:val="none"/>
              </w:rPr>
              <w:t>技术参数响应</w:t>
            </w:r>
          </w:p>
        </w:tc>
        <w:tc>
          <w:tcPr>
            <w:tcW w:w="5945" w:type="dxa"/>
            <w:tcBorders>
              <w:top w:val="single" w:color="auto" w:sz="4" w:space="0"/>
              <w:left w:val="single" w:color="auto" w:sz="4" w:space="0"/>
              <w:right w:val="single" w:color="auto" w:sz="4" w:space="0"/>
            </w:tcBorders>
            <w:vAlign w:val="center"/>
          </w:tcPr>
          <w:p w14:paraId="3C3E515C">
            <w:pPr>
              <w:rPr>
                <w:rFonts w:ascii="宋体" w:hAnsi="宋体" w:eastAsia="宋体" w:cs="宋体"/>
                <w:szCs w:val="21"/>
                <w:highlight w:val="none"/>
              </w:rPr>
            </w:pPr>
            <w:r>
              <w:rPr>
                <w:rFonts w:hint="eastAsia" w:ascii="宋体" w:hAnsi="宋体" w:eastAsia="宋体" w:cs="宋体"/>
                <w:szCs w:val="21"/>
                <w:highlight w:val="none"/>
              </w:rPr>
              <w:t>评标委员会根据</w:t>
            </w:r>
            <w:r>
              <w:rPr>
                <w:rFonts w:hint="eastAsia" w:ascii="宋体" w:hAnsi="宋体" w:eastAsia="宋体" w:cs="宋体"/>
                <w:b/>
                <w:bCs/>
                <w:szCs w:val="21"/>
                <w:highlight w:val="none"/>
              </w:rPr>
              <w:t>招标文件要求第三章第二部分“货物需求一览表”中</w:t>
            </w:r>
            <w:r>
              <w:rPr>
                <w:rFonts w:hint="eastAsia" w:ascii="宋体" w:hAnsi="宋体" w:eastAsia="宋体" w:cs="宋体"/>
                <w:szCs w:val="21"/>
                <w:highlight w:val="none"/>
              </w:rPr>
              <w:t>技术指标的偏离情况进行评分：各项指标全部满足得2</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分；标注★的条款，每负偏离一项扣</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分；未标注★的条款，每负偏离一项扣</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分；直至本项扣至0分为止。</w:t>
            </w:r>
          </w:p>
          <w:p w14:paraId="2910B4D1">
            <w:pPr>
              <w:rPr>
                <w:rFonts w:ascii="宋体" w:hAnsi="宋体" w:eastAsia="宋体" w:cs="宋体"/>
                <w:szCs w:val="21"/>
                <w:highlight w:val="none"/>
              </w:rPr>
            </w:pPr>
            <w:r>
              <w:rPr>
                <w:rFonts w:hint="eastAsia" w:ascii="宋体" w:hAnsi="宋体" w:eastAsia="宋体" w:cs="宋体"/>
                <w:szCs w:val="21"/>
                <w:highlight w:val="none"/>
              </w:rPr>
              <w:t>备注：</w:t>
            </w:r>
          </w:p>
          <w:p w14:paraId="2DB38D52">
            <w:pPr>
              <w:rPr>
                <w:rFonts w:ascii="宋体" w:hAnsi="宋体" w:eastAsia="宋体" w:cs="宋体"/>
                <w:szCs w:val="21"/>
                <w:highlight w:val="none"/>
              </w:rPr>
            </w:pPr>
            <w:r>
              <w:rPr>
                <w:rFonts w:hint="eastAsia" w:ascii="宋体" w:hAnsi="宋体" w:eastAsia="宋体" w:cs="宋体"/>
                <w:szCs w:val="21"/>
                <w:highlight w:val="none"/>
              </w:rPr>
              <w:t>（1）评标时，认定技术指标是否符合采购需求，将根据</w:t>
            </w:r>
            <w:r>
              <w:rPr>
                <w:rFonts w:hint="eastAsia" w:ascii="宋体" w:hAnsi="宋体" w:eastAsia="宋体" w:cs="宋体"/>
                <w:b/>
                <w:bCs/>
                <w:szCs w:val="21"/>
                <w:highlight w:val="none"/>
              </w:rPr>
              <w:t>第六章投标文件格式六（6.2技术响应表）</w:t>
            </w:r>
            <w:r>
              <w:rPr>
                <w:rFonts w:hint="eastAsia" w:ascii="宋体" w:hAnsi="宋体" w:eastAsia="宋体" w:cs="宋体"/>
                <w:szCs w:val="21"/>
                <w:highlight w:val="none"/>
              </w:rPr>
              <w:t>判定。采购需求中要求提供证明材料的，须同时提供证明材料，否则不予认可。</w:t>
            </w:r>
          </w:p>
          <w:p w14:paraId="275FEF18">
            <w:pPr>
              <w:rPr>
                <w:rFonts w:ascii="宋体" w:hAnsi="宋体" w:eastAsia="宋体" w:cs="宋体"/>
                <w:szCs w:val="21"/>
                <w:highlight w:val="none"/>
              </w:rPr>
            </w:pPr>
            <w:r>
              <w:rPr>
                <w:rFonts w:hint="eastAsia" w:ascii="宋体" w:hAnsi="宋体" w:eastAsia="宋体" w:cs="宋体"/>
                <w:szCs w:val="21"/>
                <w:highlight w:val="none"/>
              </w:rPr>
              <w:t>（2）评标时，如对某一大项技术要求下属的各小项内容出现负偏离，则视为本大项整体负偏离，在评分时作一项负偏离扣分。例如：当第1项“基本要求”下属的第1.1项和第1.2项均出现负偏离，则按第1项★参数整体负偏离进行计分，一次性扣</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分。当第2项“安全指标要求”下属的第2.1项和第2.2项均出现负偏离，则按第2项整体负偏离进行计分，一次性扣</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分。</w:t>
            </w:r>
          </w:p>
        </w:tc>
        <w:tc>
          <w:tcPr>
            <w:tcW w:w="1093" w:type="dxa"/>
            <w:tcBorders>
              <w:top w:val="single" w:color="auto" w:sz="4" w:space="0"/>
              <w:left w:val="single" w:color="auto" w:sz="4" w:space="0"/>
              <w:bottom w:val="single" w:color="auto" w:sz="4" w:space="0"/>
              <w:right w:val="single" w:color="auto" w:sz="4" w:space="0"/>
            </w:tcBorders>
            <w:vAlign w:val="center"/>
          </w:tcPr>
          <w:p w14:paraId="59A2E4F0">
            <w:pPr>
              <w:jc w:val="center"/>
              <w:rPr>
                <w:rFonts w:ascii="宋体" w:hAnsi="宋体" w:eastAsia="宋体" w:cs="宋体"/>
                <w:szCs w:val="21"/>
                <w:highlight w:val="none"/>
              </w:rPr>
            </w:pPr>
            <w:r>
              <w:rPr>
                <w:rFonts w:hint="eastAsia" w:ascii="宋体" w:hAnsi="宋体" w:eastAsia="宋体" w:cs="宋体"/>
                <w:szCs w:val="21"/>
                <w:highlight w:val="none"/>
              </w:rPr>
              <w:t>0-2</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分</w:t>
            </w:r>
          </w:p>
        </w:tc>
      </w:tr>
      <w:tr w14:paraId="7C9B1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1" w:hRule="atLeast"/>
          <w:jc w:val="center"/>
        </w:trPr>
        <w:tc>
          <w:tcPr>
            <w:tcW w:w="1304" w:type="dxa"/>
            <w:vMerge w:val="continue"/>
            <w:tcBorders>
              <w:left w:val="single" w:color="auto" w:sz="4" w:space="0"/>
              <w:right w:val="single" w:color="auto" w:sz="4" w:space="0"/>
            </w:tcBorders>
            <w:vAlign w:val="center"/>
          </w:tcPr>
          <w:p w14:paraId="51C45D85">
            <w:pPr>
              <w:jc w:val="center"/>
              <w:rPr>
                <w:rFonts w:ascii="宋体" w:hAnsi="宋体" w:eastAsia="宋体" w:cs="宋体"/>
                <w:szCs w:val="21"/>
                <w:highlight w:val="none"/>
              </w:rPr>
            </w:pPr>
          </w:p>
        </w:tc>
        <w:tc>
          <w:tcPr>
            <w:tcW w:w="1068" w:type="dxa"/>
            <w:tcBorders>
              <w:top w:val="single" w:color="auto" w:sz="4" w:space="0"/>
              <w:left w:val="single" w:color="auto" w:sz="4" w:space="0"/>
              <w:right w:val="single" w:color="auto" w:sz="4" w:space="0"/>
            </w:tcBorders>
            <w:vAlign w:val="center"/>
          </w:tcPr>
          <w:p w14:paraId="5D468C80">
            <w:pPr>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所投产品</w:t>
            </w:r>
          </w:p>
          <w:p w14:paraId="417AF76F">
            <w:pPr>
              <w:jc w:val="center"/>
              <w:rPr>
                <w:rFonts w:ascii="宋体" w:hAnsi="宋体" w:eastAsia="宋体" w:cs="宋体"/>
                <w:szCs w:val="21"/>
                <w:highlight w:val="none"/>
              </w:rPr>
            </w:pPr>
            <w:r>
              <w:rPr>
                <w:rFonts w:hint="eastAsia" w:ascii="宋体" w:hAnsi="宋体" w:eastAsia="宋体" w:cs="宋体"/>
                <w:color w:val="000000" w:themeColor="text1"/>
                <w:kern w:val="0"/>
                <w:szCs w:val="21"/>
                <w:highlight w:val="none"/>
                <w14:textFill>
                  <w14:solidFill>
                    <w14:schemeClr w14:val="tx1"/>
                  </w14:solidFill>
                </w14:textFill>
              </w:rPr>
              <w:t>环保性能</w:t>
            </w:r>
          </w:p>
        </w:tc>
        <w:tc>
          <w:tcPr>
            <w:tcW w:w="5945" w:type="dxa"/>
            <w:tcBorders>
              <w:top w:val="single" w:color="auto" w:sz="4" w:space="0"/>
              <w:left w:val="single" w:color="auto" w:sz="4" w:space="0"/>
              <w:right w:val="single" w:color="auto" w:sz="4" w:space="0"/>
            </w:tcBorders>
            <w:vAlign w:val="center"/>
          </w:tcPr>
          <w:p w14:paraId="33EC0463">
            <w:pPr>
              <w:pStyle w:val="74"/>
              <w:wordWrap w:val="0"/>
              <w:topLinePunct/>
              <w:rPr>
                <w:rFonts w:hint="eastAsia" w:eastAsia="宋体"/>
                <w:b/>
                <w:bCs/>
                <w:color w:val="000000" w:themeColor="text1"/>
                <w:kern w:val="0"/>
                <w:highlight w:val="none"/>
                <w:lang w:eastAsia="zh-CN"/>
                <w14:textFill>
                  <w14:solidFill>
                    <w14:schemeClr w14:val="tx1"/>
                  </w14:solidFill>
                </w14:textFill>
              </w:rPr>
            </w:pPr>
            <w:r>
              <w:rPr>
                <w:rFonts w:hint="eastAsia" w:eastAsia="宋体"/>
                <w:b/>
                <w:bCs/>
                <w:color w:val="000000" w:themeColor="text1"/>
                <w:kern w:val="0"/>
                <w:highlight w:val="none"/>
                <w:lang w:eastAsia="zh-CN"/>
                <w14:textFill>
                  <w14:solidFill>
                    <w14:schemeClr w14:val="tx1"/>
                  </w14:solidFill>
                </w14:textFill>
              </w:rPr>
              <w:t>“所投窗帘产品制造商获得《中国环境标志产品认证证书》且认证范围包含窗帘、卷帘、窗纱、布带”或“所投窗帘面料制造商获得《中国环境标志产品认证证书》且认证范围包含窗帘面料、卷帘面料、窗纱面料、布带面料”。认证范围每涵盖1项内容得1分，本项满分4分。</w:t>
            </w:r>
          </w:p>
          <w:p w14:paraId="793647FA">
            <w:pPr>
              <w:pStyle w:val="74"/>
              <w:rPr>
                <w:rFonts w:eastAsia="宋体"/>
                <w:bCs/>
                <w:color w:val="000000" w:themeColor="text1"/>
                <w:kern w:val="0"/>
                <w:highlight w:val="none"/>
                <w:lang w:eastAsia="zh-CN"/>
                <w14:textFill>
                  <w14:solidFill>
                    <w14:schemeClr w14:val="tx1"/>
                  </w14:solidFill>
                </w14:textFill>
              </w:rPr>
            </w:pPr>
            <w:r>
              <w:rPr>
                <w:rFonts w:hint="eastAsia" w:eastAsia="宋体"/>
                <w:bCs/>
                <w:color w:val="000000" w:themeColor="text1"/>
                <w:kern w:val="0"/>
                <w:highlight w:val="none"/>
                <w:lang w:eastAsia="zh-CN"/>
                <w14:textFill>
                  <w14:solidFill>
                    <w14:schemeClr w14:val="tx1"/>
                  </w14:solidFill>
                </w14:textFill>
              </w:rPr>
              <w:t>备注：</w:t>
            </w:r>
          </w:p>
          <w:p w14:paraId="5797CFFA">
            <w:pPr>
              <w:pStyle w:val="74"/>
              <w:wordWrap w:val="0"/>
              <w:topLinePunct/>
              <w:rPr>
                <w:rFonts w:eastAsia="宋体"/>
                <w:color w:val="000000" w:themeColor="text1"/>
                <w:kern w:val="0"/>
                <w:highlight w:val="none"/>
                <w:lang w:eastAsia="zh-CN"/>
                <w14:textFill>
                  <w14:solidFill>
                    <w14:schemeClr w14:val="tx1"/>
                  </w14:solidFill>
                </w14:textFill>
              </w:rPr>
            </w:pPr>
            <w:r>
              <w:rPr>
                <w:rFonts w:hint="eastAsia" w:eastAsia="宋体"/>
                <w:bCs/>
                <w:color w:val="000000" w:themeColor="text1"/>
                <w:kern w:val="0"/>
                <w:highlight w:val="none"/>
                <w:lang w:eastAsia="zh-CN"/>
                <w14:textFill>
                  <w14:solidFill>
                    <w14:schemeClr w14:val="tx1"/>
                  </w14:solidFill>
                </w14:textFill>
              </w:rPr>
              <w:t>（1）投标文件中须提</w:t>
            </w:r>
            <w:r>
              <w:rPr>
                <w:rFonts w:hint="eastAsia" w:eastAsia="宋体"/>
                <w:color w:val="000000" w:themeColor="text1"/>
                <w:kern w:val="0"/>
                <w:highlight w:val="none"/>
                <w:lang w:eastAsia="zh-CN"/>
                <w14:textFill>
                  <w14:solidFill>
                    <w14:schemeClr w14:val="tx1"/>
                  </w14:solidFill>
                </w14:textFill>
              </w:rPr>
              <w:t>供有效的认证证书扫描件以及在国家市场监督管理总局“全国认证认可信息公共服务平台”的查询截图（截图需显示证书状态为有效）。</w:t>
            </w:r>
          </w:p>
          <w:p w14:paraId="084CFA05">
            <w:pPr>
              <w:pStyle w:val="74"/>
              <w:wordWrap w:val="0"/>
              <w:topLinePunct/>
              <w:rPr>
                <w:rFonts w:hint="eastAsia" w:eastAsia="宋体"/>
                <w:color w:val="000000" w:themeColor="text1"/>
                <w:kern w:val="0"/>
                <w:highlight w:val="none"/>
                <w:lang w:eastAsia="zh-CN"/>
                <w14:textFill>
                  <w14:solidFill>
                    <w14:schemeClr w14:val="tx1"/>
                  </w14:solidFill>
                </w14:textFill>
              </w:rPr>
            </w:pPr>
            <w:r>
              <w:rPr>
                <w:rFonts w:hint="eastAsia" w:eastAsia="宋体"/>
                <w:color w:val="000000" w:themeColor="text1"/>
                <w:kern w:val="0"/>
                <w:highlight w:val="none"/>
                <w:lang w:eastAsia="zh-CN"/>
                <w14:textFill>
                  <w14:solidFill>
                    <w14:schemeClr w14:val="tx1"/>
                  </w14:solidFill>
                </w14:textFill>
              </w:rPr>
              <w:t>（2）投标人须在投标文件中同时注明本次所投窗帘、卷帘、窗纱、布带分别对应所提供的《中国环境标志产品认证证书》中的序号，否则评审时不予认可，对应项不得分。如中标，后期供货必须投标承诺的产品材质执行。</w:t>
            </w:r>
          </w:p>
          <w:p w14:paraId="4E76FA34">
            <w:pPr>
              <w:pStyle w:val="74"/>
              <w:wordWrap w:val="0"/>
              <w:topLinePunct/>
              <w:rPr>
                <w:rFonts w:eastAsia="宋体"/>
                <w:highlight w:val="none"/>
                <w:lang w:eastAsia="zh-CN"/>
              </w:rPr>
            </w:pPr>
            <w:r>
              <w:rPr>
                <w:rFonts w:hint="eastAsia" w:eastAsia="宋体"/>
                <w:color w:val="000000" w:themeColor="text1"/>
                <w:kern w:val="0"/>
                <w:highlight w:val="none"/>
                <w:lang w:eastAsia="zh-CN"/>
                <w14:textFill>
                  <w14:solidFill>
                    <w14:schemeClr w14:val="tx1"/>
                  </w14:solidFill>
                </w14:textFill>
              </w:rPr>
              <w:t>（3）如未按要求提供证明材料，或所提供的证明材料未能体现上述评分内容的，或提供的证明材料不清晰导致评委无法</w:t>
            </w:r>
            <w:r>
              <w:rPr>
                <w:rFonts w:hint="eastAsia" w:eastAsia="宋体"/>
                <w:color w:val="000000" w:themeColor="text1"/>
                <w:highlight w:val="none"/>
                <w:lang w:eastAsia="zh-CN"/>
                <w14:textFill>
                  <w14:solidFill>
                    <w14:schemeClr w14:val="tx1"/>
                  </w14:solidFill>
                </w14:textFill>
              </w:rPr>
              <w:t>辨认</w:t>
            </w:r>
            <w:r>
              <w:rPr>
                <w:rFonts w:hint="eastAsia" w:eastAsia="宋体"/>
                <w:color w:val="000000" w:themeColor="text1"/>
                <w:kern w:val="0"/>
                <w:highlight w:val="none"/>
                <w:lang w:eastAsia="zh-CN"/>
                <w14:textFill>
                  <w14:solidFill>
                    <w14:schemeClr w14:val="tx1"/>
                  </w14:solidFill>
                </w14:textFill>
              </w:rPr>
              <w:t>的，评审时均不予认可。</w:t>
            </w:r>
          </w:p>
        </w:tc>
        <w:tc>
          <w:tcPr>
            <w:tcW w:w="1093" w:type="dxa"/>
            <w:tcBorders>
              <w:top w:val="single" w:color="auto" w:sz="4" w:space="0"/>
              <w:left w:val="single" w:color="auto" w:sz="4" w:space="0"/>
              <w:bottom w:val="single" w:color="auto" w:sz="4" w:space="0"/>
              <w:right w:val="single" w:color="auto" w:sz="4" w:space="0"/>
            </w:tcBorders>
            <w:vAlign w:val="center"/>
          </w:tcPr>
          <w:p w14:paraId="7AE83C5F">
            <w:pPr>
              <w:jc w:val="center"/>
              <w:rPr>
                <w:rFonts w:ascii="宋体" w:hAnsi="宋体" w:eastAsia="宋体" w:cs="宋体"/>
                <w:szCs w:val="21"/>
                <w:highlight w:val="none"/>
              </w:rPr>
            </w:pPr>
            <w:r>
              <w:rPr>
                <w:rFonts w:hint="eastAsia" w:ascii="宋体" w:hAnsi="宋体" w:eastAsia="宋体" w:cs="宋体"/>
                <w:szCs w:val="21"/>
                <w:highlight w:val="none"/>
              </w:rPr>
              <w:t>0-4分</w:t>
            </w:r>
          </w:p>
        </w:tc>
      </w:tr>
      <w:tr w14:paraId="23631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2" w:hRule="atLeast"/>
          <w:jc w:val="center"/>
        </w:trPr>
        <w:tc>
          <w:tcPr>
            <w:tcW w:w="1304" w:type="dxa"/>
            <w:vMerge w:val="continue"/>
            <w:tcBorders>
              <w:left w:val="single" w:color="auto" w:sz="4" w:space="0"/>
              <w:right w:val="single" w:color="auto" w:sz="4" w:space="0"/>
            </w:tcBorders>
            <w:vAlign w:val="center"/>
          </w:tcPr>
          <w:p w14:paraId="39186FC3">
            <w:pPr>
              <w:jc w:val="center"/>
              <w:rPr>
                <w:rFonts w:ascii="宋体" w:hAnsi="宋体" w:eastAsia="宋体" w:cs="宋体"/>
                <w:szCs w:val="21"/>
                <w:highlight w:val="none"/>
              </w:rPr>
            </w:pPr>
          </w:p>
        </w:tc>
        <w:tc>
          <w:tcPr>
            <w:tcW w:w="1068" w:type="dxa"/>
            <w:tcBorders>
              <w:top w:val="single" w:color="auto" w:sz="4" w:space="0"/>
              <w:left w:val="single" w:color="auto" w:sz="4" w:space="0"/>
              <w:right w:val="single" w:color="auto" w:sz="4" w:space="0"/>
            </w:tcBorders>
            <w:vAlign w:val="center"/>
          </w:tcPr>
          <w:p w14:paraId="5A94273C">
            <w:pPr>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制造商</w:t>
            </w:r>
          </w:p>
          <w:p w14:paraId="11E12DF0">
            <w:pPr>
              <w:jc w:val="center"/>
              <w:rPr>
                <w:rFonts w:ascii="宋体" w:hAnsi="宋体" w:eastAsia="宋体" w:cs="宋体"/>
                <w:szCs w:val="21"/>
                <w:highlight w:val="none"/>
              </w:rPr>
            </w:pPr>
            <w:r>
              <w:rPr>
                <w:rFonts w:hint="eastAsia" w:ascii="宋体" w:hAnsi="宋体" w:eastAsia="宋体" w:cs="宋体"/>
                <w:color w:val="000000" w:themeColor="text1"/>
                <w:kern w:val="0"/>
                <w:szCs w:val="21"/>
                <w:highlight w:val="none"/>
                <w14:textFill>
                  <w14:solidFill>
                    <w14:schemeClr w14:val="tx1"/>
                  </w14:solidFill>
                </w14:textFill>
              </w:rPr>
              <w:t>制造能力</w:t>
            </w:r>
          </w:p>
        </w:tc>
        <w:tc>
          <w:tcPr>
            <w:tcW w:w="5945" w:type="dxa"/>
            <w:tcBorders>
              <w:top w:val="single" w:color="auto" w:sz="4" w:space="0"/>
              <w:left w:val="single" w:color="auto" w:sz="4" w:space="0"/>
              <w:right w:val="single" w:color="auto" w:sz="4" w:space="0"/>
            </w:tcBorders>
            <w:vAlign w:val="center"/>
          </w:tcPr>
          <w:p w14:paraId="5F5E0AFC">
            <w:pPr>
              <w:rPr>
                <w:rFonts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Cs w:val="21"/>
                <w:highlight w:val="none"/>
                <w14:textFill>
                  <w14:solidFill>
                    <w14:schemeClr w14:val="tx1"/>
                  </w14:solidFill>
                </w14:textFill>
              </w:rPr>
              <w:t>所投产品制造商具有完善的生产设备，以保证所投产品出厂的质量及环保都达到标准：</w:t>
            </w:r>
          </w:p>
          <w:p w14:paraId="27F5310B">
            <w:pPr>
              <w:rPr>
                <w:rFonts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Cs w:val="21"/>
                <w:highlight w:val="none"/>
                <w14:textFill>
                  <w14:solidFill>
                    <w14:schemeClr w14:val="tx1"/>
                  </w14:solidFill>
                </w14:textFill>
              </w:rPr>
              <w:t>（1）窗帘折边焊接机；</w:t>
            </w:r>
          </w:p>
          <w:p w14:paraId="0808A1AE">
            <w:pPr>
              <w:rPr>
                <w:rFonts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Cs w:val="21"/>
                <w:highlight w:val="none"/>
                <w14:textFill>
                  <w14:solidFill>
                    <w14:schemeClr w14:val="tx1"/>
                  </w14:solidFill>
                </w14:textFill>
              </w:rPr>
              <w:t>（2）窗帘自动裁布机；</w:t>
            </w:r>
          </w:p>
          <w:p w14:paraId="5693E3FD">
            <w:pPr>
              <w:rPr>
                <w:rFonts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Cs w:val="21"/>
                <w:highlight w:val="none"/>
                <w14:textFill>
                  <w14:solidFill>
                    <w14:schemeClr w14:val="tx1"/>
                  </w14:solidFill>
                </w14:textFill>
              </w:rPr>
              <w:t>（3）窗帘自动打褶机；</w:t>
            </w:r>
          </w:p>
          <w:p w14:paraId="205C6DCF">
            <w:pPr>
              <w:rPr>
                <w:rFonts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Cs w:val="21"/>
                <w:highlight w:val="none"/>
                <w14:textFill>
                  <w14:solidFill>
                    <w14:schemeClr w14:val="tx1"/>
                  </w14:solidFill>
                </w14:textFill>
              </w:rPr>
              <w:t>（4）多功能窗帘包边机；</w:t>
            </w:r>
          </w:p>
          <w:p w14:paraId="336F4D2C">
            <w:pPr>
              <w:rPr>
                <w:rFonts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Cs w:val="21"/>
                <w:highlight w:val="none"/>
                <w14:textFill>
                  <w14:solidFill>
                    <w14:schemeClr w14:val="tx1"/>
                  </w14:solidFill>
                </w14:textFill>
              </w:rPr>
              <w:t>每具有以上一项上述设备的得</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1</w:t>
            </w:r>
            <w:r>
              <w:rPr>
                <w:rFonts w:hint="eastAsia" w:ascii="宋体" w:hAnsi="宋体" w:eastAsia="宋体" w:cs="宋体"/>
                <w:snapToGrid w:val="0"/>
                <w:color w:val="000000" w:themeColor="text1"/>
                <w:kern w:val="0"/>
                <w:szCs w:val="21"/>
                <w:highlight w:val="none"/>
                <w14:textFill>
                  <w14:solidFill>
                    <w14:schemeClr w14:val="tx1"/>
                  </w14:solidFill>
                </w14:textFill>
              </w:rPr>
              <w:t>分，最高得</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4</w:t>
            </w:r>
            <w:r>
              <w:rPr>
                <w:rFonts w:hint="eastAsia" w:ascii="宋体" w:hAnsi="宋体" w:eastAsia="宋体" w:cs="宋体"/>
                <w:snapToGrid w:val="0"/>
                <w:color w:val="000000" w:themeColor="text1"/>
                <w:kern w:val="0"/>
                <w:szCs w:val="21"/>
                <w:highlight w:val="none"/>
                <w14:textFill>
                  <w14:solidFill>
                    <w14:schemeClr w14:val="tx1"/>
                  </w14:solidFill>
                </w14:textFill>
              </w:rPr>
              <w:t>分。</w:t>
            </w:r>
          </w:p>
          <w:p w14:paraId="6E1E8386">
            <w:pPr>
              <w:rPr>
                <w:rFonts w:ascii="宋体" w:hAnsi="宋体" w:eastAsia="宋体" w:cs="宋体"/>
                <w:b/>
                <w:bCs/>
                <w:snapToGrid w:val="0"/>
                <w:color w:val="000000" w:themeColor="text1"/>
                <w:kern w:val="0"/>
                <w:szCs w:val="21"/>
                <w:highlight w:val="none"/>
                <w14:textFill>
                  <w14:solidFill>
                    <w14:schemeClr w14:val="tx1"/>
                  </w14:solidFill>
                </w14:textFill>
              </w:rPr>
            </w:pPr>
            <w:r>
              <w:rPr>
                <w:rFonts w:hint="eastAsia" w:ascii="宋体" w:hAnsi="宋体" w:eastAsia="宋体" w:cs="宋体"/>
                <w:b/>
                <w:bCs/>
                <w:snapToGrid w:val="0"/>
                <w:color w:val="000000" w:themeColor="text1"/>
                <w:kern w:val="0"/>
                <w:szCs w:val="21"/>
                <w:highlight w:val="none"/>
                <w14:textFill>
                  <w14:solidFill>
                    <w14:schemeClr w14:val="tx1"/>
                  </w14:solidFill>
                </w14:textFill>
              </w:rPr>
              <w:t>备注：</w:t>
            </w:r>
          </w:p>
          <w:p w14:paraId="59730B1A">
            <w:pPr>
              <w:rPr>
                <w:rFonts w:ascii="宋体" w:hAnsi="宋体" w:eastAsia="宋体" w:cs="宋体"/>
                <w:b w:val="0"/>
                <w:bCs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Cs w:val="21"/>
                <w:highlight w:val="none"/>
                <w14:textFill>
                  <w14:solidFill>
                    <w14:schemeClr w14:val="tx1"/>
                  </w14:solidFill>
                </w14:textFill>
              </w:rPr>
              <w:t>（1）</w:t>
            </w:r>
            <w:r>
              <w:rPr>
                <w:rFonts w:hint="eastAsia" w:ascii="宋体" w:hAnsi="宋体" w:eastAsia="宋体" w:cs="宋体"/>
                <w:color w:val="000000" w:themeColor="text1"/>
                <w:kern w:val="0"/>
                <w:szCs w:val="21"/>
                <w:highlight w:val="none"/>
                <w14:textFill>
                  <w14:solidFill>
                    <w14:schemeClr w14:val="tx1"/>
                  </w14:solidFill>
                </w14:textFill>
              </w:rPr>
              <w:t>若为自有设备，要</w:t>
            </w:r>
            <w:r>
              <w:rPr>
                <w:rFonts w:hint="eastAsia" w:ascii="宋体" w:hAnsi="宋体" w:eastAsia="宋体" w:cs="宋体"/>
                <w:b w:val="0"/>
                <w:bCs w:val="0"/>
                <w:color w:val="000000" w:themeColor="text1"/>
                <w:kern w:val="0"/>
                <w:szCs w:val="21"/>
                <w:highlight w:val="none"/>
                <w14:textFill>
                  <w14:solidFill>
                    <w14:schemeClr w14:val="tx1"/>
                  </w14:solidFill>
                </w14:textFill>
              </w:rPr>
              <w:t>求提供所投产品制造商的购买发票，发票抬头名称为所投产品制造商名称；</w:t>
            </w:r>
          </w:p>
          <w:p w14:paraId="741C8D75">
            <w:pPr>
              <w:rPr>
                <w:rFonts w:ascii="宋体" w:hAnsi="宋体" w:eastAsia="宋体" w:cs="宋体"/>
                <w:b w:val="0"/>
                <w:bCs w:val="0"/>
                <w:color w:val="000000" w:themeColor="text1"/>
                <w:kern w:val="0"/>
                <w:szCs w:val="21"/>
                <w:highlight w:val="none"/>
                <w14:textFill>
                  <w14:solidFill>
                    <w14:schemeClr w14:val="tx1"/>
                  </w14:solidFill>
                </w14:textFill>
              </w:rPr>
            </w:pPr>
            <w:r>
              <w:rPr>
                <w:rFonts w:hint="eastAsia" w:ascii="宋体" w:hAnsi="宋体" w:eastAsia="宋体" w:cs="宋体"/>
                <w:b w:val="0"/>
                <w:bCs w:val="0"/>
                <w:snapToGrid w:val="0"/>
                <w:color w:val="000000" w:themeColor="text1"/>
                <w:kern w:val="0"/>
                <w:szCs w:val="21"/>
                <w:highlight w:val="none"/>
                <w14:textFill>
                  <w14:solidFill>
                    <w14:schemeClr w14:val="tx1"/>
                  </w14:solidFill>
                </w14:textFill>
              </w:rPr>
              <w:t>（2）</w:t>
            </w:r>
            <w:r>
              <w:rPr>
                <w:rFonts w:hint="eastAsia" w:ascii="宋体" w:hAnsi="宋体" w:eastAsia="宋体" w:cs="宋体"/>
                <w:b w:val="0"/>
                <w:bCs w:val="0"/>
                <w:color w:val="000000" w:themeColor="text1"/>
                <w:kern w:val="0"/>
                <w:szCs w:val="21"/>
                <w:highlight w:val="none"/>
                <w14:textFill>
                  <w14:solidFill>
                    <w14:schemeClr w14:val="tx1"/>
                  </w14:solidFill>
                </w14:textFill>
              </w:rPr>
              <w:t>若为租赁设备，要求提供设备租赁发票、租赁合同和设备实景照片。租赁合同需体现合同关键页【应包含但不限于合同签约主体名称、设备名称、租赁期限、签约主体公章等关键信息】。</w:t>
            </w:r>
          </w:p>
          <w:p w14:paraId="56AD1997">
            <w:pPr>
              <w:pStyle w:val="7"/>
              <w:jc w:val="both"/>
              <w:rPr>
                <w:rFonts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Cs w:val="21"/>
                <w:highlight w:val="none"/>
                <w14:textFill>
                  <w14:solidFill>
                    <w14:schemeClr w14:val="tx1"/>
                  </w14:solidFill>
                </w14:textFill>
              </w:rPr>
              <w:t>（3）名称不完全一致的设备需提供书面说明，即设备功能一致的说明及设备的照片，用以证明是同种设备。</w:t>
            </w:r>
          </w:p>
          <w:p w14:paraId="18449F95">
            <w:pPr>
              <w:pStyle w:val="7"/>
              <w:jc w:val="both"/>
              <w:rPr>
                <w:rFonts w:ascii="宋体" w:hAnsi="宋体" w:eastAsia="宋体" w:cs="宋体"/>
                <w:szCs w:val="21"/>
                <w:highlight w:val="none"/>
              </w:rPr>
            </w:pPr>
            <w:r>
              <w:rPr>
                <w:rFonts w:hint="eastAsia" w:ascii="宋体" w:hAnsi="宋体" w:eastAsia="宋体" w:cs="宋体"/>
                <w:snapToGrid w:val="0"/>
                <w:color w:val="000000" w:themeColor="text1"/>
                <w:kern w:val="0"/>
                <w:szCs w:val="21"/>
                <w:highlight w:val="none"/>
                <w14:textFill>
                  <w14:solidFill>
                    <w14:schemeClr w14:val="tx1"/>
                  </w14:solidFill>
                </w14:textFill>
              </w:rPr>
              <w:t>（4）投标文件中须提</w:t>
            </w:r>
            <w:r>
              <w:rPr>
                <w:rFonts w:hint="eastAsia" w:ascii="宋体" w:hAnsi="宋体" w:eastAsia="宋体" w:cs="宋体"/>
                <w:color w:val="000000" w:themeColor="text1"/>
                <w:kern w:val="0"/>
                <w:szCs w:val="21"/>
                <w:highlight w:val="none"/>
                <w14:textFill>
                  <w14:solidFill>
                    <w14:schemeClr w14:val="tx1"/>
                  </w14:solidFill>
                </w14:textFill>
              </w:rPr>
              <w:t>供以上资料扫描件，</w:t>
            </w:r>
            <w:r>
              <w:rPr>
                <w:rFonts w:hint="eastAsia" w:eastAsia="宋体"/>
                <w:color w:val="000000" w:themeColor="text1"/>
                <w:kern w:val="0"/>
                <w:highlight w:val="none"/>
                <w14:textFill>
                  <w14:solidFill>
                    <w14:schemeClr w14:val="tx1"/>
                  </w14:solidFill>
                </w14:textFill>
              </w:rPr>
              <w:t>如未按要求提供证明材料，或所提供的证明材料未能体现上述评分内容的，</w:t>
            </w:r>
            <w:r>
              <w:rPr>
                <w:rFonts w:hint="eastAsia" w:ascii="宋体" w:hAnsi="宋体" w:eastAsia="宋体" w:cs="宋体"/>
                <w:color w:val="000000" w:themeColor="text1"/>
                <w:kern w:val="0"/>
                <w:szCs w:val="21"/>
                <w:highlight w:val="none"/>
                <w14:textFill>
                  <w14:solidFill>
                    <w14:schemeClr w14:val="tx1"/>
                  </w14:solidFill>
                </w14:textFill>
              </w:rPr>
              <w:t>或提供的证明材料不清晰导致评委无法</w:t>
            </w:r>
            <w:r>
              <w:rPr>
                <w:rFonts w:hint="eastAsia" w:ascii="宋体" w:hAnsi="宋体" w:eastAsia="宋体" w:cs="宋体"/>
                <w:color w:val="000000" w:themeColor="text1"/>
                <w:szCs w:val="21"/>
                <w:highlight w:val="none"/>
                <w14:textFill>
                  <w14:solidFill>
                    <w14:schemeClr w14:val="tx1"/>
                  </w14:solidFill>
                </w14:textFill>
              </w:rPr>
              <w:t>辨认</w:t>
            </w:r>
            <w:r>
              <w:rPr>
                <w:rFonts w:hint="eastAsia" w:ascii="宋体" w:hAnsi="宋体" w:eastAsia="宋体" w:cs="宋体"/>
                <w:color w:val="000000" w:themeColor="text1"/>
                <w:kern w:val="0"/>
                <w:szCs w:val="21"/>
                <w:highlight w:val="none"/>
                <w14:textFill>
                  <w14:solidFill>
                    <w14:schemeClr w14:val="tx1"/>
                  </w14:solidFill>
                </w14:textFill>
              </w:rPr>
              <w:t>的，评审时均不予认可</w:t>
            </w:r>
            <w:r>
              <w:rPr>
                <w:rFonts w:hint="eastAsia" w:eastAsia="宋体"/>
                <w:color w:val="000000" w:themeColor="text1"/>
                <w:kern w:val="0"/>
                <w:highlight w:val="none"/>
                <w14:textFill>
                  <w14:solidFill>
                    <w14:schemeClr w14:val="tx1"/>
                  </w14:solidFill>
                </w14:textFill>
              </w:rPr>
              <w:t>。</w:t>
            </w:r>
          </w:p>
        </w:tc>
        <w:tc>
          <w:tcPr>
            <w:tcW w:w="1093" w:type="dxa"/>
            <w:tcBorders>
              <w:top w:val="single" w:color="auto" w:sz="4" w:space="0"/>
              <w:left w:val="single" w:color="auto" w:sz="4" w:space="0"/>
              <w:bottom w:val="single" w:color="auto" w:sz="4" w:space="0"/>
              <w:right w:val="single" w:color="auto" w:sz="4" w:space="0"/>
            </w:tcBorders>
            <w:vAlign w:val="center"/>
          </w:tcPr>
          <w:p w14:paraId="476F5FA4">
            <w:pPr>
              <w:jc w:val="center"/>
              <w:rPr>
                <w:rFonts w:ascii="宋体" w:hAnsi="宋体" w:eastAsia="宋体" w:cs="宋体"/>
                <w:szCs w:val="21"/>
                <w:highlight w:val="none"/>
              </w:rPr>
            </w:pPr>
            <w:r>
              <w:rPr>
                <w:rFonts w:hint="eastAsia" w:ascii="宋体" w:hAnsi="宋体" w:eastAsia="宋体" w:cs="宋体"/>
                <w:szCs w:val="21"/>
                <w:highlight w:val="none"/>
              </w:rPr>
              <w:t>0-</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rPr>
              <w:t>分</w:t>
            </w:r>
          </w:p>
        </w:tc>
      </w:tr>
      <w:tr w14:paraId="70D5F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0" w:hRule="atLeast"/>
          <w:jc w:val="center"/>
        </w:trPr>
        <w:tc>
          <w:tcPr>
            <w:tcW w:w="1304" w:type="dxa"/>
            <w:vMerge w:val="continue"/>
            <w:tcBorders>
              <w:left w:val="single" w:color="auto" w:sz="4" w:space="0"/>
              <w:right w:val="single" w:color="auto" w:sz="4" w:space="0"/>
            </w:tcBorders>
            <w:vAlign w:val="center"/>
          </w:tcPr>
          <w:p w14:paraId="6F79B538">
            <w:pPr>
              <w:jc w:val="center"/>
              <w:rPr>
                <w:rFonts w:ascii="宋体" w:hAnsi="宋体" w:eastAsia="宋体" w:cs="宋体"/>
                <w:szCs w:val="21"/>
                <w:highlight w:val="none"/>
              </w:rPr>
            </w:pPr>
          </w:p>
        </w:tc>
        <w:tc>
          <w:tcPr>
            <w:tcW w:w="1068" w:type="dxa"/>
            <w:tcBorders>
              <w:top w:val="single" w:color="auto" w:sz="4" w:space="0"/>
              <w:left w:val="single" w:color="auto" w:sz="4" w:space="0"/>
              <w:right w:val="single" w:color="auto" w:sz="4" w:space="0"/>
            </w:tcBorders>
            <w:vAlign w:val="center"/>
          </w:tcPr>
          <w:p w14:paraId="4D35F50B">
            <w:pPr>
              <w:pStyle w:val="72"/>
              <w:jc w:val="center"/>
              <w:rPr>
                <w:rFonts w:eastAsia="宋体"/>
                <w:color w:val="000000"/>
                <w:kern w:val="0"/>
                <w:szCs w:val="21"/>
                <w:highlight w:val="none"/>
                <w:lang w:bidi="ar"/>
              </w:rPr>
            </w:pPr>
            <w:r>
              <w:rPr>
                <w:rFonts w:hint="eastAsia" w:eastAsia="宋体"/>
                <w:szCs w:val="21"/>
                <w:highlight w:val="none"/>
              </w:rPr>
              <w:t>货物质量保障措施</w:t>
            </w:r>
          </w:p>
        </w:tc>
        <w:tc>
          <w:tcPr>
            <w:tcW w:w="5945" w:type="dxa"/>
            <w:tcBorders>
              <w:top w:val="single" w:color="auto" w:sz="4" w:space="0"/>
              <w:left w:val="single" w:color="auto" w:sz="4" w:space="0"/>
              <w:right w:val="single" w:color="auto" w:sz="4" w:space="0"/>
            </w:tcBorders>
            <w:vAlign w:val="center"/>
          </w:tcPr>
          <w:p w14:paraId="281FD9CA">
            <w:pPr>
              <w:pStyle w:val="25"/>
              <w:ind w:left="0" w:firstLine="0" w:firstLineChars="0"/>
              <w:rPr>
                <w:rFonts w:ascii="宋体" w:hAnsi="宋体" w:eastAsia="宋体" w:cs="宋体"/>
                <w:sz w:val="21"/>
                <w:szCs w:val="21"/>
                <w:highlight w:val="none"/>
              </w:rPr>
            </w:pPr>
            <w:r>
              <w:rPr>
                <w:rFonts w:hint="eastAsia" w:ascii="宋体" w:hAnsi="宋体" w:eastAsia="宋体" w:cs="宋体"/>
                <w:sz w:val="21"/>
                <w:szCs w:val="21"/>
                <w:highlight w:val="none"/>
              </w:rPr>
              <w:t>投标人须提供针对本项目的货物质量保障方案，包括但不限于以下内容：质量保障措施、质量检查实施措施等。磋商小组将对供应商的货物质量保障方案合理性和各针对性等进行综合评分：</w:t>
            </w:r>
          </w:p>
          <w:p w14:paraId="25905AE0">
            <w:pPr>
              <w:pStyle w:val="25"/>
              <w:ind w:left="0" w:firstLine="0" w:firstLineChars="0"/>
              <w:rPr>
                <w:rFonts w:ascii="宋体" w:hAnsi="宋体" w:eastAsia="宋体" w:cs="宋体"/>
                <w:sz w:val="21"/>
                <w:szCs w:val="21"/>
                <w:highlight w:val="none"/>
              </w:rPr>
            </w:pPr>
            <w:r>
              <w:rPr>
                <w:rFonts w:hint="eastAsia" w:ascii="宋体" w:hAnsi="宋体" w:eastAsia="宋体" w:cs="宋体"/>
                <w:sz w:val="21"/>
                <w:szCs w:val="21"/>
                <w:highlight w:val="none"/>
              </w:rPr>
              <w:t>（1）方案措施全面很具体、针对性强、实施流程很清晰、质量标准可行性强，得</w:t>
            </w: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分；</w:t>
            </w:r>
          </w:p>
          <w:p w14:paraId="54AEEC26">
            <w:pPr>
              <w:pStyle w:val="25"/>
              <w:ind w:left="0" w:firstLine="0" w:firstLineChars="0"/>
              <w:rPr>
                <w:rFonts w:ascii="宋体" w:hAnsi="宋体" w:eastAsia="宋体" w:cs="宋体"/>
                <w:sz w:val="21"/>
                <w:szCs w:val="21"/>
                <w:highlight w:val="none"/>
              </w:rPr>
            </w:pPr>
            <w:r>
              <w:rPr>
                <w:rFonts w:hint="eastAsia" w:ascii="宋体" w:hAnsi="宋体" w:eastAsia="宋体" w:cs="宋体"/>
                <w:sz w:val="21"/>
                <w:szCs w:val="21"/>
                <w:highlight w:val="none"/>
              </w:rPr>
              <w:t>（2）方案措施一般、针对性一般、实施流程较清晰、质量标准可行性一般，得</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分；</w:t>
            </w:r>
          </w:p>
          <w:p w14:paraId="2E4F15D5">
            <w:pPr>
              <w:pStyle w:val="25"/>
              <w:ind w:left="0" w:firstLine="0" w:firstLineChars="0"/>
              <w:rPr>
                <w:rFonts w:ascii="宋体" w:hAnsi="宋体" w:eastAsia="宋体" w:cs="宋体"/>
                <w:sz w:val="21"/>
                <w:szCs w:val="21"/>
                <w:highlight w:val="none"/>
              </w:rPr>
            </w:pPr>
            <w:r>
              <w:rPr>
                <w:rFonts w:hint="eastAsia" w:ascii="宋体" w:hAnsi="宋体" w:eastAsia="宋体" w:cs="宋体"/>
                <w:sz w:val="21"/>
                <w:szCs w:val="21"/>
                <w:highlight w:val="none"/>
              </w:rPr>
              <w:t>（3）方案有少量漏项或与本项目契合度不高，得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p w14:paraId="3D7B87C4">
            <w:pPr>
              <w:pStyle w:val="25"/>
              <w:ind w:left="0" w:firstLine="0" w:firstLineChars="0"/>
              <w:rPr>
                <w:rFonts w:ascii="宋体" w:hAnsi="宋体" w:eastAsia="宋体" w:cs="宋体"/>
                <w:color w:val="000000"/>
                <w:kern w:val="0"/>
                <w:sz w:val="21"/>
                <w:szCs w:val="21"/>
                <w:highlight w:val="none"/>
                <w:lang w:bidi="ar"/>
              </w:rPr>
            </w:pPr>
            <w:r>
              <w:rPr>
                <w:rFonts w:hint="eastAsia" w:ascii="宋体" w:hAnsi="宋体" w:eastAsia="宋体" w:cs="宋体"/>
                <w:sz w:val="21"/>
                <w:szCs w:val="21"/>
                <w:highlight w:val="none"/>
              </w:rPr>
              <w:t>（</w:t>
            </w:r>
            <w:r>
              <w:rPr>
                <w:rFonts w:ascii="宋体" w:hAnsi="宋体" w:eastAsia="宋体" w:cs="宋体"/>
                <w:sz w:val="21"/>
                <w:szCs w:val="21"/>
                <w:highlight w:val="none"/>
              </w:rPr>
              <w:t>4）未提供任何相关内容的，不得分。</w:t>
            </w:r>
          </w:p>
        </w:tc>
        <w:tc>
          <w:tcPr>
            <w:tcW w:w="1093" w:type="dxa"/>
            <w:tcBorders>
              <w:top w:val="single" w:color="auto" w:sz="4" w:space="0"/>
              <w:left w:val="single" w:color="auto" w:sz="4" w:space="0"/>
              <w:bottom w:val="single" w:color="auto" w:sz="4" w:space="0"/>
              <w:right w:val="single" w:color="auto" w:sz="4" w:space="0"/>
            </w:tcBorders>
            <w:vAlign w:val="center"/>
          </w:tcPr>
          <w:p w14:paraId="03FC3369">
            <w:pPr>
              <w:jc w:val="center"/>
              <w:rPr>
                <w:rFonts w:ascii="宋体" w:hAnsi="宋体" w:eastAsia="宋体" w:cs="宋体"/>
                <w:szCs w:val="21"/>
                <w:highlight w:val="none"/>
              </w:rPr>
            </w:pPr>
            <w:r>
              <w:rPr>
                <w:rFonts w:hint="eastAsia" w:ascii="宋体" w:hAnsi="宋体" w:eastAsia="宋体" w:cs="宋体"/>
                <w:szCs w:val="21"/>
                <w:highlight w:val="none"/>
              </w:rPr>
              <w:t>0-</w:t>
            </w:r>
            <w:r>
              <w:rPr>
                <w:rFonts w:hint="eastAsia" w:ascii="宋体" w:hAnsi="宋体" w:eastAsia="宋体" w:cs="宋体"/>
                <w:szCs w:val="21"/>
                <w:highlight w:val="none"/>
                <w:lang w:val="en-US" w:eastAsia="zh-CN"/>
              </w:rPr>
              <w:t>9</w:t>
            </w:r>
            <w:r>
              <w:rPr>
                <w:rFonts w:hint="eastAsia" w:ascii="宋体" w:hAnsi="宋体" w:eastAsia="宋体" w:cs="宋体"/>
                <w:szCs w:val="21"/>
                <w:highlight w:val="none"/>
              </w:rPr>
              <w:t>分</w:t>
            </w:r>
          </w:p>
        </w:tc>
      </w:tr>
      <w:tr w14:paraId="4CB5B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304" w:type="dxa"/>
            <w:vMerge w:val="continue"/>
            <w:tcBorders>
              <w:left w:val="single" w:color="auto" w:sz="4" w:space="0"/>
              <w:right w:val="single" w:color="auto" w:sz="4" w:space="0"/>
            </w:tcBorders>
            <w:vAlign w:val="center"/>
          </w:tcPr>
          <w:p w14:paraId="2E1FF7EB">
            <w:pPr>
              <w:jc w:val="center"/>
              <w:rPr>
                <w:rFonts w:ascii="宋体" w:hAnsi="宋体" w:eastAsia="宋体" w:cs="宋体"/>
                <w:szCs w:val="21"/>
                <w:highlight w:val="none"/>
              </w:rPr>
            </w:pPr>
          </w:p>
        </w:tc>
        <w:tc>
          <w:tcPr>
            <w:tcW w:w="1068" w:type="dxa"/>
            <w:tcBorders>
              <w:top w:val="single" w:color="auto" w:sz="4" w:space="0"/>
              <w:left w:val="single" w:color="auto" w:sz="4" w:space="0"/>
              <w:right w:val="single" w:color="auto" w:sz="4" w:space="0"/>
            </w:tcBorders>
            <w:vAlign w:val="center"/>
          </w:tcPr>
          <w:p w14:paraId="3B33E9F1">
            <w:pPr>
              <w:jc w:val="center"/>
              <w:rPr>
                <w:rFonts w:ascii="宋体" w:hAnsi="宋体" w:eastAsia="宋体" w:cs="宋体"/>
                <w:color w:val="000000"/>
                <w:kern w:val="0"/>
                <w:szCs w:val="21"/>
                <w:highlight w:val="none"/>
                <w:lang w:bidi="ar"/>
              </w:rPr>
            </w:pPr>
            <w:r>
              <w:rPr>
                <w:rFonts w:hint="eastAsia" w:ascii="宋体" w:hAnsi="宋体" w:eastAsia="宋体" w:cs="宋体"/>
                <w:szCs w:val="21"/>
                <w:highlight w:val="none"/>
              </w:rPr>
              <w:t>供货安装调试方案</w:t>
            </w:r>
          </w:p>
        </w:tc>
        <w:tc>
          <w:tcPr>
            <w:tcW w:w="5945" w:type="dxa"/>
            <w:tcBorders>
              <w:top w:val="single" w:color="auto" w:sz="4" w:space="0"/>
              <w:left w:val="single" w:color="auto" w:sz="4" w:space="0"/>
              <w:right w:val="single" w:color="auto" w:sz="4" w:space="0"/>
            </w:tcBorders>
            <w:vAlign w:val="center"/>
          </w:tcPr>
          <w:p w14:paraId="192D0D23">
            <w:pPr>
              <w:rPr>
                <w:rFonts w:ascii="宋体" w:hAnsi="宋体" w:eastAsia="宋体" w:cs="宋体"/>
                <w:szCs w:val="21"/>
                <w:highlight w:val="none"/>
              </w:rPr>
            </w:pPr>
            <w:r>
              <w:rPr>
                <w:rFonts w:hint="eastAsia" w:ascii="宋体" w:hAnsi="宋体" w:eastAsia="宋体" w:cs="宋体"/>
                <w:szCs w:val="21"/>
                <w:highlight w:val="none"/>
              </w:rPr>
              <w:t>供应商根据本项目的实际情况自行拟定本项目的产品供货及安装方案，磋商小组根据各供应商提供的方案进行评分：</w:t>
            </w:r>
          </w:p>
          <w:p w14:paraId="4A3791B3">
            <w:pPr>
              <w:rPr>
                <w:rFonts w:ascii="宋体" w:hAnsi="宋体" w:eastAsia="宋体" w:cs="宋体"/>
                <w:szCs w:val="21"/>
                <w:highlight w:val="none"/>
              </w:rPr>
            </w:pPr>
            <w:r>
              <w:rPr>
                <w:rFonts w:hint="eastAsia" w:ascii="宋体" w:hAnsi="宋体" w:eastAsia="宋体" w:cs="宋体"/>
                <w:szCs w:val="21"/>
                <w:highlight w:val="none"/>
              </w:rPr>
              <w:t>（1）方案内容详实全面，制度科学合理，可操作性强，有利于项目顺利实施的，得</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分；</w:t>
            </w:r>
          </w:p>
          <w:p w14:paraId="568B8B9B">
            <w:pPr>
              <w:rPr>
                <w:rFonts w:ascii="宋体" w:hAnsi="宋体" w:eastAsia="宋体" w:cs="宋体"/>
                <w:szCs w:val="21"/>
                <w:highlight w:val="none"/>
              </w:rPr>
            </w:pPr>
            <w:r>
              <w:rPr>
                <w:rFonts w:hint="eastAsia" w:ascii="宋体" w:hAnsi="宋体" w:eastAsia="宋体" w:cs="宋体"/>
                <w:szCs w:val="21"/>
                <w:highlight w:val="none"/>
              </w:rPr>
              <w:t>（2）方案内容较为详实，制度完善，具备可操作性，能够保障项目实施的，得</w:t>
            </w: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分；</w:t>
            </w:r>
          </w:p>
          <w:p w14:paraId="4D97BECA">
            <w:pPr>
              <w:rPr>
                <w:rFonts w:ascii="宋体" w:hAnsi="宋体" w:eastAsia="宋体" w:cs="宋体"/>
                <w:szCs w:val="21"/>
                <w:highlight w:val="none"/>
              </w:rPr>
            </w:pPr>
            <w:r>
              <w:rPr>
                <w:rFonts w:hint="eastAsia" w:ascii="宋体" w:hAnsi="宋体" w:eastAsia="宋体" w:cs="宋体"/>
                <w:szCs w:val="21"/>
                <w:highlight w:val="none"/>
              </w:rPr>
              <w:t>（3）材料内容有待完善的，得</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p w14:paraId="1F2F7213">
            <w:pPr>
              <w:rPr>
                <w:rFonts w:ascii="宋体" w:hAnsi="宋体" w:eastAsia="宋体" w:cs="宋体"/>
                <w:color w:val="000000"/>
                <w:kern w:val="0"/>
                <w:szCs w:val="21"/>
                <w:highlight w:val="none"/>
                <w:lang w:bidi="ar"/>
              </w:rPr>
            </w:pPr>
            <w:r>
              <w:rPr>
                <w:rFonts w:hint="eastAsia" w:ascii="宋体" w:hAnsi="宋体" w:eastAsia="宋体" w:cs="宋体"/>
                <w:szCs w:val="21"/>
                <w:highlight w:val="none"/>
              </w:rPr>
              <w:t>（4）未提供任何相关内容的，不得分。</w:t>
            </w:r>
          </w:p>
        </w:tc>
        <w:tc>
          <w:tcPr>
            <w:tcW w:w="1093" w:type="dxa"/>
            <w:tcBorders>
              <w:top w:val="single" w:color="auto" w:sz="4" w:space="0"/>
              <w:left w:val="single" w:color="auto" w:sz="4" w:space="0"/>
              <w:bottom w:val="single" w:color="auto" w:sz="4" w:space="0"/>
              <w:right w:val="single" w:color="auto" w:sz="4" w:space="0"/>
            </w:tcBorders>
            <w:vAlign w:val="center"/>
          </w:tcPr>
          <w:p w14:paraId="20757218">
            <w:pPr>
              <w:jc w:val="center"/>
              <w:rPr>
                <w:rFonts w:ascii="宋体" w:hAnsi="宋体" w:eastAsia="宋体" w:cs="宋体"/>
                <w:szCs w:val="21"/>
                <w:highlight w:val="none"/>
              </w:rPr>
            </w:pPr>
            <w:r>
              <w:rPr>
                <w:rFonts w:hint="eastAsia" w:ascii="宋体" w:hAnsi="宋体" w:eastAsia="宋体" w:cs="宋体"/>
                <w:szCs w:val="21"/>
                <w:highlight w:val="none"/>
              </w:rPr>
              <w:t>0-</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分</w:t>
            </w:r>
          </w:p>
        </w:tc>
      </w:tr>
      <w:tr w14:paraId="28006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304" w:type="dxa"/>
            <w:vMerge w:val="continue"/>
            <w:tcBorders>
              <w:left w:val="single" w:color="auto" w:sz="4" w:space="0"/>
              <w:right w:val="single" w:color="auto" w:sz="4" w:space="0"/>
            </w:tcBorders>
            <w:vAlign w:val="center"/>
          </w:tcPr>
          <w:p w14:paraId="5BC9760D">
            <w:pPr>
              <w:jc w:val="center"/>
              <w:rPr>
                <w:rFonts w:ascii="宋体" w:hAnsi="宋体" w:eastAsia="宋体" w:cs="宋体"/>
                <w:szCs w:val="21"/>
                <w:highlight w:val="none"/>
              </w:rPr>
            </w:pPr>
          </w:p>
        </w:tc>
        <w:tc>
          <w:tcPr>
            <w:tcW w:w="1068" w:type="dxa"/>
            <w:tcBorders>
              <w:top w:val="single" w:color="auto" w:sz="4" w:space="0"/>
              <w:left w:val="single" w:color="auto" w:sz="4" w:space="0"/>
              <w:right w:val="single" w:color="auto" w:sz="4" w:space="0"/>
            </w:tcBorders>
            <w:shd w:val="clear" w:color="auto" w:fill="auto"/>
            <w:vAlign w:val="center"/>
          </w:tcPr>
          <w:p w14:paraId="7F02721F">
            <w:pPr>
              <w:jc w:val="center"/>
              <w:rPr>
                <w:rFonts w:ascii="宋体" w:hAnsi="宋体" w:eastAsia="宋体" w:cs="宋体"/>
                <w:color w:val="000000"/>
                <w:kern w:val="0"/>
                <w:szCs w:val="21"/>
                <w:highlight w:val="none"/>
                <w:lang w:bidi="ar"/>
              </w:rPr>
            </w:pPr>
            <w:r>
              <w:rPr>
                <w:rFonts w:hint="eastAsia" w:ascii="宋体" w:hAnsi="宋体" w:eastAsia="宋体" w:cs="宋体"/>
                <w:szCs w:val="21"/>
                <w:highlight w:val="none"/>
              </w:rPr>
              <w:t>售后服务方案</w:t>
            </w:r>
          </w:p>
        </w:tc>
        <w:tc>
          <w:tcPr>
            <w:tcW w:w="5945" w:type="dxa"/>
            <w:tcBorders>
              <w:top w:val="single" w:color="auto" w:sz="4" w:space="0"/>
              <w:left w:val="single" w:color="auto" w:sz="4" w:space="0"/>
              <w:right w:val="single" w:color="auto" w:sz="4" w:space="0"/>
            </w:tcBorders>
            <w:shd w:val="clear" w:color="auto" w:fill="auto"/>
            <w:vAlign w:val="center"/>
          </w:tcPr>
          <w:p w14:paraId="10855752">
            <w:pPr>
              <w:jc w:val="left"/>
              <w:rPr>
                <w:rFonts w:ascii="宋体" w:hAnsi="宋体" w:eastAsia="宋体" w:cs="宋体"/>
                <w:szCs w:val="21"/>
                <w:highlight w:val="none"/>
              </w:rPr>
            </w:pPr>
            <w:r>
              <w:rPr>
                <w:rFonts w:hint="eastAsia" w:ascii="宋体" w:hAnsi="宋体" w:eastAsia="宋体" w:cs="宋体"/>
                <w:szCs w:val="21"/>
                <w:highlight w:val="none"/>
              </w:rPr>
              <w:t>磋商小组根据供应商提供的售后服务方案进行评审，包括但不限于售后服务体系，有固定的维护人员及处理故障的措施、维修计划、服务质量保证、问题反馈及投诉处理等：</w:t>
            </w:r>
          </w:p>
          <w:p w14:paraId="1BA84457">
            <w:pPr>
              <w:jc w:val="left"/>
              <w:rPr>
                <w:rFonts w:ascii="宋体" w:hAnsi="宋体" w:eastAsia="宋体" w:cs="宋体"/>
                <w:szCs w:val="21"/>
                <w:highlight w:val="none"/>
              </w:rPr>
            </w:pPr>
            <w:r>
              <w:rPr>
                <w:rFonts w:hint="eastAsia" w:ascii="宋体" w:hAnsi="宋体" w:eastAsia="宋体" w:cs="宋体"/>
                <w:szCs w:val="21"/>
                <w:highlight w:val="none"/>
              </w:rPr>
              <w:t>（1）售后服务体系完善，维护人员配备充足，服务方案完备得</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分；</w:t>
            </w:r>
          </w:p>
          <w:p w14:paraId="194F0776">
            <w:pPr>
              <w:jc w:val="left"/>
              <w:rPr>
                <w:rFonts w:ascii="宋体" w:hAnsi="宋体" w:eastAsia="宋体" w:cs="宋体"/>
                <w:szCs w:val="21"/>
                <w:highlight w:val="none"/>
              </w:rPr>
            </w:pPr>
            <w:r>
              <w:rPr>
                <w:rFonts w:hint="eastAsia" w:ascii="宋体" w:hAnsi="宋体" w:eastAsia="宋体" w:cs="宋体"/>
                <w:szCs w:val="21"/>
                <w:highlight w:val="none"/>
              </w:rPr>
              <w:t>（2）售后服务体系较为完善，具有相应维护人员，服务方案较为完备得</w:t>
            </w: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分；</w:t>
            </w:r>
          </w:p>
          <w:p w14:paraId="0066E920">
            <w:pPr>
              <w:jc w:val="left"/>
              <w:rPr>
                <w:rFonts w:ascii="宋体" w:hAnsi="宋体" w:eastAsia="宋体" w:cs="宋体"/>
                <w:szCs w:val="21"/>
                <w:highlight w:val="none"/>
              </w:rPr>
            </w:pPr>
            <w:r>
              <w:rPr>
                <w:rFonts w:hint="eastAsia" w:ascii="宋体" w:hAnsi="宋体" w:eastAsia="宋体" w:cs="宋体"/>
                <w:szCs w:val="21"/>
                <w:highlight w:val="none"/>
              </w:rPr>
              <w:t>（3）售后服务体系或服务方案一般</w:t>
            </w:r>
            <w:r>
              <w:rPr>
                <w:rFonts w:hint="eastAsia" w:ascii="宋体" w:hAnsi="宋体" w:eastAsia="宋体" w:cs="宋体"/>
                <w:szCs w:val="21"/>
                <w:highlight w:val="none"/>
                <w:lang w:eastAsia="zh-CN"/>
              </w:rPr>
              <w:t>，</w:t>
            </w:r>
            <w:r>
              <w:rPr>
                <w:rFonts w:hint="eastAsia" w:ascii="宋体" w:hAnsi="宋体" w:eastAsia="宋体" w:cs="宋体"/>
                <w:szCs w:val="21"/>
                <w:highlight w:val="none"/>
              </w:rPr>
              <w:t>得</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p w14:paraId="737EC3A4">
            <w:pPr>
              <w:jc w:val="left"/>
              <w:rPr>
                <w:rFonts w:ascii="宋体" w:hAnsi="宋体" w:eastAsia="宋体" w:cs="宋体"/>
                <w:color w:val="000000"/>
                <w:kern w:val="0"/>
                <w:szCs w:val="21"/>
                <w:highlight w:val="none"/>
                <w:lang w:bidi="ar"/>
              </w:rPr>
            </w:pPr>
            <w:r>
              <w:rPr>
                <w:rFonts w:hint="eastAsia" w:ascii="宋体" w:hAnsi="宋体" w:eastAsia="宋体" w:cs="宋体"/>
                <w:szCs w:val="21"/>
                <w:highlight w:val="none"/>
              </w:rPr>
              <w:t>（4）未提供任何相关内容的，不得分。</w:t>
            </w:r>
          </w:p>
        </w:tc>
        <w:tc>
          <w:tcPr>
            <w:tcW w:w="1093" w:type="dxa"/>
            <w:tcBorders>
              <w:top w:val="single" w:color="auto" w:sz="4" w:space="0"/>
              <w:left w:val="single" w:color="auto" w:sz="4" w:space="0"/>
              <w:bottom w:val="single" w:color="auto" w:sz="4" w:space="0"/>
              <w:right w:val="single" w:color="auto" w:sz="4" w:space="0"/>
            </w:tcBorders>
            <w:shd w:val="clear" w:color="auto" w:fill="auto"/>
            <w:vAlign w:val="center"/>
          </w:tcPr>
          <w:p w14:paraId="35C3229F">
            <w:pPr>
              <w:jc w:val="center"/>
              <w:rPr>
                <w:rFonts w:ascii="宋体" w:hAnsi="宋体" w:eastAsia="宋体" w:cs="宋体"/>
                <w:szCs w:val="21"/>
                <w:highlight w:val="none"/>
              </w:rPr>
            </w:pPr>
            <w:r>
              <w:rPr>
                <w:rFonts w:hint="eastAsia" w:ascii="宋体" w:hAnsi="宋体" w:eastAsia="宋体" w:cs="宋体"/>
                <w:szCs w:val="21"/>
                <w:highlight w:val="none"/>
              </w:rPr>
              <w:t>0-</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分</w:t>
            </w:r>
          </w:p>
        </w:tc>
      </w:tr>
      <w:tr w14:paraId="65210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3" w:hRule="atLeast"/>
          <w:jc w:val="center"/>
        </w:trPr>
        <w:tc>
          <w:tcPr>
            <w:tcW w:w="1304" w:type="dxa"/>
            <w:vMerge w:val="continue"/>
            <w:tcBorders>
              <w:left w:val="single" w:color="auto" w:sz="4" w:space="0"/>
              <w:right w:val="single" w:color="auto" w:sz="4" w:space="0"/>
            </w:tcBorders>
            <w:vAlign w:val="center"/>
          </w:tcPr>
          <w:p w14:paraId="46C414BC">
            <w:pPr>
              <w:jc w:val="center"/>
              <w:rPr>
                <w:rFonts w:ascii="宋体" w:hAnsi="宋体" w:eastAsia="宋体" w:cs="宋体"/>
                <w:szCs w:val="21"/>
                <w:highlight w:val="none"/>
              </w:rPr>
            </w:pPr>
          </w:p>
        </w:tc>
        <w:tc>
          <w:tcPr>
            <w:tcW w:w="1068" w:type="dxa"/>
            <w:tcBorders>
              <w:top w:val="single" w:color="auto" w:sz="4" w:space="0"/>
              <w:left w:val="single" w:color="auto" w:sz="4" w:space="0"/>
              <w:right w:val="single" w:color="auto" w:sz="4" w:space="0"/>
            </w:tcBorders>
            <w:vAlign w:val="center"/>
          </w:tcPr>
          <w:p w14:paraId="49955F6E">
            <w:pPr>
              <w:jc w:val="center"/>
              <w:rPr>
                <w:rFonts w:ascii="宋体" w:hAnsi="宋体" w:eastAsia="宋体" w:cs="宋体"/>
                <w:szCs w:val="21"/>
                <w:highlight w:val="none"/>
              </w:rPr>
            </w:pPr>
            <w:r>
              <w:rPr>
                <w:rFonts w:hint="eastAsia" w:ascii="宋体" w:hAnsi="宋体" w:eastAsia="宋体" w:cs="宋体"/>
                <w:szCs w:val="21"/>
                <w:highlight w:val="none"/>
              </w:rPr>
              <w:t>样品评审</w:t>
            </w:r>
          </w:p>
        </w:tc>
        <w:tc>
          <w:tcPr>
            <w:tcW w:w="5945" w:type="dxa"/>
            <w:tcBorders>
              <w:top w:val="single" w:color="auto" w:sz="4" w:space="0"/>
              <w:left w:val="single" w:color="auto" w:sz="4" w:space="0"/>
              <w:right w:val="single" w:color="auto" w:sz="4" w:space="0"/>
            </w:tcBorders>
            <w:vAlign w:val="center"/>
          </w:tcPr>
          <w:p w14:paraId="41D1D369">
            <w:pPr>
              <w:jc w:val="left"/>
              <w:rPr>
                <w:rFonts w:ascii="宋体" w:hAnsi="宋体" w:eastAsia="宋体" w:cs="宋体"/>
                <w:szCs w:val="21"/>
                <w:highlight w:val="none"/>
              </w:rPr>
            </w:pPr>
            <w:r>
              <w:rPr>
                <w:rFonts w:hint="eastAsia" w:ascii="宋体" w:hAnsi="宋体" w:eastAsia="宋体" w:cs="宋体"/>
                <w:szCs w:val="21"/>
                <w:highlight w:val="none"/>
              </w:rPr>
              <w:t>评审委员会根据投标人提供的样品质量进行评分：</w:t>
            </w:r>
          </w:p>
          <w:p w14:paraId="511FAAFC">
            <w:pPr>
              <w:jc w:val="left"/>
              <w:rPr>
                <w:rFonts w:ascii="宋体" w:hAnsi="宋体" w:eastAsia="宋体" w:cs="宋体"/>
                <w:szCs w:val="21"/>
                <w:highlight w:val="none"/>
              </w:rPr>
            </w:pPr>
            <w:r>
              <w:rPr>
                <w:rFonts w:hint="eastAsia" w:ascii="宋体" w:hAnsi="宋体" w:eastAsia="宋体" w:cs="宋体"/>
                <w:szCs w:val="21"/>
                <w:highlight w:val="none"/>
              </w:rPr>
              <w:t>（1）样品外观整洁无破损，遮光度很好，毛边处理很好，材料质感很好，轨道加厚，样品整体制作效果很好，得</w:t>
            </w:r>
            <w:r>
              <w:rPr>
                <w:rFonts w:hint="eastAsia" w:ascii="宋体" w:hAnsi="宋体" w:eastAsia="宋体" w:cs="宋体"/>
                <w:szCs w:val="21"/>
                <w:highlight w:val="none"/>
                <w:lang w:val="en-US" w:eastAsia="zh-CN"/>
              </w:rPr>
              <w:t>9</w:t>
            </w:r>
            <w:r>
              <w:rPr>
                <w:rFonts w:hint="eastAsia" w:ascii="宋体" w:hAnsi="宋体" w:eastAsia="宋体" w:cs="宋体"/>
                <w:szCs w:val="21"/>
                <w:highlight w:val="none"/>
              </w:rPr>
              <w:t>分；</w:t>
            </w:r>
          </w:p>
          <w:p w14:paraId="7C69AD61">
            <w:pPr>
              <w:jc w:val="left"/>
              <w:rPr>
                <w:rFonts w:ascii="宋体" w:hAnsi="宋体" w:eastAsia="宋体" w:cs="宋体"/>
                <w:szCs w:val="21"/>
                <w:highlight w:val="none"/>
              </w:rPr>
            </w:pPr>
            <w:r>
              <w:rPr>
                <w:rFonts w:hint="eastAsia" w:ascii="宋体" w:hAnsi="宋体" w:eastAsia="宋体" w:cs="宋体"/>
                <w:szCs w:val="21"/>
                <w:highlight w:val="none"/>
              </w:rPr>
              <w:t>（2）样品外观整洁无破损，遮光度较好，毛边处理较好，材料质感较好，轨道较厚，样品整体制作效果较好，得</w:t>
            </w: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分；</w:t>
            </w:r>
          </w:p>
          <w:p w14:paraId="2785838C">
            <w:pPr>
              <w:jc w:val="left"/>
              <w:rPr>
                <w:rFonts w:ascii="宋体" w:hAnsi="宋体" w:eastAsia="宋体" w:cs="宋体"/>
                <w:szCs w:val="21"/>
                <w:highlight w:val="none"/>
              </w:rPr>
            </w:pPr>
            <w:r>
              <w:rPr>
                <w:rFonts w:hint="eastAsia" w:ascii="宋体" w:hAnsi="宋体" w:eastAsia="宋体" w:cs="宋体"/>
                <w:szCs w:val="21"/>
                <w:highlight w:val="none"/>
              </w:rPr>
              <w:t>（3）样品外观有破损，遮光度差，材料质感差，轨道较薄，样品整体制作效果较差，得</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p w14:paraId="1A78F75C">
            <w:pPr>
              <w:jc w:val="left"/>
              <w:rPr>
                <w:rFonts w:ascii="宋体" w:hAnsi="宋体" w:eastAsia="宋体" w:cs="宋体"/>
                <w:szCs w:val="21"/>
                <w:highlight w:val="none"/>
              </w:rPr>
            </w:pPr>
            <w:r>
              <w:rPr>
                <w:rFonts w:hint="eastAsia" w:ascii="宋体" w:hAnsi="宋体" w:eastAsia="宋体" w:cs="宋体"/>
                <w:szCs w:val="21"/>
                <w:highlight w:val="none"/>
              </w:rPr>
              <w:t>（4）未提供样品或样品提供不齐全，不得分。</w:t>
            </w:r>
          </w:p>
        </w:tc>
        <w:tc>
          <w:tcPr>
            <w:tcW w:w="1093" w:type="dxa"/>
            <w:tcBorders>
              <w:top w:val="single" w:color="auto" w:sz="4" w:space="0"/>
              <w:left w:val="single" w:color="auto" w:sz="4" w:space="0"/>
              <w:bottom w:val="single" w:color="auto" w:sz="4" w:space="0"/>
              <w:right w:val="single" w:color="auto" w:sz="4" w:space="0"/>
            </w:tcBorders>
            <w:vAlign w:val="center"/>
          </w:tcPr>
          <w:p w14:paraId="108FB300">
            <w:pPr>
              <w:jc w:val="center"/>
              <w:rPr>
                <w:rFonts w:ascii="宋体" w:hAnsi="宋体" w:eastAsia="宋体" w:cs="宋体"/>
                <w:szCs w:val="21"/>
                <w:highlight w:val="none"/>
              </w:rPr>
            </w:pPr>
            <w:r>
              <w:rPr>
                <w:rFonts w:hint="eastAsia" w:ascii="宋体" w:hAnsi="宋体" w:eastAsia="宋体" w:cs="宋体"/>
                <w:szCs w:val="21"/>
                <w:highlight w:val="none"/>
              </w:rPr>
              <w:t>0-</w:t>
            </w:r>
            <w:r>
              <w:rPr>
                <w:rFonts w:hint="eastAsia" w:ascii="宋体" w:hAnsi="宋体" w:eastAsia="宋体" w:cs="宋体"/>
                <w:szCs w:val="21"/>
                <w:highlight w:val="none"/>
                <w:lang w:val="en-US" w:eastAsia="zh-CN"/>
              </w:rPr>
              <w:t>9</w:t>
            </w:r>
            <w:r>
              <w:rPr>
                <w:rFonts w:hint="eastAsia" w:ascii="宋体" w:hAnsi="宋体" w:eastAsia="宋体" w:cs="宋体"/>
                <w:szCs w:val="21"/>
                <w:highlight w:val="none"/>
              </w:rPr>
              <w:t>分</w:t>
            </w:r>
          </w:p>
        </w:tc>
      </w:tr>
      <w:tr w14:paraId="26837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1304" w:type="dxa"/>
            <w:tcBorders>
              <w:left w:val="single" w:color="auto" w:sz="4" w:space="0"/>
              <w:right w:val="single" w:color="auto" w:sz="4" w:space="0"/>
            </w:tcBorders>
            <w:vAlign w:val="center"/>
          </w:tcPr>
          <w:p w14:paraId="5EF5D1F4">
            <w:pPr>
              <w:jc w:val="center"/>
              <w:rPr>
                <w:rFonts w:ascii="宋体" w:hAnsi="宋体" w:eastAsia="宋体" w:cs="宋体"/>
                <w:szCs w:val="21"/>
                <w:highlight w:val="none"/>
              </w:rPr>
            </w:pPr>
            <w:r>
              <w:rPr>
                <w:rFonts w:hint="eastAsia" w:ascii="宋体" w:hAnsi="宋体" w:eastAsia="宋体" w:cs="宋体"/>
                <w:szCs w:val="21"/>
                <w:highlight w:val="none"/>
              </w:rPr>
              <w:t>价格分</w:t>
            </w:r>
          </w:p>
          <w:p w14:paraId="516196F6">
            <w:pPr>
              <w:jc w:val="center"/>
              <w:rPr>
                <w:rFonts w:ascii="宋体" w:hAnsi="宋体" w:eastAsia="宋体" w:cs="宋体"/>
                <w:szCs w:val="21"/>
                <w:highlight w:val="none"/>
              </w:rPr>
            </w:pPr>
            <w:r>
              <w:rPr>
                <w:rFonts w:hint="eastAsia" w:ascii="宋体" w:hAnsi="宋体" w:eastAsia="宋体" w:cs="宋体"/>
                <w:szCs w:val="21"/>
                <w:highlight w:val="none"/>
              </w:rPr>
              <w:t>（30分）</w:t>
            </w:r>
          </w:p>
        </w:tc>
        <w:tc>
          <w:tcPr>
            <w:tcW w:w="8106" w:type="dxa"/>
            <w:gridSpan w:val="3"/>
            <w:tcBorders>
              <w:top w:val="single" w:color="auto" w:sz="4" w:space="0"/>
              <w:left w:val="single" w:color="auto" w:sz="4" w:space="0"/>
              <w:bottom w:val="single" w:color="auto" w:sz="4" w:space="0"/>
              <w:right w:val="single" w:color="auto" w:sz="4" w:space="0"/>
            </w:tcBorders>
            <w:vAlign w:val="center"/>
          </w:tcPr>
          <w:p w14:paraId="46032486">
            <w:pPr>
              <w:rPr>
                <w:rFonts w:ascii="宋体" w:hAnsi="宋体" w:eastAsia="宋体" w:cs="宋体"/>
                <w:szCs w:val="21"/>
                <w:highlight w:val="none"/>
              </w:rPr>
            </w:pPr>
            <w:r>
              <w:rPr>
                <w:rFonts w:hint="eastAsia" w:ascii="宋体" w:hAnsi="宋体" w:eastAsia="宋体" w:cs="宋体"/>
                <w:szCs w:val="21"/>
                <w:highlight w:val="none"/>
              </w:rPr>
              <w:t>价格分统一采用低价优先法，即满足招标文件要求且投标价格最低的投标报价为评标基准价，其价格分为满分30分。其他投标人的价格分统一按照下列公式计算：</w:t>
            </w:r>
          </w:p>
          <w:p w14:paraId="19DFEA0F">
            <w:pPr>
              <w:rPr>
                <w:rFonts w:ascii="宋体" w:hAnsi="宋体" w:eastAsia="宋体" w:cs="宋体"/>
                <w:szCs w:val="21"/>
                <w:highlight w:val="none"/>
              </w:rPr>
            </w:pPr>
            <w:r>
              <w:rPr>
                <w:rFonts w:hint="eastAsia" w:ascii="宋体" w:hAnsi="宋体" w:eastAsia="宋体" w:cs="宋体"/>
                <w:szCs w:val="21"/>
                <w:highlight w:val="none"/>
              </w:rPr>
              <w:t>投标报价得分＝（评标基准价/投标报价）×30％×100（保留至小数点后两位）</w:t>
            </w:r>
          </w:p>
          <w:p w14:paraId="6DF11C9C">
            <w:pPr>
              <w:rPr>
                <w:rFonts w:ascii="宋体" w:hAnsi="宋体" w:eastAsia="宋体" w:cs="宋体"/>
                <w:szCs w:val="21"/>
                <w:highlight w:val="none"/>
              </w:rPr>
            </w:pPr>
            <w:r>
              <w:rPr>
                <w:rFonts w:hint="eastAsia" w:ascii="宋体" w:hAnsi="宋体" w:eastAsia="宋体" w:cs="宋体"/>
                <w:szCs w:val="21"/>
                <w:highlight w:val="none"/>
              </w:rPr>
              <w:t>备注：投标报价超过项目预算的，其投标做无效处理。</w:t>
            </w:r>
          </w:p>
        </w:tc>
      </w:tr>
    </w:tbl>
    <w:p w14:paraId="28944A79">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2.3.3分值汇总</w:t>
      </w:r>
    </w:p>
    <w:p w14:paraId="5F26A5D3">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（1）技术资信评分</w:t>
      </w:r>
    </w:p>
    <w:p w14:paraId="70BA7461">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评标委员会各成员应当独立对每个有效投标人的投标文件进行评分，并汇总每个投标人的得分。取各位评委评分之平均值（四舍五入保留至小数点后两位数），得到该投标人的技术资信分。</w:t>
      </w:r>
    </w:p>
    <w:p w14:paraId="63605108">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（2）综合</w:t>
      </w:r>
      <w:bookmarkStart w:id="3" w:name="_GoBack"/>
      <w:bookmarkEnd w:id="3"/>
      <w:r>
        <w:rPr>
          <w:rFonts w:hint="eastAsia" w:ascii="宋体" w:hAnsi="宋体" w:eastAsia="宋体" w:cs="宋体"/>
          <w:sz w:val="24"/>
          <w:highlight w:val="none"/>
        </w:rPr>
        <w:t>总得分</w:t>
      </w:r>
    </w:p>
    <w:p w14:paraId="59E0C06F">
      <w:pPr>
        <w:wordWrap w:val="0"/>
        <w:spacing w:line="440" w:lineRule="exact"/>
        <w:ind w:firstLine="435"/>
        <w:rPr>
          <w:highlight w:val="none"/>
        </w:rPr>
      </w:pPr>
      <w:r>
        <w:rPr>
          <w:rFonts w:hint="eastAsia" w:ascii="宋体" w:hAnsi="宋体" w:eastAsia="宋体" w:cs="宋体"/>
          <w:sz w:val="24"/>
          <w:highlight w:val="none"/>
        </w:rPr>
        <w:t>将投标人的技术资信分加上根据上述标准计算出的价格分，即为该投标人的综合总得分。</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40001"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长城仿宋">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altName w:val="Calibri"/>
    <w:panose1 w:val="020F0302020204030204"/>
    <w:charset w:val="00"/>
    <w:family w:val="swiss"/>
    <w:pitch w:val="default"/>
    <w:sig w:usb0="00000000" w:usb1="00000000" w:usb2="00000000"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F23C7">
    <w:pPr>
      <w:pStyle w:val="16"/>
      <w:jc w:val="both"/>
      <w:rPr>
        <w:rFonts w:ascii="Arial" w:hAnsi="Arial" w:eastAsia="宋体" w:cs="Arial"/>
        <w:b/>
        <w:bCs/>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00685" cy="147955"/>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400685" cy="147955"/>
                      </a:xfrm>
                      <a:prstGeom prst="rect">
                        <a:avLst/>
                      </a:prstGeom>
                      <a:noFill/>
                      <a:ln>
                        <a:noFill/>
                      </a:ln>
                    </wps:spPr>
                    <wps:txbx>
                      <w:txbxContent>
                        <w:p w14:paraId="1DC8A863">
                          <w:pPr>
                            <w:pStyle w:val="16"/>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33</w:t>
                          </w:r>
                          <w:r>
                            <w:rPr>
                              <w:rFonts w:hint="eastAsia" w:ascii="宋体" w:hAnsi="宋体" w:eastAsia="宋体" w:cs="宋体"/>
                            </w:rPr>
                            <w:fldChar w:fldCharType="end"/>
                          </w:r>
                          <w:r>
                            <w:rPr>
                              <w:rFonts w:hint="eastAsia" w:ascii="宋体" w:hAnsi="宋体" w:eastAsia="宋体" w:cs="宋体"/>
                            </w:rPr>
                            <w:t xml:space="preserve"> 页</w:t>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65pt;width:31.55pt;mso-position-horizontal:center;mso-position-horizontal-relative:margin;mso-wrap-style:none;z-index:251659264;mso-width-relative:page;mso-height-relative:page;" filled="f" stroked="f" coordsize="21600,21600" o:gfxdata="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Q6jy0QAAAAMBAAAPAAAAAAAAAAEAIAAAACIAAABkcnMvZG93bnJldi54bWxQSwEC&#10;FAAUAAAACACHTuJAFtCILPsBAAAEBAAADgAAAAAAAAABACAAAAAgAQAAZHJzL2Uyb0RvYy54bWxQ&#10;SwUGAAAAAAYABgBZAQAAjQUAAAAA&#10;">
              <v:fill on="f" focussize="0,0"/>
              <v:stroke on="f"/>
              <v:imagedata o:title=""/>
              <o:lock v:ext="edit" aspectratio="f"/>
              <v:textbox inset="0mm,0mm,0mm,0mm" style="mso-fit-shape-to-text:t;">
                <w:txbxContent>
                  <w:p w14:paraId="1DC8A863">
                    <w:pPr>
                      <w:pStyle w:val="16"/>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33</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B5303">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57835" cy="147955"/>
              <wp:effectExtent l="0" t="0" r="0" b="0"/>
              <wp:wrapNone/>
              <wp:docPr id="2" name="文本框 3"/>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w="6350">
                        <a:noFill/>
                      </a:ln>
                    </wps:spPr>
                    <wps:txbx>
                      <w:txbxContent>
                        <w:p w14:paraId="53FEEEF3">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37</w:t>
                          </w:r>
                          <w:r>
                            <w:rPr>
                              <w:rFonts w:hint="eastAsia" w:ascii="宋体" w:hAnsi="宋体" w:eastAsia="宋体" w:cs="宋体"/>
                              <w:sz w:val="18"/>
                            </w:rPr>
                            <w:fldChar w:fldCharType="end"/>
                          </w:r>
                          <w:r>
                            <w:rPr>
                              <w:rFonts w:hint="eastAsia" w:ascii="宋体" w:hAnsi="宋体" w:eastAsia="宋体" w:cs="宋体"/>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1.65pt;width:36.05pt;mso-position-horizontal:center;mso-position-horizontal-relative:margin;mso-wrap-style:none;z-index:251660288;mso-width-relative:page;mso-height-relative:page;" filled="f" stroked="f" coordsize="21600,21600" o:gfxdata="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l4FrNEAAAADAQAADwAAAAAAAAABACAAAAAiAAAAZHJzL2Rvd25yZXYueG1sUEsBAhQA&#10;FAAAAAgAh07iQIyeuAoyAgAAUwQAAA4AAAAAAAAAAQAgAAAAIAEAAGRycy9lMm9Eb2MueG1sUEsF&#10;BgAAAAAGAAYAWQEAAMQFAAAAAA==&#10;">
              <v:fill on="f" focussize="0,0"/>
              <v:stroke on="f" weight="0.5pt"/>
              <v:imagedata o:title=""/>
              <o:lock v:ext="edit" aspectratio="f"/>
              <v:textbox inset="0mm,0mm,0mm,0mm" style="mso-fit-shape-to-text:t;">
                <w:txbxContent>
                  <w:p w14:paraId="53FEEEF3">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37</w:t>
                    </w:r>
                    <w:r>
                      <w:rPr>
                        <w:rFonts w:hint="eastAsia" w:ascii="宋体" w:hAnsi="宋体" w:eastAsia="宋体" w:cs="宋体"/>
                        <w:sz w:val="18"/>
                      </w:rPr>
                      <w:fldChar w:fldCharType="end"/>
                    </w:r>
                    <w:r>
                      <w:rPr>
                        <w:rFonts w:hint="eastAsia" w:ascii="宋体" w:hAnsi="宋体" w:eastAsia="宋体" w:cs="宋体"/>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DA978">
    <w:pPr>
      <w:pStyle w:val="17"/>
      <w:ind w:left="4500" w:hanging="4500" w:hangingChars="2500"/>
      <w:jc w:val="left"/>
      <w:rPr>
        <w:rFonts w:ascii="宋体" w:hAnsi="宋体" w:eastAsia="宋体"/>
      </w:rPr>
    </w:pPr>
    <w:r>
      <w:rPr>
        <w:rFonts w:hint="eastAsia" w:ascii="宋体" w:hAnsi="宋体" w:eastAsia="宋体"/>
      </w:rPr>
      <w:t>鼎信数智技术集团股份有限公司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ZiMGI1ZTA4NGIxM2EyYmI4NjI4Mzk0YjFlYTk0MzYifQ=="/>
  </w:docVars>
  <w:rsids>
    <w:rsidRoot w:val="00172A27"/>
    <w:rsid w:val="0000043F"/>
    <w:rsid w:val="00002818"/>
    <w:rsid w:val="000049DA"/>
    <w:rsid w:val="000056B7"/>
    <w:rsid w:val="0001074A"/>
    <w:rsid w:val="00011E15"/>
    <w:rsid w:val="00012A13"/>
    <w:rsid w:val="000131F7"/>
    <w:rsid w:val="00016B6C"/>
    <w:rsid w:val="00020B57"/>
    <w:rsid w:val="0002270B"/>
    <w:rsid w:val="000231F5"/>
    <w:rsid w:val="00027713"/>
    <w:rsid w:val="00037DBE"/>
    <w:rsid w:val="00042139"/>
    <w:rsid w:val="00042B14"/>
    <w:rsid w:val="00044F49"/>
    <w:rsid w:val="000450C3"/>
    <w:rsid w:val="00050A3F"/>
    <w:rsid w:val="000530EC"/>
    <w:rsid w:val="000544DE"/>
    <w:rsid w:val="000648D2"/>
    <w:rsid w:val="00064D6C"/>
    <w:rsid w:val="00070E0E"/>
    <w:rsid w:val="0007292E"/>
    <w:rsid w:val="0007666F"/>
    <w:rsid w:val="00076DB7"/>
    <w:rsid w:val="00080FEB"/>
    <w:rsid w:val="00084DC1"/>
    <w:rsid w:val="0008649F"/>
    <w:rsid w:val="000868D6"/>
    <w:rsid w:val="00091FF1"/>
    <w:rsid w:val="000934C9"/>
    <w:rsid w:val="00094D41"/>
    <w:rsid w:val="00097CB9"/>
    <w:rsid w:val="000A4640"/>
    <w:rsid w:val="000A6345"/>
    <w:rsid w:val="000A6693"/>
    <w:rsid w:val="000A6B73"/>
    <w:rsid w:val="000A777C"/>
    <w:rsid w:val="000A7D94"/>
    <w:rsid w:val="000B1511"/>
    <w:rsid w:val="000B54F4"/>
    <w:rsid w:val="000C1DB1"/>
    <w:rsid w:val="000D1368"/>
    <w:rsid w:val="000D38C4"/>
    <w:rsid w:val="000D39BB"/>
    <w:rsid w:val="000D3F37"/>
    <w:rsid w:val="000D6F42"/>
    <w:rsid w:val="000D7BC3"/>
    <w:rsid w:val="000E3C74"/>
    <w:rsid w:val="000E3F9B"/>
    <w:rsid w:val="000E6689"/>
    <w:rsid w:val="000E7B2C"/>
    <w:rsid w:val="000F014C"/>
    <w:rsid w:val="000F172B"/>
    <w:rsid w:val="000F2198"/>
    <w:rsid w:val="000F27EE"/>
    <w:rsid w:val="000F39B6"/>
    <w:rsid w:val="000F6B7B"/>
    <w:rsid w:val="000F7386"/>
    <w:rsid w:val="00100B0F"/>
    <w:rsid w:val="0010187C"/>
    <w:rsid w:val="001037E3"/>
    <w:rsid w:val="00103C37"/>
    <w:rsid w:val="00104595"/>
    <w:rsid w:val="00105887"/>
    <w:rsid w:val="00110911"/>
    <w:rsid w:val="00112B58"/>
    <w:rsid w:val="00116A70"/>
    <w:rsid w:val="0012143A"/>
    <w:rsid w:val="001222C6"/>
    <w:rsid w:val="001363BB"/>
    <w:rsid w:val="00136D80"/>
    <w:rsid w:val="00137C00"/>
    <w:rsid w:val="00137C7C"/>
    <w:rsid w:val="00140687"/>
    <w:rsid w:val="00141707"/>
    <w:rsid w:val="001423ED"/>
    <w:rsid w:val="00142685"/>
    <w:rsid w:val="00146421"/>
    <w:rsid w:val="001479CF"/>
    <w:rsid w:val="00147C18"/>
    <w:rsid w:val="00147EB8"/>
    <w:rsid w:val="00155F64"/>
    <w:rsid w:val="001562EB"/>
    <w:rsid w:val="00157856"/>
    <w:rsid w:val="00160719"/>
    <w:rsid w:val="00160729"/>
    <w:rsid w:val="00160D83"/>
    <w:rsid w:val="0016443C"/>
    <w:rsid w:val="001644D1"/>
    <w:rsid w:val="00166ED8"/>
    <w:rsid w:val="00170C62"/>
    <w:rsid w:val="001714C9"/>
    <w:rsid w:val="00172A27"/>
    <w:rsid w:val="001751E5"/>
    <w:rsid w:val="0018119B"/>
    <w:rsid w:val="001826D0"/>
    <w:rsid w:val="001828CE"/>
    <w:rsid w:val="00182C20"/>
    <w:rsid w:val="00183897"/>
    <w:rsid w:val="001844AB"/>
    <w:rsid w:val="00190F1F"/>
    <w:rsid w:val="001944B8"/>
    <w:rsid w:val="00196DA3"/>
    <w:rsid w:val="00197AC4"/>
    <w:rsid w:val="001A0873"/>
    <w:rsid w:val="001A5D34"/>
    <w:rsid w:val="001A68E5"/>
    <w:rsid w:val="001B00E1"/>
    <w:rsid w:val="001B1997"/>
    <w:rsid w:val="001B21DF"/>
    <w:rsid w:val="001B2A54"/>
    <w:rsid w:val="001B5014"/>
    <w:rsid w:val="001B6D61"/>
    <w:rsid w:val="001B7327"/>
    <w:rsid w:val="001C67F2"/>
    <w:rsid w:val="001C7414"/>
    <w:rsid w:val="001C7780"/>
    <w:rsid w:val="001D3409"/>
    <w:rsid w:val="001D53B4"/>
    <w:rsid w:val="001D6740"/>
    <w:rsid w:val="001D7626"/>
    <w:rsid w:val="001E5383"/>
    <w:rsid w:val="001F0268"/>
    <w:rsid w:val="001F28D2"/>
    <w:rsid w:val="001F2F45"/>
    <w:rsid w:val="001F3023"/>
    <w:rsid w:val="001F35F6"/>
    <w:rsid w:val="001F3FB7"/>
    <w:rsid w:val="001F59EB"/>
    <w:rsid w:val="001F74CA"/>
    <w:rsid w:val="002003B6"/>
    <w:rsid w:val="00200A3C"/>
    <w:rsid w:val="00204022"/>
    <w:rsid w:val="002049B4"/>
    <w:rsid w:val="00204B5D"/>
    <w:rsid w:val="0020520B"/>
    <w:rsid w:val="00213C55"/>
    <w:rsid w:val="002163CF"/>
    <w:rsid w:val="0021678B"/>
    <w:rsid w:val="002168C4"/>
    <w:rsid w:val="002178B1"/>
    <w:rsid w:val="00222242"/>
    <w:rsid w:val="00223CF4"/>
    <w:rsid w:val="00224C4A"/>
    <w:rsid w:val="0022769B"/>
    <w:rsid w:val="00232F61"/>
    <w:rsid w:val="0023407E"/>
    <w:rsid w:val="00236F8C"/>
    <w:rsid w:val="00240B40"/>
    <w:rsid w:val="002440D8"/>
    <w:rsid w:val="00244182"/>
    <w:rsid w:val="0024517A"/>
    <w:rsid w:val="0024546E"/>
    <w:rsid w:val="00247222"/>
    <w:rsid w:val="00260B94"/>
    <w:rsid w:val="0026362D"/>
    <w:rsid w:val="00264F2E"/>
    <w:rsid w:val="00265747"/>
    <w:rsid w:val="00271245"/>
    <w:rsid w:val="00272E6E"/>
    <w:rsid w:val="00274A9E"/>
    <w:rsid w:val="00275DCD"/>
    <w:rsid w:val="00276292"/>
    <w:rsid w:val="00276BA1"/>
    <w:rsid w:val="00277094"/>
    <w:rsid w:val="002A0C9D"/>
    <w:rsid w:val="002A1A1D"/>
    <w:rsid w:val="002A28AD"/>
    <w:rsid w:val="002A3AEE"/>
    <w:rsid w:val="002B139F"/>
    <w:rsid w:val="002B2F5A"/>
    <w:rsid w:val="002B5318"/>
    <w:rsid w:val="002B6D27"/>
    <w:rsid w:val="002C4BA9"/>
    <w:rsid w:val="002C5968"/>
    <w:rsid w:val="002D1258"/>
    <w:rsid w:val="002D2965"/>
    <w:rsid w:val="002D3D02"/>
    <w:rsid w:val="002D4CB5"/>
    <w:rsid w:val="002D5712"/>
    <w:rsid w:val="002D684B"/>
    <w:rsid w:val="002E24F4"/>
    <w:rsid w:val="002E3B26"/>
    <w:rsid w:val="002E4AB8"/>
    <w:rsid w:val="002F092B"/>
    <w:rsid w:val="002F24DF"/>
    <w:rsid w:val="00300808"/>
    <w:rsid w:val="00307A22"/>
    <w:rsid w:val="00310070"/>
    <w:rsid w:val="003110EC"/>
    <w:rsid w:val="003149DA"/>
    <w:rsid w:val="00317E5D"/>
    <w:rsid w:val="00327C92"/>
    <w:rsid w:val="003322E9"/>
    <w:rsid w:val="00332ACD"/>
    <w:rsid w:val="00333292"/>
    <w:rsid w:val="0033368A"/>
    <w:rsid w:val="003344E7"/>
    <w:rsid w:val="0033580B"/>
    <w:rsid w:val="0033628B"/>
    <w:rsid w:val="003365E7"/>
    <w:rsid w:val="003378D5"/>
    <w:rsid w:val="00343561"/>
    <w:rsid w:val="0034366A"/>
    <w:rsid w:val="003442BD"/>
    <w:rsid w:val="003447AE"/>
    <w:rsid w:val="003473D7"/>
    <w:rsid w:val="00351AC8"/>
    <w:rsid w:val="00353075"/>
    <w:rsid w:val="00363E02"/>
    <w:rsid w:val="00364A1E"/>
    <w:rsid w:val="00373A96"/>
    <w:rsid w:val="003826C2"/>
    <w:rsid w:val="00383728"/>
    <w:rsid w:val="00387B27"/>
    <w:rsid w:val="00391586"/>
    <w:rsid w:val="00394128"/>
    <w:rsid w:val="003947A4"/>
    <w:rsid w:val="00395235"/>
    <w:rsid w:val="0039561A"/>
    <w:rsid w:val="00397C7D"/>
    <w:rsid w:val="003A004F"/>
    <w:rsid w:val="003A21A4"/>
    <w:rsid w:val="003A59B7"/>
    <w:rsid w:val="003B0B8E"/>
    <w:rsid w:val="003B1872"/>
    <w:rsid w:val="003B4130"/>
    <w:rsid w:val="003B67D3"/>
    <w:rsid w:val="003B715B"/>
    <w:rsid w:val="003C0237"/>
    <w:rsid w:val="003D19E1"/>
    <w:rsid w:val="003D1D14"/>
    <w:rsid w:val="003D406C"/>
    <w:rsid w:val="003D6C7C"/>
    <w:rsid w:val="003D6EFB"/>
    <w:rsid w:val="003D7472"/>
    <w:rsid w:val="003D7E52"/>
    <w:rsid w:val="003E2010"/>
    <w:rsid w:val="003E25C6"/>
    <w:rsid w:val="003F10D8"/>
    <w:rsid w:val="003F145B"/>
    <w:rsid w:val="003F721F"/>
    <w:rsid w:val="004011AA"/>
    <w:rsid w:val="00401546"/>
    <w:rsid w:val="0040202C"/>
    <w:rsid w:val="00406508"/>
    <w:rsid w:val="004075D3"/>
    <w:rsid w:val="004139ED"/>
    <w:rsid w:val="0041456E"/>
    <w:rsid w:val="00414761"/>
    <w:rsid w:val="00414F7E"/>
    <w:rsid w:val="004163C4"/>
    <w:rsid w:val="004164F8"/>
    <w:rsid w:val="00420B7F"/>
    <w:rsid w:val="00421CA2"/>
    <w:rsid w:val="00422AAC"/>
    <w:rsid w:val="00430530"/>
    <w:rsid w:val="00432287"/>
    <w:rsid w:val="00433D72"/>
    <w:rsid w:val="004427B7"/>
    <w:rsid w:val="00442A3D"/>
    <w:rsid w:val="0044349F"/>
    <w:rsid w:val="00445F1F"/>
    <w:rsid w:val="00451F60"/>
    <w:rsid w:val="00452BB2"/>
    <w:rsid w:val="00454EFC"/>
    <w:rsid w:val="0045656D"/>
    <w:rsid w:val="00457087"/>
    <w:rsid w:val="00462B44"/>
    <w:rsid w:val="00462D98"/>
    <w:rsid w:val="00463699"/>
    <w:rsid w:val="00471F7A"/>
    <w:rsid w:val="0047287D"/>
    <w:rsid w:val="00472A44"/>
    <w:rsid w:val="00473A89"/>
    <w:rsid w:val="00474083"/>
    <w:rsid w:val="0047419F"/>
    <w:rsid w:val="004743C0"/>
    <w:rsid w:val="00475316"/>
    <w:rsid w:val="00475899"/>
    <w:rsid w:val="00482C78"/>
    <w:rsid w:val="004874AE"/>
    <w:rsid w:val="00492F27"/>
    <w:rsid w:val="004945B4"/>
    <w:rsid w:val="00494D24"/>
    <w:rsid w:val="004951D1"/>
    <w:rsid w:val="004A27D0"/>
    <w:rsid w:val="004A4D67"/>
    <w:rsid w:val="004B2811"/>
    <w:rsid w:val="004B2D4C"/>
    <w:rsid w:val="004C36E8"/>
    <w:rsid w:val="004D0FCB"/>
    <w:rsid w:val="004D3D4B"/>
    <w:rsid w:val="004D5498"/>
    <w:rsid w:val="004D66A5"/>
    <w:rsid w:val="004D6B00"/>
    <w:rsid w:val="004E1D50"/>
    <w:rsid w:val="004E2FA7"/>
    <w:rsid w:val="004F0396"/>
    <w:rsid w:val="004F115C"/>
    <w:rsid w:val="004F30FA"/>
    <w:rsid w:val="00500136"/>
    <w:rsid w:val="005003A4"/>
    <w:rsid w:val="00501382"/>
    <w:rsid w:val="0050265F"/>
    <w:rsid w:val="005054B9"/>
    <w:rsid w:val="00506E4F"/>
    <w:rsid w:val="00510798"/>
    <w:rsid w:val="00515F12"/>
    <w:rsid w:val="0052202B"/>
    <w:rsid w:val="00524A11"/>
    <w:rsid w:val="00526424"/>
    <w:rsid w:val="00527768"/>
    <w:rsid w:val="005301F1"/>
    <w:rsid w:val="005327FB"/>
    <w:rsid w:val="0053374F"/>
    <w:rsid w:val="00533FCA"/>
    <w:rsid w:val="00542D8F"/>
    <w:rsid w:val="00543C03"/>
    <w:rsid w:val="00544066"/>
    <w:rsid w:val="00546D49"/>
    <w:rsid w:val="005616B5"/>
    <w:rsid w:val="005664AB"/>
    <w:rsid w:val="00582075"/>
    <w:rsid w:val="00585EB3"/>
    <w:rsid w:val="0058703D"/>
    <w:rsid w:val="0059239F"/>
    <w:rsid w:val="00592509"/>
    <w:rsid w:val="00597B15"/>
    <w:rsid w:val="005A044C"/>
    <w:rsid w:val="005A0CF1"/>
    <w:rsid w:val="005A7818"/>
    <w:rsid w:val="005B5C95"/>
    <w:rsid w:val="005B7D26"/>
    <w:rsid w:val="005D0200"/>
    <w:rsid w:val="005D3870"/>
    <w:rsid w:val="005D44EF"/>
    <w:rsid w:val="005D4814"/>
    <w:rsid w:val="005D5112"/>
    <w:rsid w:val="005E241C"/>
    <w:rsid w:val="005F3914"/>
    <w:rsid w:val="005F3B5A"/>
    <w:rsid w:val="005F6AB4"/>
    <w:rsid w:val="00610A66"/>
    <w:rsid w:val="00613177"/>
    <w:rsid w:val="00613F7C"/>
    <w:rsid w:val="0061412D"/>
    <w:rsid w:val="00614BF2"/>
    <w:rsid w:val="006208CB"/>
    <w:rsid w:val="00623DE2"/>
    <w:rsid w:val="00627601"/>
    <w:rsid w:val="006300D0"/>
    <w:rsid w:val="00630771"/>
    <w:rsid w:val="00632012"/>
    <w:rsid w:val="006332B1"/>
    <w:rsid w:val="00634694"/>
    <w:rsid w:val="00634818"/>
    <w:rsid w:val="00635F9D"/>
    <w:rsid w:val="00636517"/>
    <w:rsid w:val="00637690"/>
    <w:rsid w:val="0064049F"/>
    <w:rsid w:val="00640E1E"/>
    <w:rsid w:val="0064389A"/>
    <w:rsid w:val="00645442"/>
    <w:rsid w:val="006525CD"/>
    <w:rsid w:val="00653F7F"/>
    <w:rsid w:val="00654280"/>
    <w:rsid w:val="00655F9D"/>
    <w:rsid w:val="006609F5"/>
    <w:rsid w:val="00662EE8"/>
    <w:rsid w:val="006630A4"/>
    <w:rsid w:val="00663813"/>
    <w:rsid w:val="00663C3B"/>
    <w:rsid w:val="00664AFD"/>
    <w:rsid w:val="00667567"/>
    <w:rsid w:val="006706CC"/>
    <w:rsid w:val="00671603"/>
    <w:rsid w:val="0067391A"/>
    <w:rsid w:val="00674173"/>
    <w:rsid w:val="0067535A"/>
    <w:rsid w:val="0067573D"/>
    <w:rsid w:val="0068207B"/>
    <w:rsid w:val="00683CA0"/>
    <w:rsid w:val="006905D9"/>
    <w:rsid w:val="00690DB1"/>
    <w:rsid w:val="00691A5D"/>
    <w:rsid w:val="00693404"/>
    <w:rsid w:val="006937A0"/>
    <w:rsid w:val="006953D9"/>
    <w:rsid w:val="006A1AA2"/>
    <w:rsid w:val="006B1242"/>
    <w:rsid w:val="006B1DBC"/>
    <w:rsid w:val="006B63B7"/>
    <w:rsid w:val="006B7D9A"/>
    <w:rsid w:val="006C06D9"/>
    <w:rsid w:val="006C2B83"/>
    <w:rsid w:val="006C5716"/>
    <w:rsid w:val="006C74A9"/>
    <w:rsid w:val="006D07DE"/>
    <w:rsid w:val="006D394E"/>
    <w:rsid w:val="006D69C5"/>
    <w:rsid w:val="006E06D9"/>
    <w:rsid w:val="006E1D40"/>
    <w:rsid w:val="006E2E1F"/>
    <w:rsid w:val="006F4326"/>
    <w:rsid w:val="006F5FFF"/>
    <w:rsid w:val="006F6E33"/>
    <w:rsid w:val="006F7AF3"/>
    <w:rsid w:val="007054AA"/>
    <w:rsid w:val="00705637"/>
    <w:rsid w:val="00707B8C"/>
    <w:rsid w:val="0071062C"/>
    <w:rsid w:val="00710804"/>
    <w:rsid w:val="00711FC6"/>
    <w:rsid w:val="007130B1"/>
    <w:rsid w:val="00714FCD"/>
    <w:rsid w:val="00715071"/>
    <w:rsid w:val="007161BD"/>
    <w:rsid w:val="007200D3"/>
    <w:rsid w:val="007202D5"/>
    <w:rsid w:val="007231E9"/>
    <w:rsid w:val="00727C59"/>
    <w:rsid w:val="00734E5D"/>
    <w:rsid w:val="00736013"/>
    <w:rsid w:val="00737661"/>
    <w:rsid w:val="00741BD0"/>
    <w:rsid w:val="00746744"/>
    <w:rsid w:val="00750594"/>
    <w:rsid w:val="00753938"/>
    <w:rsid w:val="00755D75"/>
    <w:rsid w:val="00756245"/>
    <w:rsid w:val="00761662"/>
    <w:rsid w:val="00764043"/>
    <w:rsid w:val="00775222"/>
    <w:rsid w:val="007757CF"/>
    <w:rsid w:val="00776FFC"/>
    <w:rsid w:val="007770AF"/>
    <w:rsid w:val="0078128F"/>
    <w:rsid w:val="00781C94"/>
    <w:rsid w:val="00782083"/>
    <w:rsid w:val="00782327"/>
    <w:rsid w:val="0078683C"/>
    <w:rsid w:val="00790EDB"/>
    <w:rsid w:val="00791538"/>
    <w:rsid w:val="0079326E"/>
    <w:rsid w:val="00796EDE"/>
    <w:rsid w:val="007A1ED5"/>
    <w:rsid w:val="007A27A9"/>
    <w:rsid w:val="007A5A58"/>
    <w:rsid w:val="007A6740"/>
    <w:rsid w:val="007B1C56"/>
    <w:rsid w:val="007B1C62"/>
    <w:rsid w:val="007B2A00"/>
    <w:rsid w:val="007B4996"/>
    <w:rsid w:val="007C3CD5"/>
    <w:rsid w:val="007C61EF"/>
    <w:rsid w:val="007C68ED"/>
    <w:rsid w:val="007D000A"/>
    <w:rsid w:val="007D040D"/>
    <w:rsid w:val="007D1C0D"/>
    <w:rsid w:val="007D2D23"/>
    <w:rsid w:val="007E27D6"/>
    <w:rsid w:val="007E353E"/>
    <w:rsid w:val="007E3921"/>
    <w:rsid w:val="007E7FC4"/>
    <w:rsid w:val="00801028"/>
    <w:rsid w:val="00803793"/>
    <w:rsid w:val="008047E9"/>
    <w:rsid w:val="008149FD"/>
    <w:rsid w:val="00817A01"/>
    <w:rsid w:val="00822ADF"/>
    <w:rsid w:val="00825E35"/>
    <w:rsid w:val="008334F8"/>
    <w:rsid w:val="008341AA"/>
    <w:rsid w:val="00835B7A"/>
    <w:rsid w:val="00835D8E"/>
    <w:rsid w:val="008374A0"/>
    <w:rsid w:val="00841A53"/>
    <w:rsid w:val="008442D3"/>
    <w:rsid w:val="00844D03"/>
    <w:rsid w:val="00845CE9"/>
    <w:rsid w:val="00847B0F"/>
    <w:rsid w:val="00851E11"/>
    <w:rsid w:val="00852111"/>
    <w:rsid w:val="008630B0"/>
    <w:rsid w:val="00867411"/>
    <w:rsid w:val="0086781A"/>
    <w:rsid w:val="008727DB"/>
    <w:rsid w:val="00876659"/>
    <w:rsid w:val="0087734C"/>
    <w:rsid w:val="00882141"/>
    <w:rsid w:val="00883012"/>
    <w:rsid w:val="00883667"/>
    <w:rsid w:val="00883F5E"/>
    <w:rsid w:val="008922A8"/>
    <w:rsid w:val="00895BD5"/>
    <w:rsid w:val="008A16C4"/>
    <w:rsid w:val="008A6FED"/>
    <w:rsid w:val="008B39C5"/>
    <w:rsid w:val="008B51AA"/>
    <w:rsid w:val="008C4577"/>
    <w:rsid w:val="008C67F2"/>
    <w:rsid w:val="008D064A"/>
    <w:rsid w:val="008D2B0F"/>
    <w:rsid w:val="008D7986"/>
    <w:rsid w:val="008E3265"/>
    <w:rsid w:val="008E449E"/>
    <w:rsid w:val="008F187F"/>
    <w:rsid w:val="008F402F"/>
    <w:rsid w:val="008F5022"/>
    <w:rsid w:val="008F55FA"/>
    <w:rsid w:val="008F76E8"/>
    <w:rsid w:val="008F7CD0"/>
    <w:rsid w:val="00902902"/>
    <w:rsid w:val="009078A1"/>
    <w:rsid w:val="00911E9C"/>
    <w:rsid w:val="00915083"/>
    <w:rsid w:val="00917405"/>
    <w:rsid w:val="00920F7C"/>
    <w:rsid w:val="009224DA"/>
    <w:rsid w:val="009340E2"/>
    <w:rsid w:val="00934CAE"/>
    <w:rsid w:val="0094257D"/>
    <w:rsid w:val="00942F60"/>
    <w:rsid w:val="0095467C"/>
    <w:rsid w:val="00954A61"/>
    <w:rsid w:val="00955C6F"/>
    <w:rsid w:val="009573AC"/>
    <w:rsid w:val="00963FCE"/>
    <w:rsid w:val="00966C7B"/>
    <w:rsid w:val="009701DC"/>
    <w:rsid w:val="009715D8"/>
    <w:rsid w:val="009733C7"/>
    <w:rsid w:val="00974FD8"/>
    <w:rsid w:val="00983350"/>
    <w:rsid w:val="00985C4B"/>
    <w:rsid w:val="009878B9"/>
    <w:rsid w:val="00995BF9"/>
    <w:rsid w:val="009A0CAF"/>
    <w:rsid w:val="009A0D43"/>
    <w:rsid w:val="009A1474"/>
    <w:rsid w:val="009A2207"/>
    <w:rsid w:val="009B3A5D"/>
    <w:rsid w:val="009B5CB7"/>
    <w:rsid w:val="009B6C42"/>
    <w:rsid w:val="009C528B"/>
    <w:rsid w:val="009D25F7"/>
    <w:rsid w:val="009D31F7"/>
    <w:rsid w:val="009D32C2"/>
    <w:rsid w:val="009D4D81"/>
    <w:rsid w:val="009D50DB"/>
    <w:rsid w:val="009E3A0A"/>
    <w:rsid w:val="009F3E91"/>
    <w:rsid w:val="009F4442"/>
    <w:rsid w:val="009F5CAD"/>
    <w:rsid w:val="009F65A8"/>
    <w:rsid w:val="009F6CE7"/>
    <w:rsid w:val="00A02E38"/>
    <w:rsid w:val="00A06ACD"/>
    <w:rsid w:val="00A1225F"/>
    <w:rsid w:val="00A1499B"/>
    <w:rsid w:val="00A159D6"/>
    <w:rsid w:val="00A168B4"/>
    <w:rsid w:val="00A16DA7"/>
    <w:rsid w:val="00A20879"/>
    <w:rsid w:val="00A27CE5"/>
    <w:rsid w:val="00A314C2"/>
    <w:rsid w:val="00A33946"/>
    <w:rsid w:val="00A53155"/>
    <w:rsid w:val="00A555D9"/>
    <w:rsid w:val="00A55870"/>
    <w:rsid w:val="00A61088"/>
    <w:rsid w:val="00A63E86"/>
    <w:rsid w:val="00A65A1C"/>
    <w:rsid w:val="00A757C3"/>
    <w:rsid w:val="00A75E5B"/>
    <w:rsid w:val="00A7684A"/>
    <w:rsid w:val="00A80993"/>
    <w:rsid w:val="00A82AED"/>
    <w:rsid w:val="00A8313C"/>
    <w:rsid w:val="00A83B69"/>
    <w:rsid w:val="00A86533"/>
    <w:rsid w:val="00A9176A"/>
    <w:rsid w:val="00A91CA2"/>
    <w:rsid w:val="00A92FB8"/>
    <w:rsid w:val="00A948F1"/>
    <w:rsid w:val="00A97042"/>
    <w:rsid w:val="00AA1D7D"/>
    <w:rsid w:val="00AB139D"/>
    <w:rsid w:val="00AB2C46"/>
    <w:rsid w:val="00AB3EFB"/>
    <w:rsid w:val="00AC010B"/>
    <w:rsid w:val="00AC0B05"/>
    <w:rsid w:val="00AD079A"/>
    <w:rsid w:val="00AD1890"/>
    <w:rsid w:val="00AD3F94"/>
    <w:rsid w:val="00AD6D19"/>
    <w:rsid w:val="00AE2149"/>
    <w:rsid w:val="00AE33AE"/>
    <w:rsid w:val="00AE3785"/>
    <w:rsid w:val="00AE3F91"/>
    <w:rsid w:val="00AE452F"/>
    <w:rsid w:val="00AE76E6"/>
    <w:rsid w:val="00AF07BC"/>
    <w:rsid w:val="00AF27BD"/>
    <w:rsid w:val="00AF3BEE"/>
    <w:rsid w:val="00AF5706"/>
    <w:rsid w:val="00AF609D"/>
    <w:rsid w:val="00AF76AC"/>
    <w:rsid w:val="00B039E3"/>
    <w:rsid w:val="00B043C1"/>
    <w:rsid w:val="00B112DC"/>
    <w:rsid w:val="00B16F07"/>
    <w:rsid w:val="00B22838"/>
    <w:rsid w:val="00B25D07"/>
    <w:rsid w:val="00B31CE4"/>
    <w:rsid w:val="00B32BC1"/>
    <w:rsid w:val="00B3355B"/>
    <w:rsid w:val="00B33E95"/>
    <w:rsid w:val="00B3720B"/>
    <w:rsid w:val="00B40EE3"/>
    <w:rsid w:val="00B418E8"/>
    <w:rsid w:val="00B436F2"/>
    <w:rsid w:val="00B45A00"/>
    <w:rsid w:val="00B55271"/>
    <w:rsid w:val="00B5558A"/>
    <w:rsid w:val="00B56513"/>
    <w:rsid w:val="00B56B2E"/>
    <w:rsid w:val="00B64376"/>
    <w:rsid w:val="00B7401F"/>
    <w:rsid w:val="00B806C3"/>
    <w:rsid w:val="00B80A08"/>
    <w:rsid w:val="00B80B59"/>
    <w:rsid w:val="00B844CB"/>
    <w:rsid w:val="00B84FCA"/>
    <w:rsid w:val="00B9089F"/>
    <w:rsid w:val="00B91AEE"/>
    <w:rsid w:val="00B94AED"/>
    <w:rsid w:val="00B95F5A"/>
    <w:rsid w:val="00B963CA"/>
    <w:rsid w:val="00B96EAD"/>
    <w:rsid w:val="00BA6015"/>
    <w:rsid w:val="00BA79F5"/>
    <w:rsid w:val="00BB02E8"/>
    <w:rsid w:val="00BB2CA7"/>
    <w:rsid w:val="00BB3AB6"/>
    <w:rsid w:val="00BB766D"/>
    <w:rsid w:val="00BC007B"/>
    <w:rsid w:val="00BC26BA"/>
    <w:rsid w:val="00BC35F8"/>
    <w:rsid w:val="00BC5A08"/>
    <w:rsid w:val="00BD3944"/>
    <w:rsid w:val="00BD40E7"/>
    <w:rsid w:val="00BD7BDF"/>
    <w:rsid w:val="00BE0C26"/>
    <w:rsid w:val="00BE57CE"/>
    <w:rsid w:val="00BE7C84"/>
    <w:rsid w:val="00BF376F"/>
    <w:rsid w:val="00BF46A6"/>
    <w:rsid w:val="00BF62CF"/>
    <w:rsid w:val="00BF6329"/>
    <w:rsid w:val="00BF73D6"/>
    <w:rsid w:val="00C01623"/>
    <w:rsid w:val="00C06545"/>
    <w:rsid w:val="00C1161C"/>
    <w:rsid w:val="00C13C13"/>
    <w:rsid w:val="00C20371"/>
    <w:rsid w:val="00C220FC"/>
    <w:rsid w:val="00C23208"/>
    <w:rsid w:val="00C24DFA"/>
    <w:rsid w:val="00C4202A"/>
    <w:rsid w:val="00C46A36"/>
    <w:rsid w:val="00C46C5C"/>
    <w:rsid w:val="00C47037"/>
    <w:rsid w:val="00C53625"/>
    <w:rsid w:val="00C55BCA"/>
    <w:rsid w:val="00C602C1"/>
    <w:rsid w:val="00C63EA5"/>
    <w:rsid w:val="00C63FC0"/>
    <w:rsid w:val="00C65BFE"/>
    <w:rsid w:val="00C66392"/>
    <w:rsid w:val="00C74C5E"/>
    <w:rsid w:val="00C827A2"/>
    <w:rsid w:val="00C82B69"/>
    <w:rsid w:val="00C843BF"/>
    <w:rsid w:val="00C91B28"/>
    <w:rsid w:val="00C91F3A"/>
    <w:rsid w:val="00CA06E3"/>
    <w:rsid w:val="00CA37EB"/>
    <w:rsid w:val="00CA7D11"/>
    <w:rsid w:val="00CB0BD3"/>
    <w:rsid w:val="00CB5797"/>
    <w:rsid w:val="00CC1202"/>
    <w:rsid w:val="00CD09E1"/>
    <w:rsid w:val="00CD6202"/>
    <w:rsid w:val="00CE2486"/>
    <w:rsid w:val="00CE4913"/>
    <w:rsid w:val="00CE66BD"/>
    <w:rsid w:val="00CF0671"/>
    <w:rsid w:val="00CF07F1"/>
    <w:rsid w:val="00CF15B3"/>
    <w:rsid w:val="00CF2038"/>
    <w:rsid w:val="00CF44AD"/>
    <w:rsid w:val="00CF4FC0"/>
    <w:rsid w:val="00D05ED2"/>
    <w:rsid w:val="00D103DB"/>
    <w:rsid w:val="00D1072F"/>
    <w:rsid w:val="00D108A5"/>
    <w:rsid w:val="00D11DAC"/>
    <w:rsid w:val="00D14585"/>
    <w:rsid w:val="00D20EFF"/>
    <w:rsid w:val="00D30FC0"/>
    <w:rsid w:val="00D31EEA"/>
    <w:rsid w:val="00D34F0D"/>
    <w:rsid w:val="00D3516E"/>
    <w:rsid w:val="00D374FA"/>
    <w:rsid w:val="00D375F6"/>
    <w:rsid w:val="00D4064C"/>
    <w:rsid w:val="00D409F6"/>
    <w:rsid w:val="00D4457C"/>
    <w:rsid w:val="00D465F8"/>
    <w:rsid w:val="00D53ED8"/>
    <w:rsid w:val="00D5400E"/>
    <w:rsid w:val="00D60338"/>
    <w:rsid w:val="00D64857"/>
    <w:rsid w:val="00D6493A"/>
    <w:rsid w:val="00D67875"/>
    <w:rsid w:val="00D71CBD"/>
    <w:rsid w:val="00D71E86"/>
    <w:rsid w:val="00D731C6"/>
    <w:rsid w:val="00D745C5"/>
    <w:rsid w:val="00D75327"/>
    <w:rsid w:val="00D80C36"/>
    <w:rsid w:val="00D86779"/>
    <w:rsid w:val="00D86EE1"/>
    <w:rsid w:val="00D942FE"/>
    <w:rsid w:val="00D96126"/>
    <w:rsid w:val="00D96BD2"/>
    <w:rsid w:val="00DA10C6"/>
    <w:rsid w:val="00DA3822"/>
    <w:rsid w:val="00DB15E4"/>
    <w:rsid w:val="00DB4B1C"/>
    <w:rsid w:val="00DB5085"/>
    <w:rsid w:val="00DB7706"/>
    <w:rsid w:val="00DC0AC5"/>
    <w:rsid w:val="00DC1062"/>
    <w:rsid w:val="00DC132C"/>
    <w:rsid w:val="00DC1739"/>
    <w:rsid w:val="00DC2A4F"/>
    <w:rsid w:val="00DD36A6"/>
    <w:rsid w:val="00DD43F0"/>
    <w:rsid w:val="00DD44DE"/>
    <w:rsid w:val="00DE09AB"/>
    <w:rsid w:val="00DE4A3F"/>
    <w:rsid w:val="00DE5639"/>
    <w:rsid w:val="00DF0AB6"/>
    <w:rsid w:val="00DF4367"/>
    <w:rsid w:val="00DF6C1D"/>
    <w:rsid w:val="00E010BE"/>
    <w:rsid w:val="00E0574A"/>
    <w:rsid w:val="00E1243D"/>
    <w:rsid w:val="00E12742"/>
    <w:rsid w:val="00E146D4"/>
    <w:rsid w:val="00E20976"/>
    <w:rsid w:val="00E22063"/>
    <w:rsid w:val="00E22B44"/>
    <w:rsid w:val="00E255FE"/>
    <w:rsid w:val="00E30ACD"/>
    <w:rsid w:val="00E32735"/>
    <w:rsid w:val="00E337E9"/>
    <w:rsid w:val="00E4205C"/>
    <w:rsid w:val="00E42A29"/>
    <w:rsid w:val="00E42D45"/>
    <w:rsid w:val="00E5391D"/>
    <w:rsid w:val="00E66E36"/>
    <w:rsid w:val="00E702ED"/>
    <w:rsid w:val="00E709A4"/>
    <w:rsid w:val="00E73822"/>
    <w:rsid w:val="00E772DB"/>
    <w:rsid w:val="00E81230"/>
    <w:rsid w:val="00E86012"/>
    <w:rsid w:val="00E86BAB"/>
    <w:rsid w:val="00E91749"/>
    <w:rsid w:val="00E94E10"/>
    <w:rsid w:val="00E954BD"/>
    <w:rsid w:val="00E96743"/>
    <w:rsid w:val="00E96A42"/>
    <w:rsid w:val="00EA0A36"/>
    <w:rsid w:val="00EA49C5"/>
    <w:rsid w:val="00EB5027"/>
    <w:rsid w:val="00EC1836"/>
    <w:rsid w:val="00EC3990"/>
    <w:rsid w:val="00EC3EDA"/>
    <w:rsid w:val="00EC484B"/>
    <w:rsid w:val="00ED1397"/>
    <w:rsid w:val="00ED140A"/>
    <w:rsid w:val="00ED15FA"/>
    <w:rsid w:val="00EE0DAB"/>
    <w:rsid w:val="00EE6E9A"/>
    <w:rsid w:val="00EF0BF1"/>
    <w:rsid w:val="00EF2AC4"/>
    <w:rsid w:val="00EF397E"/>
    <w:rsid w:val="00F04602"/>
    <w:rsid w:val="00F04E04"/>
    <w:rsid w:val="00F06F68"/>
    <w:rsid w:val="00F136A5"/>
    <w:rsid w:val="00F1713B"/>
    <w:rsid w:val="00F212CB"/>
    <w:rsid w:val="00F243DB"/>
    <w:rsid w:val="00F24C2D"/>
    <w:rsid w:val="00F24F1B"/>
    <w:rsid w:val="00F27356"/>
    <w:rsid w:val="00F3018F"/>
    <w:rsid w:val="00F31609"/>
    <w:rsid w:val="00F32A81"/>
    <w:rsid w:val="00F3448A"/>
    <w:rsid w:val="00F414B1"/>
    <w:rsid w:val="00F4680A"/>
    <w:rsid w:val="00F46998"/>
    <w:rsid w:val="00F47100"/>
    <w:rsid w:val="00F5382D"/>
    <w:rsid w:val="00F53D9C"/>
    <w:rsid w:val="00F5462B"/>
    <w:rsid w:val="00F55A47"/>
    <w:rsid w:val="00F634AD"/>
    <w:rsid w:val="00F63677"/>
    <w:rsid w:val="00F72BFC"/>
    <w:rsid w:val="00F75B81"/>
    <w:rsid w:val="00F77C06"/>
    <w:rsid w:val="00F804C4"/>
    <w:rsid w:val="00F82F83"/>
    <w:rsid w:val="00F832E5"/>
    <w:rsid w:val="00F85A2E"/>
    <w:rsid w:val="00F90087"/>
    <w:rsid w:val="00F90F40"/>
    <w:rsid w:val="00F92B30"/>
    <w:rsid w:val="00F933B9"/>
    <w:rsid w:val="00F93B84"/>
    <w:rsid w:val="00F93E35"/>
    <w:rsid w:val="00F94674"/>
    <w:rsid w:val="00F94919"/>
    <w:rsid w:val="00F94A59"/>
    <w:rsid w:val="00FA25B6"/>
    <w:rsid w:val="00FA2FAF"/>
    <w:rsid w:val="00FA5CCF"/>
    <w:rsid w:val="00FA64B1"/>
    <w:rsid w:val="00FA70F3"/>
    <w:rsid w:val="00FA71CD"/>
    <w:rsid w:val="00FB0453"/>
    <w:rsid w:val="00FB0C07"/>
    <w:rsid w:val="00FB298D"/>
    <w:rsid w:val="00FC0F85"/>
    <w:rsid w:val="00FC1439"/>
    <w:rsid w:val="00FC724B"/>
    <w:rsid w:val="00FC7910"/>
    <w:rsid w:val="00FD1A52"/>
    <w:rsid w:val="00FD4DFE"/>
    <w:rsid w:val="00FE531E"/>
    <w:rsid w:val="00FE72A6"/>
    <w:rsid w:val="00FF0A9B"/>
    <w:rsid w:val="00FF0B24"/>
    <w:rsid w:val="00FF0DA7"/>
    <w:rsid w:val="00FF44E0"/>
    <w:rsid w:val="00FF6C72"/>
    <w:rsid w:val="00FF6EBF"/>
    <w:rsid w:val="011F2F39"/>
    <w:rsid w:val="01336C8A"/>
    <w:rsid w:val="01374E54"/>
    <w:rsid w:val="013C59A0"/>
    <w:rsid w:val="01527C8C"/>
    <w:rsid w:val="018067FB"/>
    <w:rsid w:val="01976AB5"/>
    <w:rsid w:val="019D48DD"/>
    <w:rsid w:val="01A944DE"/>
    <w:rsid w:val="01AC65E1"/>
    <w:rsid w:val="01AF35D1"/>
    <w:rsid w:val="01BC3676"/>
    <w:rsid w:val="01D7290B"/>
    <w:rsid w:val="01E131F4"/>
    <w:rsid w:val="01ED7DBB"/>
    <w:rsid w:val="01F72DAE"/>
    <w:rsid w:val="01FD08CE"/>
    <w:rsid w:val="01FF5B1C"/>
    <w:rsid w:val="02067716"/>
    <w:rsid w:val="02463FE9"/>
    <w:rsid w:val="0257059B"/>
    <w:rsid w:val="02A734F8"/>
    <w:rsid w:val="02D2243B"/>
    <w:rsid w:val="02D57C3D"/>
    <w:rsid w:val="02D65D8F"/>
    <w:rsid w:val="038F4A3E"/>
    <w:rsid w:val="039931C3"/>
    <w:rsid w:val="03D25EAC"/>
    <w:rsid w:val="03E06A06"/>
    <w:rsid w:val="03E10905"/>
    <w:rsid w:val="03F7775F"/>
    <w:rsid w:val="04011721"/>
    <w:rsid w:val="042B70D8"/>
    <w:rsid w:val="04396C28"/>
    <w:rsid w:val="045B0C31"/>
    <w:rsid w:val="047A3107"/>
    <w:rsid w:val="047A7BCE"/>
    <w:rsid w:val="048C3FC4"/>
    <w:rsid w:val="049D76C3"/>
    <w:rsid w:val="04A44E01"/>
    <w:rsid w:val="04CA7527"/>
    <w:rsid w:val="04CB0B34"/>
    <w:rsid w:val="04E12D11"/>
    <w:rsid w:val="05006369"/>
    <w:rsid w:val="05107D29"/>
    <w:rsid w:val="0512621F"/>
    <w:rsid w:val="05152363"/>
    <w:rsid w:val="052650C5"/>
    <w:rsid w:val="05426646"/>
    <w:rsid w:val="054933A7"/>
    <w:rsid w:val="054F72B7"/>
    <w:rsid w:val="05CB3411"/>
    <w:rsid w:val="05CD6CDE"/>
    <w:rsid w:val="05D30528"/>
    <w:rsid w:val="05D4629F"/>
    <w:rsid w:val="062565AF"/>
    <w:rsid w:val="062E45D2"/>
    <w:rsid w:val="063400F9"/>
    <w:rsid w:val="068774DF"/>
    <w:rsid w:val="069B7539"/>
    <w:rsid w:val="06B86512"/>
    <w:rsid w:val="06C107CD"/>
    <w:rsid w:val="06C76316"/>
    <w:rsid w:val="06DC1C59"/>
    <w:rsid w:val="07102341"/>
    <w:rsid w:val="07185F3E"/>
    <w:rsid w:val="0722647A"/>
    <w:rsid w:val="073B0006"/>
    <w:rsid w:val="07534192"/>
    <w:rsid w:val="075F0B0B"/>
    <w:rsid w:val="07872913"/>
    <w:rsid w:val="079330DC"/>
    <w:rsid w:val="07A349A1"/>
    <w:rsid w:val="07C66A72"/>
    <w:rsid w:val="07CF4038"/>
    <w:rsid w:val="07D953F5"/>
    <w:rsid w:val="07DB29DD"/>
    <w:rsid w:val="07E934EF"/>
    <w:rsid w:val="080A32C2"/>
    <w:rsid w:val="085F62D4"/>
    <w:rsid w:val="088D29BC"/>
    <w:rsid w:val="088E1E23"/>
    <w:rsid w:val="08AE3A03"/>
    <w:rsid w:val="08B2770C"/>
    <w:rsid w:val="08B50556"/>
    <w:rsid w:val="08D800DC"/>
    <w:rsid w:val="08DB6A0C"/>
    <w:rsid w:val="090D12BC"/>
    <w:rsid w:val="091103C5"/>
    <w:rsid w:val="094D5097"/>
    <w:rsid w:val="09527435"/>
    <w:rsid w:val="09550FBA"/>
    <w:rsid w:val="09645572"/>
    <w:rsid w:val="096B4801"/>
    <w:rsid w:val="097D251D"/>
    <w:rsid w:val="098D04EC"/>
    <w:rsid w:val="099279EF"/>
    <w:rsid w:val="09CA4BDF"/>
    <w:rsid w:val="09D44BFD"/>
    <w:rsid w:val="0A0A73CC"/>
    <w:rsid w:val="0A245762"/>
    <w:rsid w:val="0A6F6A12"/>
    <w:rsid w:val="0A8101C3"/>
    <w:rsid w:val="0A8E01DA"/>
    <w:rsid w:val="0A9006B6"/>
    <w:rsid w:val="0AC0494B"/>
    <w:rsid w:val="0ACE7C2C"/>
    <w:rsid w:val="0B622F66"/>
    <w:rsid w:val="0B6542B2"/>
    <w:rsid w:val="0BAC331A"/>
    <w:rsid w:val="0BC32105"/>
    <w:rsid w:val="0BC34B58"/>
    <w:rsid w:val="0BC56980"/>
    <w:rsid w:val="0BE16A90"/>
    <w:rsid w:val="0BE43F91"/>
    <w:rsid w:val="0C042C2D"/>
    <w:rsid w:val="0C161A76"/>
    <w:rsid w:val="0C304C4D"/>
    <w:rsid w:val="0C625CD5"/>
    <w:rsid w:val="0C76373B"/>
    <w:rsid w:val="0C815D20"/>
    <w:rsid w:val="0CAD246E"/>
    <w:rsid w:val="0CCD0AB6"/>
    <w:rsid w:val="0CE44A0A"/>
    <w:rsid w:val="0CEE4B2B"/>
    <w:rsid w:val="0CFE7BA6"/>
    <w:rsid w:val="0D401A1B"/>
    <w:rsid w:val="0D4822D5"/>
    <w:rsid w:val="0D8013E6"/>
    <w:rsid w:val="0D8D25F1"/>
    <w:rsid w:val="0DB13235"/>
    <w:rsid w:val="0DC11ACF"/>
    <w:rsid w:val="0DD650FF"/>
    <w:rsid w:val="0DE10621"/>
    <w:rsid w:val="0DE528BF"/>
    <w:rsid w:val="0DF01E5A"/>
    <w:rsid w:val="0E0242C5"/>
    <w:rsid w:val="0E2034F7"/>
    <w:rsid w:val="0E4378B3"/>
    <w:rsid w:val="0E480BC8"/>
    <w:rsid w:val="0E491661"/>
    <w:rsid w:val="0E535E09"/>
    <w:rsid w:val="0E5639EA"/>
    <w:rsid w:val="0E6E41AC"/>
    <w:rsid w:val="0E763583"/>
    <w:rsid w:val="0EBF1DD7"/>
    <w:rsid w:val="0ED80A7E"/>
    <w:rsid w:val="0F257597"/>
    <w:rsid w:val="0F476AB9"/>
    <w:rsid w:val="0F730ECC"/>
    <w:rsid w:val="0F9A04FC"/>
    <w:rsid w:val="0FE906C5"/>
    <w:rsid w:val="102A1392"/>
    <w:rsid w:val="1030329B"/>
    <w:rsid w:val="1043407D"/>
    <w:rsid w:val="105A5869"/>
    <w:rsid w:val="10636AEE"/>
    <w:rsid w:val="108546D4"/>
    <w:rsid w:val="10F07979"/>
    <w:rsid w:val="11121244"/>
    <w:rsid w:val="112B54AD"/>
    <w:rsid w:val="114E7D89"/>
    <w:rsid w:val="116234BE"/>
    <w:rsid w:val="11862688"/>
    <w:rsid w:val="11A63F06"/>
    <w:rsid w:val="11A962DE"/>
    <w:rsid w:val="11D656E8"/>
    <w:rsid w:val="11E27BD5"/>
    <w:rsid w:val="12173F28"/>
    <w:rsid w:val="121C4A29"/>
    <w:rsid w:val="128959F9"/>
    <w:rsid w:val="128F377D"/>
    <w:rsid w:val="12917F44"/>
    <w:rsid w:val="12CC18FE"/>
    <w:rsid w:val="13370CE3"/>
    <w:rsid w:val="13524EC5"/>
    <w:rsid w:val="136E3D7D"/>
    <w:rsid w:val="13CC5D99"/>
    <w:rsid w:val="142257E9"/>
    <w:rsid w:val="14293E20"/>
    <w:rsid w:val="144B52EE"/>
    <w:rsid w:val="146E6C02"/>
    <w:rsid w:val="148A09C2"/>
    <w:rsid w:val="14B02E00"/>
    <w:rsid w:val="14DF0FAE"/>
    <w:rsid w:val="14E630A8"/>
    <w:rsid w:val="14EC4228"/>
    <w:rsid w:val="14FB46BE"/>
    <w:rsid w:val="15097A8D"/>
    <w:rsid w:val="150F2E19"/>
    <w:rsid w:val="15407502"/>
    <w:rsid w:val="1542068C"/>
    <w:rsid w:val="15584A22"/>
    <w:rsid w:val="15686D5E"/>
    <w:rsid w:val="157C17F2"/>
    <w:rsid w:val="158568B3"/>
    <w:rsid w:val="15DE21ED"/>
    <w:rsid w:val="15FB575E"/>
    <w:rsid w:val="16047251"/>
    <w:rsid w:val="160B7FC6"/>
    <w:rsid w:val="160C6659"/>
    <w:rsid w:val="160E7BE2"/>
    <w:rsid w:val="16117F11"/>
    <w:rsid w:val="162E2871"/>
    <w:rsid w:val="16427C4D"/>
    <w:rsid w:val="16614BA8"/>
    <w:rsid w:val="16787E93"/>
    <w:rsid w:val="167C193F"/>
    <w:rsid w:val="168A7F30"/>
    <w:rsid w:val="168B27EF"/>
    <w:rsid w:val="16A6751D"/>
    <w:rsid w:val="16B30530"/>
    <w:rsid w:val="16C44B09"/>
    <w:rsid w:val="16C55397"/>
    <w:rsid w:val="16DD4FD0"/>
    <w:rsid w:val="16EB4478"/>
    <w:rsid w:val="16FC651F"/>
    <w:rsid w:val="170B4F0A"/>
    <w:rsid w:val="172822D1"/>
    <w:rsid w:val="17343EB7"/>
    <w:rsid w:val="17552F75"/>
    <w:rsid w:val="17573FD8"/>
    <w:rsid w:val="176C48CD"/>
    <w:rsid w:val="17967DB8"/>
    <w:rsid w:val="17A76135"/>
    <w:rsid w:val="17C90A93"/>
    <w:rsid w:val="182173B8"/>
    <w:rsid w:val="182E4A5F"/>
    <w:rsid w:val="1833286B"/>
    <w:rsid w:val="18602AF1"/>
    <w:rsid w:val="1863335E"/>
    <w:rsid w:val="18A17275"/>
    <w:rsid w:val="190F698A"/>
    <w:rsid w:val="19263CD4"/>
    <w:rsid w:val="192E011F"/>
    <w:rsid w:val="199930DF"/>
    <w:rsid w:val="199A4090"/>
    <w:rsid w:val="19BC7AA2"/>
    <w:rsid w:val="19C10DC0"/>
    <w:rsid w:val="19DB4ABE"/>
    <w:rsid w:val="19DB686C"/>
    <w:rsid w:val="1A033113"/>
    <w:rsid w:val="1A432B38"/>
    <w:rsid w:val="1A5B79AD"/>
    <w:rsid w:val="1A761C15"/>
    <w:rsid w:val="1A8B7CFE"/>
    <w:rsid w:val="1A9203F9"/>
    <w:rsid w:val="1AB11059"/>
    <w:rsid w:val="1ACD60CD"/>
    <w:rsid w:val="1AE259D8"/>
    <w:rsid w:val="1AFB36BE"/>
    <w:rsid w:val="1B7A5C06"/>
    <w:rsid w:val="1B7D7F7E"/>
    <w:rsid w:val="1B83540D"/>
    <w:rsid w:val="1B886580"/>
    <w:rsid w:val="1B8A786E"/>
    <w:rsid w:val="1BB42CE9"/>
    <w:rsid w:val="1BC0693E"/>
    <w:rsid w:val="1BC332B6"/>
    <w:rsid w:val="1BED0625"/>
    <w:rsid w:val="1C0721E0"/>
    <w:rsid w:val="1C303F27"/>
    <w:rsid w:val="1C533032"/>
    <w:rsid w:val="1C7836EC"/>
    <w:rsid w:val="1C993464"/>
    <w:rsid w:val="1C9C35EB"/>
    <w:rsid w:val="1CD808D9"/>
    <w:rsid w:val="1CF45F1B"/>
    <w:rsid w:val="1D034C98"/>
    <w:rsid w:val="1D035317"/>
    <w:rsid w:val="1D2E3B5E"/>
    <w:rsid w:val="1D9A51B2"/>
    <w:rsid w:val="1DAE0412"/>
    <w:rsid w:val="1DBA0E8A"/>
    <w:rsid w:val="1DF90BDF"/>
    <w:rsid w:val="1E137711"/>
    <w:rsid w:val="1E2D0659"/>
    <w:rsid w:val="1E3333DA"/>
    <w:rsid w:val="1E3E57E8"/>
    <w:rsid w:val="1E79668E"/>
    <w:rsid w:val="1E962CDF"/>
    <w:rsid w:val="1EA06FCF"/>
    <w:rsid w:val="1EB67CF4"/>
    <w:rsid w:val="1EF3164A"/>
    <w:rsid w:val="1EFE5C3C"/>
    <w:rsid w:val="1F0D7232"/>
    <w:rsid w:val="1F1811C0"/>
    <w:rsid w:val="1F2533E2"/>
    <w:rsid w:val="1F470703"/>
    <w:rsid w:val="1F58571C"/>
    <w:rsid w:val="1F59095F"/>
    <w:rsid w:val="1F6F1B37"/>
    <w:rsid w:val="1F7E347F"/>
    <w:rsid w:val="1FA157F6"/>
    <w:rsid w:val="1FC972B5"/>
    <w:rsid w:val="1FE33A60"/>
    <w:rsid w:val="1FEA0EF5"/>
    <w:rsid w:val="1FEC6364"/>
    <w:rsid w:val="1FF97DD1"/>
    <w:rsid w:val="2033565F"/>
    <w:rsid w:val="204E4380"/>
    <w:rsid w:val="20635513"/>
    <w:rsid w:val="20CB65E1"/>
    <w:rsid w:val="20E71C8B"/>
    <w:rsid w:val="21130FE1"/>
    <w:rsid w:val="212678E0"/>
    <w:rsid w:val="213E6F54"/>
    <w:rsid w:val="21B634AE"/>
    <w:rsid w:val="21C916A0"/>
    <w:rsid w:val="21D81213"/>
    <w:rsid w:val="21E253A6"/>
    <w:rsid w:val="22027F43"/>
    <w:rsid w:val="221130D8"/>
    <w:rsid w:val="22121D39"/>
    <w:rsid w:val="22213B6B"/>
    <w:rsid w:val="224369FF"/>
    <w:rsid w:val="224E7685"/>
    <w:rsid w:val="2253048E"/>
    <w:rsid w:val="226561E7"/>
    <w:rsid w:val="22793829"/>
    <w:rsid w:val="22827E15"/>
    <w:rsid w:val="22A109D7"/>
    <w:rsid w:val="22BD058C"/>
    <w:rsid w:val="230C0739"/>
    <w:rsid w:val="23163D56"/>
    <w:rsid w:val="231F04A0"/>
    <w:rsid w:val="23477642"/>
    <w:rsid w:val="23646864"/>
    <w:rsid w:val="23991690"/>
    <w:rsid w:val="23D0417D"/>
    <w:rsid w:val="23D65920"/>
    <w:rsid w:val="23E6152F"/>
    <w:rsid w:val="2406098A"/>
    <w:rsid w:val="2407306E"/>
    <w:rsid w:val="24837B50"/>
    <w:rsid w:val="2494471B"/>
    <w:rsid w:val="24B13E90"/>
    <w:rsid w:val="24BC729A"/>
    <w:rsid w:val="24E43DB3"/>
    <w:rsid w:val="250D6240"/>
    <w:rsid w:val="25284930"/>
    <w:rsid w:val="25592271"/>
    <w:rsid w:val="25730577"/>
    <w:rsid w:val="25A65A51"/>
    <w:rsid w:val="25B157FF"/>
    <w:rsid w:val="25C16481"/>
    <w:rsid w:val="25D02118"/>
    <w:rsid w:val="25D1258E"/>
    <w:rsid w:val="262F0A49"/>
    <w:rsid w:val="266801E1"/>
    <w:rsid w:val="26AA04BC"/>
    <w:rsid w:val="26E7030C"/>
    <w:rsid w:val="26F251F5"/>
    <w:rsid w:val="26F61189"/>
    <w:rsid w:val="26FC0A99"/>
    <w:rsid w:val="26FF74B0"/>
    <w:rsid w:val="2710223D"/>
    <w:rsid w:val="272F1D6E"/>
    <w:rsid w:val="27493457"/>
    <w:rsid w:val="27665B5F"/>
    <w:rsid w:val="276E64E2"/>
    <w:rsid w:val="27851BB8"/>
    <w:rsid w:val="27884DC3"/>
    <w:rsid w:val="27A401DD"/>
    <w:rsid w:val="27C80D5D"/>
    <w:rsid w:val="27CB4776"/>
    <w:rsid w:val="27D172E0"/>
    <w:rsid w:val="27F54F9D"/>
    <w:rsid w:val="28A006AE"/>
    <w:rsid w:val="28A1297A"/>
    <w:rsid w:val="28B53A52"/>
    <w:rsid w:val="28C74F31"/>
    <w:rsid w:val="28D948BF"/>
    <w:rsid w:val="292B04CC"/>
    <w:rsid w:val="2936060A"/>
    <w:rsid w:val="29710F8A"/>
    <w:rsid w:val="299B1B74"/>
    <w:rsid w:val="29BB4E26"/>
    <w:rsid w:val="29C2572B"/>
    <w:rsid w:val="29D62BAC"/>
    <w:rsid w:val="29E87932"/>
    <w:rsid w:val="2A1E51A6"/>
    <w:rsid w:val="2A3D38E0"/>
    <w:rsid w:val="2A59051B"/>
    <w:rsid w:val="2A5C7251"/>
    <w:rsid w:val="2A6D2033"/>
    <w:rsid w:val="2A701C9E"/>
    <w:rsid w:val="2A962EE4"/>
    <w:rsid w:val="2ACD0453"/>
    <w:rsid w:val="2AF43B5E"/>
    <w:rsid w:val="2B0D0850"/>
    <w:rsid w:val="2B1240B8"/>
    <w:rsid w:val="2B8936B9"/>
    <w:rsid w:val="2BAF13B9"/>
    <w:rsid w:val="2BBA59CC"/>
    <w:rsid w:val="2BC33237"/>
    <w:rsid w:val="2BCA2644"/>
    <w:rsid w:val="2BD94447"/>
    <w:rsid w:val="2BDA23B9"/>
    <w:rsid w:val="2BE12008"/>
    <w:rsid w:val="2BF92F32"/>
    <w:rsid w:val="2C2659A2"/>
    <w:rsid w:val="2C361CE7"/>
    <w:rsid w:val="2C4320AD"/>
    <w:rsid w:val="2C4629A8"/>
    <w:rsid w:val="2C5C0A6D"/>
    <w:rsid w:val="2C681F1F"/>
    <w:rsid w:val="2C845ADA"/>
    <w:rsid w:val="2D5C76E6"/>
    <w:rsid w:val="2D775239"/>
    <w:rsid w:val="2DA531F0"/>
    <w:rsid w:val="2DAD013B"/>
    <w:rsid w:val="2DB15421"/>
    <w:rsid w:val="2DB77A10"/>
    <w:rsid w:val="2DBA114A"/>
    <w:rsid w:val="2E1A0F93"/>
    <w:rsid w:val="2E425796"/>
    <w:rsid w:val="2E4668CB"/>
    <w:rsid w:val="2E5A1146"/>
    <w:rsid w:val="2E5F4F98"/>
    <w:rsid w:val="2E643568"/>
    <w:rsid w:val="2E7021F2"/>
    <w:rsid w:val="2E8170FF"/>
    <w:rsid w:val="2E905A1F"/>
    <w:rsid w:val="2EAC3F22"/>
    <w:rsid w:val="2EB31B27"/>
    <w:rsid w:val="2EB81FD8"/>
    <w:rsid w:val="2EFE7D7A"/>
    <w:rsid w:val="2F335AD2"/>
    <w:rsid w:val="2F37571D"/>
    <w:rsid w:val="2F542EF1"/>
    <w:rsid w:val="2F640844"/>
    <w:rsid w:val="2F6509D0"/>
    <w:rsid w:val="2F7E2BDA"/>
    <w:rsid w:val="2F995607"/>
    <w:rsid w:val="2FB44542"/>
    <w:rsid w:val="2FDF0E93"/>
    <w:rsid w:val="2FE22F81"/>
    <w:rsid w:val="300510DF"/>
    <w:rsid w:val="30594760"/>
    <w:rsid w:val="306244E2"/>
    <w:rsid w:val="307724F7"/>
    <w:rsid w:val="30C822D8"/>
    <w:rsid w:val="30D16F3C"/>
    <w:rsid w:val="31352618"/>
    <w:rsid w:val="313C3FCF"/>
    <w:rsid w:val="314941A3"/>
    <w:rsid w:val="3167717F"/>
    <w:rsid w:val="31726C5C"/>
    <w:rsid w:val="318E1076"/>
    <w:rsid w:val="319E422D"/>
    <w:rsid w:val="31AE3364"/>
    <w:rsid w:val="31CB028E"/>
    <w:rsid w:val="31F82A48"/>
    <w:rsid w:val="321351BB"/>
    <w:rsid w:val="3218123E"/>
    <w:rsid w:val="324B2C6B"/>
    <w:rsid w:val="327515D8"/>
    <w:rsid w:val="32805DAB"/>
    <w:rsid w:val="32826625"/>
    <w:rsid w:val="328E04C8"/>
    <w:rsid w:val="32B545C0"/>
    <w:rsid w:val="32C10AC4"/>
    <w:rsid w:val="332848FF"/>
    <w:rsid w:val="33297BCB"/>
    <w:rsid w:val="33321A93"/>
    <w:rsid w:val="33377562"/>
    <w:rsid w:val="333A41B1"/>
    <w:rsid w:val="33415A71"/>
    <w:rsid w:val="33814F8D"/>
    <w:rsid w:val="338266BF"/>
    <w:rsid w:val="339A169D"/>
    <w:rsid w:val="33A221DE"/>
    <w:rsid w:val="33C278A7"/>
    <w:rsid w:val="33CB02F8"/>
    <w:rsid w:val="33EF535B"/>
    <w:rsid w:val="33F81754"/>
    <w:rsid w:val="34037804"/>
    <w:rsid w:val="343028E3"/>
    <w:rsid w:val="34645661"/>
    <w:rsid w:val="349710AE"/>
    <w:rsid w:val="34BE0C27"/>
    <w:rsid w:val="34CE4C2F"/>
    <w:rsid w:val="34D9107F"/>
    <w:rsid w:val="35085D0E"/>
    <w:rsid w:val="3511441F"/>
    <w:rsid w:val="353454A4"/>
    <w:rsid w:val="35470F7B"/>
    <w:rsid w:val="355D6CD6"/>
    <w:rsid w:val="355E07BC"/>
    <w:rsid w:val="35942299"/>
    <w:rsid w:val="35B2243F"/>
    <w:rsid w:val="35B83BFA"/>
    <w:rsid w:val="35E056BD"/>
    <w:rsid w:val="36203B2D"/>
    <w:rsid w:val="3621338F"/>
    <w:rsid w:val="36A503DA"/>
    <w:rsid w:val="36A8544C"/>
    <w:rsid w:val="36AA79AE"/>
    <w:rsid w:val="36D81774"/>
    <w:rsid w:val="36EE262B"/>
    <w:rsid w:val="370110E3"/>
    <w:rsid w:val="37445638"/>
    <w:rsid w:val="376827BB"/>
    <w:rsid w:val="37954294"/>
    <w:rsid w:val="37B207B5"/>
    <w:rsid w:val="37D2180A"/>
    <w:rsid w:val="37D27670"/>
    <w:rsid w:val="37DD6E81"/>
    <w:rsid w:val="37DF37FA"/>
    <w:rsid w:val="385B4285"/>
    <w:rsid w:val="386E18A2"/>
    <w:rsid w:val="388F4FB6"/>
    <w:rsid w:val="38AA2C13"/>
    <w:rsid w:val="38AC6C67"/>
    <w:rsid w:val="38B64307"/>
    <w:rsid w:val="38C31804"/>
    <w:rsid w:val="38F52E00"/>
    <w:rsid w:val="38F54312"/>
    <w:rsid w:val="394A4673"/>
    <w:rsid w:val="3953526F"/>
    <w:rsid w:val="3957382B"/>
    <w:rsid w:val="395C1201"/>
    <w:rsid w:val="396C52DB"/>
    <w:rsid w:val="397C2DC6"/>
    <w:rsid w:val="39D63BC2"/>
    <w:rsid w:val="39E777CC"/>
    <w:rsid w:val="3A2C4435"/>
    <w:rsid w:val="3A586A71"/>
    <w:rsid w:val="3A751F6D"/>
    <w:rsid w:val="3A7C5134"/>
    <w:rsid w:val="3A942A4A"/>
    <w:rsid w:val="3AA32FD6"/>
    <w:rsid w:val="3AB065F2"/>
    <w:rsid w:val="3AEA1AC3"/>
    <w:rsid w:val="3B123DD8"/>
    <w:rsid w:val="3B1E4680"/>
    <w:rsid w:val="3B5D455C"/>
    <w:rsid w:val="3B611E21"/>
    <w:rsid w:val="3B6459AA"/>
    <w:rsid w:val="3B722C48"/>
    <w:rsid w:val="3B800CD9"/>
    <w:rsid w:val="3B9062F7"/>
    <w:rsid w:val="3BC0244C"/>
    <w:rsid w:val="3BC40C24"/>
    <w:rsid w:val="3BE81CC2"/>
    <w:rsid w:val="3C5C2122"/>
    <w:rsid w:val="3C86556E"/>
    <w:rsid w:val="3CAF5C0A"/>
    <w:rsid w:val="3CF3447E"/>
    <w:rsid w:val="3CF63AE1"/>
    <w:rsid w:val="3CFC0724"/>
    <w:rsid w:val="3D3251B2"/>
    <w:rsid w:val="3D475F4B"/>
    <w:rsid w:val="3D492D8D"/>
    <w:rsid w:val="3D6651F6"/>
    <w:rsid w:val="3D7D23D6"/>
    <w:rsid w:val="3D845873"/>
    <w:rsid w:val="3D864B32"/>
    <w:rsid w:val="3D864DFE"/>
    <w:rsid w:val="3D8B325F"/>
    <w:rsid w:val="3D8C4CDC"/>
    <w:rsid w:val="3DB93349"/>
    <w:rsid w:val="3DC154B7"/>
    <w:rsid w:val="3DD451E3"/>
    <w:rsid w:val="3DE637F5"/>
    <w:rsid w:val="3E2B7513"/>
    <w:rsid w:val="3E3E0791"/>
    <w:rsid w:val="3E574395"/>
    <w:rsid w:val="3E7A040C"/>
    <w:rsid w:val="3E8968BF"/>
    <w:rsid w:val="3EA90890"/>
    <w:rsid w:val="3EAF39F9"/>
    <w:rsid w:val="3EB33728"/>
    <w:rsid w:val="3EE44315"/>
    <w:rsid w:val="3EF814B4"/>
    <w:rsid w:val="3F1E573F"/>
    <w:rsid w:val="3F2F2876"/>
    <w:rsid w:val="3F367F1D"/>
    <w:rsid w:val="3F7C1A35"/>
    <w:rsid w:val="3F840C96"/>
    <w:rsid w:val="3F876C14"/>
    <w:rsid w:val="3FA2527C"/>
    <w:rsid w:val="3FA357B9"/>
    <w:rsid w:val="3FAA4467"/>
    <w:rsid w:val="3FC56ADF"/>
    <w:rsid w:val="3FDC0783"/>
    <w:rsid w:val="40064A19"/>
    <w:rsid w:val="40F3031D"/>
    <w:rsid w:val="412874F2"/>
    <w:rsid w:val="417B0AEA"/>
    <w:rsid w:val="41841179"/>
    <w:rsid w:val="41B4145D"/>
    <w:rsid w:val="41C80D47"/>
    <w:rsid w:val="41D50910"/>
    <w:rsid w:val="41FC1DBC"/>
    <w:rsid w:val="422E53AC"/>
    <w:rsid w:val="42407911"/>
    <w:rsid w:val="428A1284"/>
    <w:rsid w:val="42F83EEA"/>
    <w:rsid w:val="430374C6"/>
    <w:rsid w:val="43115475"/>
    <w:rsid w:val="43334BED"/>
    <w:rsid w:val="43432C09"/>
    <w:rsid w:val="43771229"/>
    <w:rsid w:val="43826458"/>
    <w:rsid w:val="43882D11"/>
    <w:rsid w:val="43A044FF"/>
    <w:rsid w:val="43A33325"/>
    <w:rsid w:val="43BE4D17"/>
    <w:rsid w:val="43F32C97"/>
    <w:rsid w:val="43F9146D"/>
    <w:rsid w:val="440B4FC8"/>
    <w:rsid w:val="443775B0"/>
    <w:rsid w:val="444E6FA5"/>
    <w:rsid w:val="44563951"/>
    <w:rsid w:val="44755900"/>
    <w:rsid w:val="4496304A"/>
    <w:rsid w:val="449810E8"/>
    <w:rsid w:val="44C50A76"/>
    <w:rsid w:val="44DB5A92"/>
    <w:rsid w:val="454C00BB"/>
    <w:rsid w:val="457C0654"/>
    <w:rsid w:val="459E678D"/>
    <w:rsid w:val="45CA4C26"/>
    <w:rsid w:val="45EB5F8A"/>
    <w:rsid w:val="46186DF0"/>
    <w:rsid w:val="461D69D9"/>
    <w:rsid w:val="461D7C5F"/>
    <w:rsid w:val="462920C6"/>
    <w:rsid w:val="462A180E"/>
    <w:rsid w:val="464048B3"/>
    <w:rsid w:val="46C529B5"/>
    <w:rsid w:val="46D045E9"/>
    <w:rsid w:val="46F36F86"/>
    <w:rsid w:val="46F51CFE"/>
    <w:rsid w:val="46FE5345"/>
    <w:rsid w:val="473C166C"/>
    <w:rsid w:val="474C7367"/>
    <w:rsid w:val="47794B25"/>
    <w:rsid w:val="47D46D28"/>
    <w:rsid w:val="47EF4E0A"/>
    <w:rsid w:val="482703AC"/>
    <w:rsid w:val="48390A7E"/>
    <w:rsid w:val="487171B8"/>
    <w:rsid w:val="48971D34"/>
    <w:rsid w:val="489E63DD"/>
    <w:rsid w:val="48B936F4"/>
    <w:rsid w:val="48E64762"/>
    <w:rsid w:val="48EE0050"/>
    <w:rsid w:val="48F54A16"/>
    <w:rsid w:val="48F63655"/>
    <w:rsid w:val="4916482E"/>
    <w:rsid w:val="491C61D7"/>
    <w:rsid w:val="491E0C33"/>
    <w:rsid w:val="491F09FD"/>
    <w:rsid w:val="49215598"/>
    <w:rsid w:val="49241892"/>
    <w:rsid w:val="49477898"/>
    <w:rsid w:val="49532F37"/>
    <w:rsid w:val="49B1134D"/>
    <w:rsid w:val="49BE390F"/>
    <w:rsid w:val="49C20D29"/>
    <w:rsid w:val="49D655F0"/>
    <w:rsid w:val="4A1C29A9"/>
    <w:rsid w:val="4A376852"/>
    <w:rsid w:val="4A51016F"/>
    <w:rsid w:val="4AA8171D"/>
    <w:rsid w:val="4AA85A47"/>
    <w:rsid w:val="4ADF6F8E"/>
    <w:rsid w:val="4AF43B29"/>
    <w:rsid w:val="4AF57F71"/>
    <w:rsid w:val="4AFE0B1B"/>
    <w:rsid w:val="4B470A5C"/>
    <w:rsid w:val="4B6214CC"/>
    <w:rsid w:val="4B736432"/>
    <w:rsid w:val="4B8137BE"/>
    <w:rsid w:val="4B86222C"/>
    <w:rsid w:val="4B960E56"/>
    <w:rsid w:val="4BBC74F0"/>
    <w:rsid w:val="4BC51723"/>
    <w:rsid w:val="4BD258F2"/>
    <w:rsid w:val="4BD64B17"/>
    <w:rsid w:val="4C4D1CEF"/>
    <w:rsid w:val="4CA50490"/>
    <w:rsid w:val="4CAC68E5"/>
    <w:rsid w:val="4CBA24BF"/>
    <w:rsid w:val="4CC01F6A"/>
    <w:rsid w:val="4CCC66A5"/>
    <w:rsid w:val="4CCF2F79"/>
    <w:rsid w:val="4CD15D1B"/>
    <w:rsid w:val="4CD77387"/>
    <w:rsid w:val="4D293C11"/>
    <w:rsid w:val="4D2B6B0B"/>
    <w:rsid w:val="4D6112C8"/>
    <w:rsid w:val="4D663FDA"/>
    <w:rsid w:val="4D7240AF"/>
    <w:rsid w:val="4D930C30"/>
    <w:rsid w:val="4D97427D"/>
    <w:rsid w:val="4DBD17E6"/>
    <w:rsid w:val="4DD50D02"/>
    <w:rsid w:val="4DD95A7F"/>
    <w:rsid w:val="4DF87ADA"/>
    <w:rsid w:val="4E380649"/>
    <w:rsid w:val="4E4241EE"/>
    <w:rsid w:val="4E5D75D5"/>
    <w:rsid w:val="4E6C68C9"/>
    <w:rsid w:val="4EE80B08"/>
    <w:rsid w:val="4F1C2E2D"/>
    <w:rsid w:val="4F7968F0"/>
    <w:rsid w:val="4F8C0F11"/>
    <w:rsid w:val="4F97214F"/>
    <w:rsid w:val="4FD97513"/>
    <w:rsid w:val="50020EF3"/>
    <w:rsid w:val="500D2FCF"/>
    <w:rsid w:val="502E465E"/>
    <w:rsid w:val="505F4DFA"/>
    <w:rsid w:val="506A2AFE"/>
    <w:rsid w:val="506D2881"/>
    <w:rsid w:val="507A4D64"/>
    <w:rsid w:val="50892F6A"/>
    <w:rsid w:val="50954286"/>
    <w:rsid w:val="50E421A7"/>
    <w:rsid w:val="50F52226"/>
    <w:rsid w:val="514A62BA"/>
    <w:rsid w:val="514E4FAD"/>
    <w:rsid w:val="515A56CD"/>
    <w:rsid w:val="517F4A6D"/>
    <w:rsid w:val="51F863CE"/>
    <w:rsid w:val="52067C23"/>
    <w:rsid w:val="52515DBC"/>
    <w:rsid w:val="52577FBC"/>
    <w:rsid w:val="526831E0"/>
    <w:rsid w:val="526B4D1C"/>
    <w:rsid w:val="528B357C"/>
    <w:rsid w:val="52A852A9"/>
    <w:rsid w:val="52C03B00"/>
    <w:rsid w:val="52DC52B1"/>
    <w:rsid w:val="52DE64B1"/>
    <w:rsid w:val="52E02B54"/>
    <w:rsid w:val="52F63BB6"/>
    <w:rsid w:val="52FE09B4"/>
    <w:rsid w:val="53392712"/>
    <w:rsid w:val="5346560A"/>
    <w:rsid w:val="53491883"/>
    <w:rsid w:val="536224E0"/>
    <w:rsid w:val="537577FD"/>
    <w:rsid w:val="53781723"/>
    <w:rsid w:val="53894515"/>
    <w:rsid w:val="539A1441"/>
    <w:rsid w:val="53A46600"/>
    <w:rsid w:val="53B33B50"/>
    <w:rsid w:val="54732546"/>
    <w:rsid w:val="54B64B28"/>
    <w:rsid w:val="54C56319"/>
    <w:rsid w:val="55825EE2"/>
    <w:rsid w:val="55A34F00"/>
    <w:rsid w:val="55A92818"/>
    <w:rsid w:val="55F10BEA"/>
    <w:rsid w:val="561F2B3F"/>
    <w:rsid w:val="563D4B51"/>
    <w:rsid w:val="566A584A"/>
    <w:rsid w:val="5675066C"/>
    <w:rsid w:val="569E2560"/>
    <w:rsid w:val="56B72B57"/>
    <w:rsid w:val="56BD3C46"/>
    <w:rsid w:val="56EA37C9"/>
    <w:rsid w:val="56F340E4"/>
    <w:rsid w:val="57077EE6"/>
    <w:rsid w:val="573214BA"/>
    <w:rsid w:val="573317A8"/>
    <w:rsid w:val="5765363E"/>
    <w:rsid w:val="576F648D"/>
    <w:rsid w:val="57735397"/>
    <w:rsid w:val="57741D82"/>
    <w:rsid w:val="57894A90"/>
    <w:rsid w:val="57B53942"/>
    <w:rsid w:val="57BC36B3"/>
    <w:rsid w:val="57C327BE"/>
    <w:rsid w:val="57C93BCD"/>
    <w:rsid w:val="57F57F8A"/>
    <w:rsid w:val="581E7520"/>
    <w:rsid w:val="582165A1"/>
    <w:rsid w:val="583A1E0E"/>
    <w:rsid w:val="583B2E8B"/>
    <w:rsid w:val="584B64EC"/>
    <w:rsid w:val="5852108B"/>
    <w:rsid w:val="58576027"/>
    <w:rsid w:val="586620C8"/>
    <w:rsid w:val="58712E45"/>
    <w:rsid w:val="58765C5B"/>
    <w:rsid w:val="58AD4AF5"/>
    <w:rsid w:val="58CD2D0A"/>
    <w:rsid w:val="58D906CC"/>
    <w:rsid w:val="58DD7FD9"/>
    <w:rsid w:val="58F86605"/>
    <w:rsid w:val="58FC2A8C"/>
    <w:rsid w:val="58FF53CC"/>
    <w:rsid w:val="591D1D9A"/>
    <w:rsid w:val="5960230F"/>
    <w:rsid w:val="59820DB0"/>
    <w:rsid w:val="59B11045"/>
    <w:rsid w:val="59B817D3"/>
    <w:rsid w:val="59D50233"/>
    <w:rsid w:val="59E35308"/>
    <w:rsid w:val="59F736C2"/>
    <w:rsid w:val="59F91D9F"/>
    <w:rsid w:val="5A082717"/>
    <w:rsid w:val="5A086CF3"/>
    <w:rsid w:val="5A465C32"/>
    <w:rsid w:val="5A510527"/>
    <w:rsid w:val="5A5E5B30"/>
    <w:rsid w:val="5AAC11F7"/>
    <w:rsid w:val="5AB6785F"/>
    <w:rsid w:val="5AD44F78"/>
    <w:rsid w:val="5AD47E10"/>
    <w:rsid w:val="5AED7BD2"/>
    <w:rsid w:val="5B02320C"/>
    <w:rsid w:val="5B255422"/>
    <w:rsid w:val="5B4D3DF5"/>
    <w:rsid w:val="5B4D6AD9"/>
    <w:rsid w:val="5B607A28"/>
    <w:rsid w:val="5B9279DD"/>
    <w:rsid w:val="5BA45EDC"/>
    <w:rsid w:val="5BAC082D"/>
    <w:rsid w:val="5BBB00A3"/>
    <w:rsid w:val="5BC11016"/>
    <w:rsid w:val="5BC934AE"/>
    <w:rsid w:val="5BF827B7"/>
    <w:rsid w:val="5C4331E5"/>
    <w:rsid w:val="5C6043A1"/>
    <w:rsid w:val="5C68633F"/>
    <w:rsid w:val="5C806B2A"/>
    <w:rsid w:val="5C8E458C"/>
    <w:rsid w:val="5CB928D8"/>
    <w:rsid w:val="5CF1327E"/>
    <w:rsid w:val="5D1458EA"/>
    <w:rsid w:val="5D2A3654"/>
    <w:rsid w:val="5D350EAB"/>
    <w:rsid w:val="5D4B0128"/>
    <w:rsid w:val="5D64556E"/>
    <w:rsid w:val="5D951E96"/>
    <w:rsid w:val="5DE970D7"/>
    <w:rsid w:val="5DEA685D"/>
    <w:rsid w:val="5DF866B7"/>
    <w:rsid w:val="5E181628"/>
    <w:rsid w:val="5E230800"/>
    <w:rsid w:val="5E3B5AF0"/>
    <w:rsid w:val="5E3E0745"/>
    <w:rsid w:val="5E58341B"/>
    <w:rsid w:val="5E7F650D"/>
    <w:rsid w:val="5E8C2442"/>
    <w:rsid w:val="5ECE29A1"/>
    <w:rsid w:val="5F3729F1"/>
    <w:rsid w:val="5F9F5213"/>
    <w:rsid w:val="5FA6729F"/>
    <w:rsid w:val="5FF47D19"/>
    <w:rsid w:val="6007124D"/>
    <w:rsid w:val="6011486E"/>
    <w:rsid w:val="603A11F0"/>
    <w:rsid w:val="60496E03"/>
    <w:rsid w:val="604C110A"/>
    <w:rsid w:val="607B0343"/>
    <w:rsid w:val="60811D6D"/>
    <w:rsid w:val="60B116A4"/>
    <w:rsid w:val="60ED5FBB"/>
    <w:rsid w:val="61180C57"/>
    <w:rsid w:val="6147779B"/>
    <w:rsid w:val="6158098F"/>
    <w:rsid w:val="615904FD"/>
    <w:rsid w:val="615A6FF1"/>
    <w:rsid w:val="615D0EE2"/>
    <w:rsid w:val="616956FF"/>
    <w:rsid w:val="6172208A"/>
    <w:rsid w:val="619C1D31"/>
    <w:rsid w:val="61CE00E6"/>
    <w:rsid w:val="61DC3879"/>
    <w:rsid w:val="62015F78"/>
    <w:rsid w:val="62286012"/>
    <w:rsid w:val="62B45479"/>
    <w:rsid w:val="62F30779"/>
    <w:rsid w:val="62FE72EA"/>
    <w:rsid w:val="630A6E47"/>
    <w:rsid w:val="631D12A7"/>
    <w:rsid w:val="633F2F95"/>
    <w:rsid w:val="6345175E"/>
    <w:rsid w:val="635614A3"/>
    <w:rsid w:val="6360236C"/>
    <w:rsid w:val="63690839"/>
    <w:rsid w:val="637F1CD3"/>
    <w:rsid w:val="638C67AD"/>
    <w:rsid w:val="63C75138"/>
    <w:rsid w:val="642167B4"/>
    <w:rsid w:val="6424218B"/>
    <w:rsid w:val="642C5CB5"/>
    <w:rsid w:val="64577BD4"/>
    <w:rsid w:val="64701BF0"/>
    <w:rsid w:val="649B0090"/>
    <w:rsid w:val="64CC0566"/>
    <w:rsid w:val="64CD1105"/>
    <w:rsid w:val="64CD62A5"/>
    <w:rsid w:val="64E738E4"/>
    <w:rsid w:val="654079E2"/>
    <w:rsid w:val="654C5E4D"/>
    <w:rsid w:val="657D778E"/>
    <w:rsid w:val="65936255"/>
    <w:rsid w:val="65995AF2"/>
    <w:rsid w:val="65A02E86"/>
    <w:rsid w:val="65E9543A"/>
    <w:rsid w:val="66005C9D"/>
    <w:rsid w:val="66027123"/>
    <w:rsid w:val="664571D6"/>
    <w:rsid w:val="664A1D3F"/>
    <w:rsid w:val="667D71DE"/>
    <w:rsid w:val="668B1EA9"/>
    <w:rsid w:val="66950DE9"/>
    <w:rsid w:val="669B13D7"/>
    <w:rsid w:val="66D97F8E"/>
    <w:rsid w:val="66DE3AB8"/>
    <w:rsid w:val="66F334D3"/>
    <w:rsid w:val="66F97647"/>
    <w:rsid w:val="670A0A13"/>
    <w:rsid w:val="6719038C"/>
    <w:rsid w:val="671A4C04"/>
    <w:rsid w:val="67735EE3"/>
    <w:rsid w:val="67A62304"/>
    <w:rsid w:val="67E03507"/>
    <w:rsid w:val="67EC408F"/>
    <w:rsid w:val="683406DE"/>
    <w:rsid w:val="687F440F"/>
    <w:rsid w:val="68C462F1"/>
    <w:rsid w:val="68CA50AF"/>
    <w:rsid w:val="68E11616"/>
    <w:rsid w:val="68EC49A5"/>
    <w:rsid w:val="69011C68"/>
    <w:rsid w:val="6911000F"/>
    <w:rsid w:val="69476318"/>
    <w:rsid w:val="6A043D3E"/>
    <w:rsid w:val="6AE17E57"/>
    <w:rsid w:val="6AF65B34"/>
    <w:rsid w:val="6AFE1016"/>
    <w:rsid w:val="6AFF6083"/>
    <w:rsid w:val="6B2C3675"/>
    <w:rsid w:val="6B33506F"/>
    <w:rsid w:val="6B6063C9"/>
    <w:rsid w:val="6B650E43"/>
    <w:rsid w:val="6B7F1AF5"/>
    <w:rsid w:val="6BDA2A67"/>
    <w:rsid w:val="6BE01097"/>
    <w:rsid w:val="6BE36608"/>
    <w:rsid w:val="6BED679D"/>
    <w:rsid w:val="6BF20707"/>
    <w:rsid w:val="6BF54B38"/>
    <w:rsid w:val="6BF6299B"/>
    <w:rsid w:val="6C0F508E"/>
    <w:rsid w:val="6C1E1291"/>
    <w:rsid w:val="6C1F1BB5"/>
    <w:rsid w:val="6C554ADB"/>
    <w:rsid w:val="6C5B504A"/>
    <w:rsid w:val="6C6169ED"/>
    <w:rsid w:val="6C7A2CB5"/>
    <w:rsid w:val="6CA13C29"/>
    <w:rsid w:val="6CB65AF8"/>
    <w:rsid w:val="6CC17256"/>
    <w:rsid w:val="6CCD6419"/>
    <w:rsid w:val="6CDC1854"/>
    <w:rsid w:val="6D140FEE"/>
    <w:rsid w:val="6D32132E"/>
    <w:rsid w:val="6D3731A5"/>
    <w:rsid w:val="6D396CA7"/>
    <w:rsid w:val="6D4735BF"/>
    <w:rsid w:val="6D6A78D9"/>
    <w:rsid w:val="6D726F15"/>
    <w:rsid w:val="6DFE19FC"/>
    <w:rsid w:val="6E023C8A"/>
    <w:rsid w:val="6E191E4C"/>
    <w:rsid w:val="6E1B3196"/>
    <w:rsid w:val="6E22598D"/>
    <w:rsid w:val="6E2802B7"/>
    <w:rsid w:val="6E3561DC"/>
    <w:rsid w:val="6E4422F6"/>
    <w:rsid w:val="6E973E91"/>
    <w:rsid w:val="6EAE40E1"/>
    <w:rsid w:val="6ED177DA"/>
    <w:rsid w:val="6EDF5C1C"/>
    <w:rsid w:val="6EED067D"/>
    <w:rsid w:val="6EF068DA"/>
    <w:rsid w:val="6F0E4F7A"/>
    <w:rsid w:val="6F1E12D7"/>
    <w:rsid w:val="6F2E3471"/>
    <w:rsid w:val="6FA8494B"/>
    <w:rsid w:val="6FB554C2"/>
    <w:rsid w:val="6FC31F19"/>
    <w:rsid w:val="6FC32CD4"/>
    <w:rsid w:val="6FE74D1E"/>
    <w:rsid w:val="708B091E"/>
    <w:rsid w:val="70A82328"/>
    <w:rsid w:val="70AB424A"/>
    <w:rsid w:val="70B34FB0"/>
    <w:rsid w:val="70D746AC"/>
    <w:rsid w:val="70EB6288"/>
    <w:rsid w:val="711616A4"/>
    <w:rsid w:val="71283721"/>
    <w:rsid w:val="715D6BA0"/>
    <w:rsid w:val="716067B0"/>
    <w:rsid w:val="7188169E"/>
    <w:rsid w:val="71A07640"/>
    <w:rsid w:val="71D427FF"/>
    <w:rsid w:val="71FF0628"/>
    <w:rsid w:val="720B42D9"/>
    <w:rsid w:val="72570D93"/>
    <w:rsid w:val="725D1030"/>
    <w:rsid w:val="727147ED"/>
    <w:rsid w:val="72832582"/>
    <w:rsid w:val="729E49EA"/>
    <w:rsid w:val="72AC7F1B"/>
    <w:rsid w:val="72B7141E"/>
    <w:rsid w:val="72BB0A17"/>
    <w:rsid w:val="72C81C90"/>
    <w:rsid w:val="72CB65F3"/>
    <w:rsid w:val="72DA017D"/>
    <w:rsid w:val="72DB3EFC"/>
    <w:rsid w:val="72FD6249"/>
    <w:rsid w:val="72FE0A87"/>
    <w:rsid w:val="732706F9"/>
    <w:rsid w:val="732914DC"/>
    <w:rsid w:val="736949E6"/>
    <w:rsid w:val="7384762D"/>
    <w:rsid w:val="738B18DE"/>
    <w:rsid w:val="73C80FB1"/>
    <w:rsid w:val="73CE6C6D"/>
    <w:rsid w:val="73E95163"/>
    <w:rsid w:val="73EF671C"/>
    <w:rsid w:val="74074216"/>
    <w:rsid w:val="740B1FF0"/>
    <w:rsid w:val="74340B92"/>
    <w:rsid w:val="745942EE"/>
    <w:rsid w:val="74607793"/>
    <w:rsid w:val="74620891"/>
    <w:rsid w:val="74777001"/>
    <w:rsid w:val="747D102B"/>
    <w:rsid w:val="74831720"/>
    <w:rsid w:val="749C517E"/>
    <w:rsid w:val="74BB373D"/>
    <w:rsid w:val="74E000D4"/>
    <w:rsid w:val="74F16F2F"/>
    <w:rsid w:val="75275E81"/>
    <w:rsid w:val="75481FE1"/>
    <w:rsid w:val="75603AB2"/>
    <w:rsid w:val="756767A4"/>
    <w:rsid w:val="75953045"/>
    <w:rsid w:val="75CD1C51"/>
    <w:rsid w:val="75DF2DC1"/>
    <w:rsid w:val="763A402E"/>
    <w:rsid w:val="766F725C"/>
    <w:rsid w:val="76790233"/>
    <w:rsid w:val="767B6D29"/>
    <w:rsid w:val="768B2C0A"/>
    <w:rsid w:val="76AB4E74"/>
    <w:rsid w:val="76F71702"/>
    <w:rsid w:val="77196389"/>
    <w:rsid w:val="771F2D6B"/>
    <w:rsid w:val="772E7193"/>
    <w:rsid w:val="7734199B"/>
    <w:rsid w:val="77484CAB"/>
    <w:rsid w:val="779623AD"/>
    <w:rsid w:val="77C86594"/>
    <w:rsid w:val="77E913C7"/>
    <w:rsid w:val="78497340"/>
    <w:rsid w:val="78656691"/>
    <w:rsid w:val="789A6AF4"/>
    <w:rsid w:val="78A07BDA"/>
    <w:rsid w:val="78E6519B"/>
    <w:rsid w:val="79240021"/>
    <w:rsid w:val="79435A80"/>
    <w:rsid w:val="79570BE0"/>
    <w:rsid w:val="795F7AAC"/>
    <w:rsid w:val="796E3EF0"/>
    <w:rsid w:val="79702026"/>
    <w:rsid w:val="79914F54"/>
    <w:rsid w:val="79C60A60"/>
    <w:rsid w:val="79CF4BFA"/>
    <w:rsid w:val="79D860DB"/>
    <w:rsid w:val="79EF33C0"/>
    <w:rsid w:val="79FB43E1"/>
    <w:rsid w:val="7A037A53"/>
    <w:rsid w:val="7A2902FC"/>
    <w:rsid w:val="7A3D2C79"/>
    <w:rsid w:val="7A5007FA"/>
    <w:rsid w:val="7A59379C"/>
    <w:rsid w:val="7A9C6A54"/>
    <w:rsid w:val="7ABB7BAF"/>
    <w:rsid w:val="7AF83B85"/>
    <w:rsid w:val="7B0034EA"/>
    <w:rsid w:val="7B1125B1"/>
    <w:rsid w:val="7B5A1A21"/>
    <w:rsid w:val="7B5F5B2A"/>
    <w:rsid w:val="7B6E49EB"/>
    <w:rsid w:val="7B91378B"/>
    <w:rsid w:val="7B917B48"/>
    <w:rsid w:val="7BB6259E"/>
    <w:rsid w:val="7C0068F7"/>
    <w:rsid w:val="7C3000C2"/>
    <w:rsid w:val="7C3431C7"/>
    <w:rsid w:val="7C500030"/>
    <w:rsid w:val="7C5440B0"/>
    <w:rsid w:val="7C5F2722"/>
    <w:rsid w:val="7C6B5DFC"/>
    <w:rsid w:val="7C7A0AC6"/>
    <w:rsid w:val="7CAB3D98"/>
    <w:rsid w:val="7CCF49B2"/>
    <w:rsid w:val="7CF1139E"/>
    <w:rsid w:val="7D0B29E4"/>
    <w:rsid w:val="7D790A9C"/>
    <w:rsid w:val="7DC76EE5"/>
    <w:rsid w:val="7DCE0EC6"/>
    <w:rsid w:val="7DDA6374"/>
    <w:rsid w:val="7DF2702E"/>
    <w:rsid w:val="7E110A28"/>
    <w:rsid w:val="7E346A83"/>
    <w:rsid w:val="7E3C05B4"/>
    <w:rsid w:val="7E520F7B"/>
    <w:rsid w:val="7E5B25DC"/>
    <w:rsid w:val="7E7B17E9"/>
    <w:rsid w:val="7E7F4A5A"/>
    <w:rsid w:val="7EAE6777"/>
    <w:rsid w:val="7EB34F90"/>
    <w:rsid w:val="7ED008BC"/>
    <w:rsid w:val="7EE747ED"/>
    <w:rsid w:val="7EF82FD5"/>
    <w:rsid w:val="7F157B86"/>
    <w:rsid w:val="7F235680"/>
    <w:rsid w:val="7F645C38"/>
    <w:rsid w:val="7F7215CA"/>
    <w:rsid w:val="7F9E036E"/>
    <w:rsid w:val="7FA67453"/>
    <w:rsid w:val="7FBD3145"/>
    <w:rsid w:val="7FD42FBF"/>
    <w:rsid w:val="7FD91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qFormat="1" w:unhideWhenUsed="0" w:uiPriority="99" w:semiHidden="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3"/>
    <w:next w:val="1"/>
    <w:link w:val="51"/>
    <w:qFormat/>
    <w:uiPriority w:val="9"/>
    <w:pPr>
      <w:spacing w:before="340" w:after="330" w:line="578" w:lineRule="auto"/>
      <w:outlineLvl w:val="0"/>
    </w:pPr>
    <w:rPr>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3">
    <w:name w:val="heading 3"/>
    <w:basedOn w:val="1"/>
    <w:next w:val="1"/>
    <w:link w:val="5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7"/>
    <w:qFormat/>
    <w:uiPriority w:val="0"/>
    <w:pPr>
      <w:keepNext/>
      <w:keepLines/>
      <w:spacing w:before="280" w:after="290" w:line="376" w:lineRule="auto"/>
      <w:outlineLvl w:val="3"/>
    </w:pPr>
    <w:rPr>
      <w:b/>
      <w:bCs/>
      <w:sz w:val="28"/>
      <w:szCs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50"/>
    <w:qFormat/>
    <w:uiPriority w:val="99"/>
    <w:pPr>
      <w:jc w:val="left"/>
    </w:pPr>
    <w:rPr>
      <w:rFonts w:ascii="Arial" w:hAnsi="Arial" w:eastAsia="黑体" w:cs="Arial"/>
    </w:rPr>
  </w:style>
  <w:style w:type="paragraph" w:styleId="8">
    <w:name w:val="Body Text"/>
    <w:basedOn w:val="1"/>
    <w:next w:val="1"/>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unhideWhenUsed/>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index 4"/>
    <w:basedOn w:val="1"/>
    <w:next w:val="1"/>
    <w:qFormat/>
    <w:uiPriority w:val="99"/>
    <w:pPr>
      <w:ind w:left="600" w:leftChars="600"/>
    </w:pPr>
    <w:rPr>
      <w:szCs w:val="24"/>
    </w:rPr>
  </w:style>
  <w:style w:type="paragraph" w:styleId="12">
    <w:name w:val="toc 3"/>
    <w:basedOn w:val="1"/>
    <w:next w:val="1"/>
    <w:unhideWhenUsed/>
    <w:qFormat/>
    <w:uiPriority w:val="39"/>
    <w:pPr>
      <w:widowControl/>
      <w:spacing w:after="100" w:line="276" w:lineRule="auto"/>
      <w:ind w:left="440"/>
      <w:jc w:val="left"/>
    </w:pPr>
    <w:rPr>
      <w:rFonts w:ascii="Calibri" w:hAnsi="Calibri" w:eastAsia="宋体" w:cs="黑体"/>
      <w:kern w:val="0"/>
      <w:sz w:val="22"/>
      <w:szCs w:val="22"/>
    </w:rPr>
  </w:style>
  <w:style w:type="paragraph" w:styleId="13">
    <w:name w:val="Plain Text"/>
    <w:basedOn w:val="1"/>
    <w:link w:val="43"/>
    <w:qFormat/>
    <w:uiPriority w:val="99"/>
    <w:rPr>
      <w:rFonts w:ascii="宋体" w:hAnsi="Courier New" w:eastAsia="宋体" w:cs="黑体"/>
      <w:szCs w:val="22"/>
    </w:rPr>
  </w:style>
  <w:style w:type="paragraph" w:styleId="14">
    <w:name w:val="Date"/>
    <w:basedOn w:val="1"/>
    <w:next w:val="1"/>
    <w:link w:val="47"/>
    <w:qFormat/>
    <w:uiPriority w:val="0"/>
    <w:rPr>
      <w:rFonts w:ascii="Arial" w:hAnsi="Arial" w:eastAsia="宋体" w:cs="Arial"/>
      <w:b/>
      <w:sz w:val="28"/>
    </w:rPr>
  </w:style>
  <w:style w:type="paragraph" w:styleId="15">
    <w:name w:val="Balloon Text"/>
    <w:basedOn w:val="1"/>
    <w:link w:val="40"/>
    <w:unhideWhenUsed/>
    <w:qFormat/>
    <w:uiPriority w:val="99"/>
    <w:rPr>
      <w:sz w:val="18"/>
      <w:szCs w:val="18"/>
    </w:rPr>
  </w:style>
  <w:style w:type="paragraph" w:styleId="16">
    <w:name w:val="footer"/>
    <w:basedOn w:val="1"/>
    <w:link w:val="42"/>
    <w:unhideWhenUsed/>
    <w:qFormat/>
    <w:uiPriority w:val="99"/>
    <w:pPr>
      <w:tabs>
        <w:tab w:val="center" w:pos="4153"/>
        <w:tab w:val="right" w:pos="8306"/>
      </w:tabs>
      <w:snapToGrid w:val="0"/>
      <w:jc w:val="left"/>
    </w:pPr>
    <w:rPr>
      <w:sz w:val="18"/>
      <w:szCs w:val="18"/>
    </w:rPr>
  </w:style>
  <w:style w:type="paragraph" w:styleId="17">
    <w:name w:val="header"/>
    <w:basedOn w:val="1"/>
    <w:link w:val="41"/>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Calibri" w:hAnsi="Calibri" w:eastAsia="宋体" w:cs="黑体"/>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20">
    <w:name w:val="Body Text 2"/>
    <w:basedOn w:val="1"/>
    <w:qFormat/>
    <w:uiPriority w:val="0"/>
    <w:pPr>
      <w:spacing w:line="360" w:lineRule="auto"/>
    </w:pPr>
    <w:rPr>
      <w:sz w:val="24"/>
    </w:rPr>
  </w:style>
  <w:style w:type="paragraph" w:styleId="21">
    <w:name w:val="Normal (Web)"/>
    <w:basedOn w:val="1"/>
    <w:qFormat/>
    <w:uiPriority w:val="0"/>
    <w:pPr>
      <w:spacing w:beforeAutospacing="1" w:afterAutospacing="1"/>
      <w:jc w:val="left"/>
    </w:pPr>
    <w:rPr>
      <w:kern w:val="0"/>
      <w:sz w:val="24"/>
    </w:rPr>
  </w:style>
  <w:style w:type="paragraph" w:styleId="22">
    <w:name w:val="index 1"/>
    <w:basedOn w:val="1"/>
    <w:next w:val="1"/>
    <w:qFormat/>
    <w:uiPriority w:val="0"/>
    <w:pPr>
      <w:jc w:val="center"/>
    </w:pPr>
    <w:rPr>
      <w:rFonts w:ascii="Arial" w:hAnsi="Arial" w:eastAsia="Arial" w:cs="Arial"/>
      <w:b/>
      <w:bCs/>
      <w:sz w:val="28"/>
    </w:rPr>
  </w:style>
  <w:style w:type="paragraph" w:styleId="23">
    <w:name w:val="annotation subject"/>
    <w:basedOn w:val="7"/>
    <w:next w:val="7"/>
    <w:link w:val="60"/>
    <w:unhideWhenUsed/>
    <w:qFormat/>
    <w:uiPriority w:val="99"/>
    <w:rPr>
      <w:rFonts w:ascii="@仿宋_GB2312" w:hAnsi="@仿宋_GB2312" w:eastAsia="@仿宋_GB2312" w:cs="@仿宋_GB2312"/>
      <w:b/>
      <w:bCs/>
    </w:rPr>
  </w:style>
  <w:style w:type="paragraph" w:styleId="24">
    <w:name w:val="Body Text First Indent"/>
    <w:basedOn w:val="8"/>
    <w:unhideWhenUsed/>
    <w:qFormat/>
    <w:uiPriority w:val="99"/>
    <w:pPr>
      <w:ind w:firstLine="420" w:firstLineChars="100"/>
    </w:pPr>
  </w:style>
  <w:style w:type="paragraph" w:styleId="25">
    <w:name w:val="Body Text First Indent 2"/>
    <w:basedOn w:val="9"/>
    <w:next w:val="1"/>
    <w:link w:val="75"/>
    <w:unhideWhenUsed/>
    <w:qFormat/>
    <w:uiPriority w:val="99"/>
    <w:pPr>
      <w:ind w:left="420" w:firstLine="420" w:firstLineChars="200"/>
    </w:pPr>
    <w:rPr>
      <w:rFonts w:ascii="Times New Roman" w:cs="Times New Roman"/>
    </w:rPr>
  </w:style>
  <w:style w:type="table" w:styleId="27">
    <w:name w:val="Table Grid"/>
    <w:basedOn w:val="26"/>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0"/>
    <w:rPr>
      <w:b/>
      <w:bCs/>
    </w:rPr>
  </w:style>
  <w:style w:type="character" w:styleId="30">
    <w:name w:val="Hyperlink"/>
    <w:basedOn w:val="28"/>
    <w:unhideWhenUsed/>
    <w:qFormat/>
    <w:uiPriority w:val="99"/>
    <w:rPr>
      <w:color w:val="0000FF"/>
      <w:u w:val="single"/>
    </w:rPr>
  </w:style>
  <w:style w:type="character" w:styleId="31">
    <w:name w:val="annotation reference"/>
    <w:basedOn w:val="28"/>
    <w:unhideWhenUsed/>
    <w:qFormat/>
    <w:uiPriority w:val="99"/>
    <w:rPr>
      <w:sz w:val="21"/>
      <w:szCs w:val="21"/>
    </w:rPr>
  </w:style>
  <w:style w:type="paragraph" w:customStyle="1" w:styleId="32">
    <w:name w:val="正文（缩进）"/>
    <w:basedOn w:val="1"/>
    <w:qFormat/>
    <w:uiPriority w:val="0"/>
    <w:pPr>
      <w:widowControl/>
      <w:spacing w:before="156" w:after="156"/>
      <w:ind w:firstLine="480" w:firstLineChars="200"/>
      <w:jc w:val="left"/>
    </w:pPr>
    <w:rPr>
      <w:kern w:val="0"/>
      <w:sz w:val="24"/>
      <w:szCs w:val="24"/>
    </w:rPr>
  </w:style>
  <w:style w:type="paragraph" w:customStyle="1" w:styleId="33">
    <w:name w:val="xl31"/>
    <w:basedOn w:val="1"/>
    <w:qFormat/>
    <w:uiPriority w:val="0"/>
    <w:pPr>
      <w:widowControl/>
      <w:spacing w:before="100" w:beforeAutospacing="1" w:after="100" w:afterAutospacing="1"/>
      <w:jc w:val="center"/>
    </w:pPr>
    <w:rPr>
      <w:b/>
      <w:bCs/>
      <w:kern w:val="0"/>
      <w:sz w:val="28"/>
      <w:szCs w:val="28"/>
    </w:rPr>
  </w:style>
  <w:style w:type="paragraph" w:customStyle="1" w:styleId="34">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列表段落1"/>
    <w:basedOn w:val="1"/>
    <w:qFormat/>
    <w:uiPriority w:val="34"/>
    <w:pPr>
      <w:ind w:firstLine="420" w:firstLineChars="200"/>
    </w:pPr>
  </w:style>
  <w:style w:type="paragraph" w:customStyle="1" w:styleId="36">
    <w:name w:val="Char Char Char Char Char Char Char1 Char"/>
    <w:basedOn w:val="1"/>
    <w:qFormat/>
    <w:uiPriority w:val="0"/>
    <w:rPr>
      <w:rFonts w:ascii="Arial" w:hAnsi="Arial" w:eastAsia="宋体" w:cs="Arial"/>
      <w:sz w:val="24"/>
    </w:rPr>
  </w:style>
  <w:style w:type="paragraph" w:customStyle="1" w:styleId="37">
    <w:name w:val="TOC 标题1"/>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38">
    <w:name w:val="Char"/>
    <w:basedOn w:val="1"/>
    <w:qFormat/>
    <w:uiPriority w:val="0"/>
    <w:rPr>
      <w:rFonts w:ascii="Tahoma" w:hAnsi="Tahoma"/>
      <w:sz w:val="24"/>
    </w:rPr>
  </w:style>
  <w:style w:type="paragraph" w:customStyle="1" w:styleId="39">
    <w:name w:val="列出段落1"/>
    <w:basedOn w:val="1"/>
    <w:qFormat/>
    <w:uiPriority w:val="34"/>
    <w:pPr>
      <w:ind w:firstLine="420" w:firstLineChars="200"/>
    </w:pPr>
  </w:style>
  <w:style w:type="character" w:customStyle="1" w:styleId="40">
    <w:name w:val="批注框文本 字符"/>
    <w:basedOn w:val="28"/>
    <w:link w:val="15"/>
    <w:semiHidden/>
    <w:qFormat/>
    <w:uiPriority w:val="99"/>
    <w:rPr>
      <w:rFonts w:ascii="@仿宋_GB2312" w:hAnsi="@仿宋_GB2312" w:eastAsia="@仿宋_GB2312" w:cs="@仿宋_GB2312"/>
      <w:sz w:val="18"/>
      <w:szCs w:val="18"/>
    </w:rPr>
  </w:style>
  <w:style w:type="character" w:customStyle="1" w:styleId="41">
    <w:name w:val="页眉 字符"/>
    <w:basedOn w:val="28"/>
    <w:link w:val="17"/>
    <w:qFormat/>
    <w:uiPriority w:val="99"/>
    <w:rPr>
      <w:rFonts w:ascii="@仿宋_GB2312" w:hAnsi="@仿宋_GB2312" w:eastAsia="@仿宋_GB2312" w:cs="@仿宋_GB2312"/>
      <w:sz w:val="18"/>
      <w:szCs w:val="18"/>
    </w:rPr>
  </w:style>
  <w:style w:type="character" w:customStyle="1" w:styleId="42">
    <w:name w:val="页脚 字符"/>
    <w:basedOn w:val="28"/>
    <w:link w:val="16"/>
    <w:qFormat/>
    <w:uiPriority w:val="99"/>
    <w:rPr>
      <w:rFonts w:ascii="@仿宋_GB2312" w:hAnsi="@仿宋_GB2312" w:eastAsia="@仿宋_GB2312" w:cs="@仿宋_GB2312"/>
      <w:sz w:val="18"/>
      <w:szCs w:val="18"/>
    </w:rPr>
  </w:style>
  <w:style w:type="character" w:customStyle="1" w:styleId="43">
    <w:name w:val="纯文本 字符"/>
    <w:link w:val="13"/>
    <w:qFormat/>
    <w:uiPriority w:val="0"/>
    <w:rPr>
      <w:rFonts w:ascii="宋体" w:hAnsi="Courier New"/>
    </w:rPr>
  </w:style>
  <w:style w:type="character" w:customStyle="1" w:styleId="44">
    <w:name w:val="纯文本 字符1"/>
    <w:basedOn w:val="28"/>
    <w:semiHidden/>
    <w:qFormat/>
    <w:uiPriority w:val="99"/>
    <w:rPr>
      <w:rFonts w:ascii="宋体" w:hAnsi="Courier New" w:cs="Courier New"/>
      <w:szCs w:val="20"/>
    </w:rPr>
  </w:style>
  <w:style w:type="character" w:customStyle="1" w:styleId="45">
    <w:name w:val="未处理的提及1"/>
    <w:basedOn w:val="28"/>
    <w:unhideWhenUsed/>
    <w:qFormat/>
    <w:uiPriority w:val="99"/>
    <w:rPr>
      <w:color w:val="605E5C"/>
      <w:shd w:val="clear" w:color="auto" w:fill="E1DFDD"/>
    </w:rPr>
  </w:style>
  <w:style w:type="character" w:customStyle="1" w:styleId="46">
    <w:name w:val="日期 字符"/>
    <w:basedOn w:val="28"/>
    <w:semiHidden/>
    <w:qFormat/>
    <w:uiPriority w:val="99"/>
    <w:rPr>
      <w:rFonts w:ascii="@仿宋_GB2312" w:hAnsi="@仿宋_GB2312" w:eastAsia="@仿宋_GB2312" w:cs="@仿宋_GB2312"/>
      <w:szCs w:val="20"/>
    </w:rPr>
  </w:style>
  <w:style w:type="character" w:customStyle="1" w:styleId="47">
    <w:name w:val="日期 字符1"/>
    <w:link w:val="14"/>
    <w:qFormat/>
    <w:uiPriority w:val="0"/>
    <w:rPr>
      <w:rFonts w:ascii="Arial" w:hAnsi="Arial" w:eastAsia="宋体" w:cs="Arial"/>
      <w:b/>
      <w:sz w:val="28"/>
      <w:szCs w:val="20"/>
    </w:rPr>
  </w:style>
  <w:style w:type="character" w:customStyle="1" w:styleId="48">
    <w:name w:val="纯文本 Char1"/>
    <w:qFormat/>
    <w:locked/>
    <w:uiPriority w:val="99"/>
    <w:rPr>
      <w:rFonts w:ascii="Arial" w:hAnsi="Arial" w:eastAsia="Arial"/>
      <w:kern w:val="2"/>
      <w:sz w:val="21"/>
      <w:lang w:val="en-US" w:eastAsia="zh-CN" w:bidi="ar-SA"/>
    </w:rPr>
  </w:style>
  <w:style w:type="character" w:customStyle="1" w:styleId="49">
    <w:name w:val="批注文字 Char"/>
    <w:basedOn w:val="28"/>
    <w:semiHidden/>
    <w:qFormat/>
    <w:uiPriority w:val="99"/>
    <w:rPr>
      <w:rFonts w:ascii="@仿宋_GB2312" w:hAnsi="@仿宋_GB2312" w:eastAsia="@仿宋_GB2312" w:cs="@仿宋_GB2312"/>
      <w:szCs w:val="20"/>
    </w:rPr>
  </w:style>
  <w:style w:type="character" w:customStyle="1" w:styleId="50">
    <w:name w:val="批注文字 字符"/>
    <w:link w:val="7"/>
    <w:qFormat/>
    <w:uiPriority w:val="99"/>
    <w:rPr>
      <w:rFonts w:ascii="Arial" w:hAnsi="Arial" w:eastAsia="黑体" w:cs="Arial"/>
      <w:szCs w:val="20"/>
    </w:rPr>
  </w:style>
  <w:style w:type="character" w:customStyle="1" w:styleId="51">
    <w:name w:val="标题 1 字符"/>
    <w:basedOn w:val="28"/>
    <w:link w:val="2"/>
    <w:qFormat/>
    <w:uiPriority w:val="9"/>
    <w:rPr>
      <w:rFonts w:ascii="@仿宋_GB2312" w:hAnsi="@仿宋_GB2312" w:eastAsia="@仿宋_GB2312" w:cs="@仿宋_GB2312"/>
      <w:b/>
      <w:bCs/>
      <w:kern w:val="44"/>
      <w:sz w:val="44"/>
      <w:szCs w:val="44"/>
    </w:rPr>
  </w:style>
  <w:style w:type="character" w:customStyle="1" w:styleId="52">
    <w:name w:val="标题 3 字符"/>
    <w:basedOn w:val="28"/>
    <w:link w:val="3"/>
    <w:semiHidden/>
    <w:qFormat/>
    <w:uiPriority w:val="9"/>
    <w:rPr>
      <w:rFonts w:ascii="@仿宋_GB2312" w:hAnsi="@仿宋_GB2312" w:eastAsia="@仿宋_GB2312" w:cs="@仿宋_GB2312"/>
      <w:b/>
      <w:bCs/>
      <w:sz w:val="32"/>
      <w:szCs w:val="32"/>
    </w:rPr>
  </w:style>
  <w:style w:type="character" w:customStyle="1" w:styleId="53">
    <w:name w:val="fontstyle01"/>
    <w:basedOn w:val="28"/>
    <w:qFormat/>
    <w:uiPriority w:val="0"/>
    <w:rPr>
      <w:rFonts w:hint="eastAsia" w:ascii="宋体" w:hAnsi="宋体" w:eastAsia="宋体"/>
      <w:color w:val="000000"/>
      <w:sz w:val="22"/>
      <w:szCs w:val="22"/>
    </w:rPr>
  </w:style>
  <w:style w:type="character" w:customStyle="1" w:styleId="54">
    <w:name w:val="fontstyle21"/>
    <w:basedOn w:val="28"/>
    <w:qFormat/>
    <w:uiPriority w:val="0"/>
    <w:rPr>
      <w:rFonts w:hint="default" w:ascii="TimesNewRomanPSMT" w:hAnsi="TimesNewRomanPSMT"/>
      <w:color w:val="000000"/>
      <w:sz w:val="22"/>
      <w:szCs w:val="22"/>
    </w:rPr>
  </w:style>
  <w:style w:type="character" w:customStyle="1" w:styleId="55">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6">
    <w:name w:val="标题 4 字符"/>
    <w:basedOn w:val="28"/>
    <w:semiHidden/>
    <w:qFormat/>
    <w:uiPriority w:val="9"/>
    <w:rPr>
      <w:rFonts w:ascii="Cambria" w:hAnsi="Cambria" w:eastAsia="宋体" w:cs="黑体"/>
      <w:b/>
      <w:bCs/>
      <w:sz w:val="28"/>
      <w:szCs w:val="28"/>
    </w:rPr>
  </w:style>
  <w:style w:type="character" w:customStyle="1" w:styleId="57">
    <w:name w:val="标题 4 字符1"/>
    <w:link w:val="5"/>
    <w:qFormat/>
    <w:uiPriority w:val="0"/>
    <w:rPr>
      <w:rFonts w:ascii="@仿宋_GB2312" w:hAnsi="@仿宋_GB2312" w:eastAsia="@仿宋_GB2312" w:cs="@仿宋_GB2312"/>
      <w:b/>
      <w:bCs/>
      <w:sz w:val="28"/>
      <w:szCs w:val="28"/>
    </w:rPr>
  </w:style>
  <w:style w:type="character" w:customStyle="1" w:styleId="58">
    <w:name w:val="标题 4 Char"/>
    <w:qFormat/>
    <w:uiPriority w:val="0"/>
    <w:rPr>
      <w:rFonts w:ascii="Arial" w:hAnsi="Arial" w:eastAsia="Arial"/>
      <w:b/>
      <w:bCs/>
      <w:kern w:val="2"/>
      <w:sz w:val="28"/>
      <w:szCs w:val="28"/>
      <w:lang w:val="en-US" w:eastAsia="zh-CN" w:bidi="ar-SA"/>
    </w:rPr>
  </w:style>
  <w:style w:type="character" w:customStyle="1" w:styleId="59">
    <w:name w:val="fontstyle11"/>
    <w:basedOn w:val="28"/>
    <w:qFormat/>
    <w:uiPriority w:val="0"/>
    <w:rPr>
      <w:rFonts w:hint="eastAsia" w:ascii="宋体" w:hAnsi="宋体" w:eastAsia="宋体"/>
      <w:color w:val="000000"/>
      <w:sz w:val="22"/>
      <w:szCs w:val="22"/>
    </w:rPr>
  </w:style>
  <w:style w:type="character" w:customStyle="1" w:styleId="60">
    <w:name w:val="批注主题 字符"/>
    <w:basedOn w:val="50"/>
    <w:link w:val="23"/>
    <w:semiHidden/>
    <w:qFormat/>
    <w:uiPriority w:val="99"/>
    <w:rPr>
      <w:rFonts w:ascii="@仿宋_GB2312" w:hAnsi="@仿宋_GB2312" w:eastAsia="@仿宋_GB2312" w:cs="@仿宋_GB2312"/>
      <w:b/>
      <w:bCs/>
      <w:szCs w:val="20"/>
    </w:rPr>
  </w:style>
  <w:style w:type="table" w:customStyle="1" w:styleId="61">
    <w:name w:val="网格表 1 浅色1"/>
    <w:basedOn w:val="26"/>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62">
    <w:name w:val="网格型1"/>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3">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64">
    <w:name w:val="List Paragraph"/>
    <w:basedOn w:val="1"/>
    <w:qFormat/>
    <w:uiPriority w:val="34"/>
    <w:pPr>
      <w:ind w:firstLine="420" w:firstLineChars="200"/>
    </w:pPr>
  </w:style>
  <w:style w:type="character" w:customStyle="1" w:styleId="65">
    <w:name w:val="font41"/>
    <w:basedOn w:val="28"/>
    <w:qFormat/>
    <w:uiPriority w:val="0"/>
    <w:rPr>
      <w:rFonts w:hint="default" w:ascii="Times New Roman" w:hAnsi="Times New Roman" w:cs="Times New Roman"/>
      <w:color w:val="000000"/>
      <w:sz w:val="20"/>
      <w:szCs w:val="20"/>
      <w:u w:val="none"/>
    </w:rPr>
  </w:style>
  <w:style w:type="character" w:customStyle="1" w:styleId="66">
    <w:name w:val="font51"/>
    <w:basedOn w:val="28"/>
    <w:qFormat/>
    <w:uiPriority w:val="0"/>
    <w:rPr>
      <w:rFonts w:hint="default" w:ascii="Times New Roman" w:hAnsi="Times New Roman" w:cs="Times New Roman"/>
      <w:color w:val="000000"/>
      <w:sz w:val="20"/>
      <w:szCs w:val="20"/>
      <w:u w:val="none"/>
    </w:rPr>
  </w:style>
  <w:style w:type="character" w:customStyle="1" w:styleId="67">
    <w:name w:val="font11"/>
    <w:basedOn w:val="28"/>
    <w:qFormat/>
    <w:uiPriority w:val="0"/>
    <w:rPr>
      <w:rFonts w:hint="eastAsia" w:ascii="宋体" w:hAnsi="宋体" w:eastAsia="宋体" w:cs="宋体"/>
      <w:color w:val="000000"/>
      <w:sz w:val="20"/>
      <w:szCs w:val="20"/>
      <w:u w:val="none"/>
    </w:rPr>
  </w:style>
  <w:style w:type="character" w:customStyle="1" w:styleId="68">
    <w:name w:val="font31"/>
    <w:basedOn w:val="28"/>
    <w:qFormat/>
    <w:uiPriority w:val="0"/>
    <w:rPr>
      <w:rFonts w:hint="eastAsia" w:ascii="宋体" w:hAnsi="宋体" w:eastAsia="宋体" w:cs="宋体"/>
      <w:color w:val="FF0000"/>
      <w:sz w:val="20"/>
      <w:szCs w:val="20"/>
      <w:u w:val="none"/>
    </w:rPr>
  </w:style>
  <w:style w:type="paragraph" w:customStyle="1" w:styleId="69">
    <w:name w:val="修订1"/>
    <w:hidden/>
    <w:unhideWhenUsed/>
    <w:qFormat/>
    <w:uiPriority w:val="99"/>
    <w:rPr>
      <w:rFonts w:ascii="@仿宋_GB2312" w:hAnsi="@仿宋_GB2312" w:eastAsia="@仿宋_GB2312" w:cs="@仿宋_GB2312"/>
      <w:kern w:val="2"/>
      <w:sz w:val="21"/>
      <w:lang w:val="en-US" w:eastAsia="zh-CN" w:bidi="ar-SA"/>
    </w:rPr>
  </w:style>
  <w:style w:type="paragraph" w:customStyle="1" w:styleId="70">
    <w:name w:val="Default"/>
    <w:unhideWhenUsed/>
    <w:qFormat/>
    <w:uiPriority w:val="99"/>
    <w:pPr>
      <w:widowControl w:val="0"/>
      <w:autoSpaceDE w:val="0"/>
      <w:autoSpaceDN w:val="0"/>
      <w:adjustRightInd w:val="0"/>
    </w:pPr>
    <w:rPr>
      <w:rFonts w:ascii="宋体" w:hAnsi="宋体" w:eastAsia="宋体" w:cs="Times New Roman"/>
      <w:color w:val="000000"/>
      <w:sz w:val="24"/>
      <w:lang w:val="en-US" w:eastAsia="zh-CN" w:bidi="ar-SA"/>
    </w:rPr>
  </w:style>
  <w:style w:type="paragraph" w:customStyle="1" w:styleId="71">
    <w:name w:val="文档正文"/>
    <w:basedOn w:val="1"/>
    <w:qFormat/>
    <w:uiPriority w:val="0"/>
    <w:pPr>
      <w:adjustRightInd w:val="0"/>
      <w:spacing w:line="480" w:lineRule="atLeast"/>
      <w:ind w:firstLine="567" w:firstLineChars="200"/>
      <w:textAlignment w:val="baseline"/>
    </w:pPr>
    <w:rPr>
      <w:rFonts w:ascii="长城仿宋"/>
      <w:kern w:val="0"/>
    </w:rPr>
  </w:style>
  <w:style w:type="paragraph" w:customStyle="1" w:styleId="72">
    <w:name w:val="Table Paragraph"/>
    <w:basedOn w:val="1"/>
    <w:qFormat/>
    <w:uiPriority w:val="1"/>
    <w:rPr>
      <w:rFonts w:ascii="宋体" w:hAnsi="宋体" w:cs="宋体"/>
      <w:lang w:val="zh-CN" w:bidi="zh-CN"/>
    </w:rPr>
  </w:style>
  <w:style w:type="character" w:customStyle="1" w:styleId="73">
    <w:name w:val="font21"/>
    <w:qFormat/>
    <w:uiPriority w:val="0"/>
    <w:rPr>
      <w:rFonts w:hint="eastAsia" w:ascii="宋体" w:hAnsi="宋体" w:eastAsia="宋体" w:cs="宋体"/>
      <w:color w:val="000000"/>
      <w:sz w:val="24"/>
      <w:szCs w:val="24"/>
      <w:u w:val="none"/>
    </w:rPr>
  </w:style>
  <w:style w:type="paragraph" w:customStyle="1" w:styleId="74">
    <w:name w:val="Table Text"/>
    <w:basedOn w:val="1"/>
    <w:semiHidden/>
    <w:qFormat/>
    <w:uiPriority w:val="0"/>
    <w:rPr>
      <w:rFonts w:ascii="宋体" w:hAnsi="宋体" w:cs="宋体"/>
      <w:szCs w:val="21"/>
      <w:lang w:eastAsia="en-US"/>
    </w:rPr>
  </w:style>
  <w:style w:type="character" w:customStyle="1" w:styleId="75">
    <w:name w:val="正文文本首行缩进 2 字符"/>
    <w:basedOn w:val="28"/>
    <w:link w:val="25"/>
    <w:qFormat/>
    <w:uiPriority w:val="99"/>
    <w:rPr>
      <w:rFonts w:hAnsi="@仿宋_GB2312" w:eastAsia="楷体_GB2312"/>
      <w:kern w:val="2"/>
      <w:sz w:val="32"/>
    </w:rPr>
  </w:style>
  <w:style w:type="paragraph" w:customStyle="1" w:styleId="76">
    <w:name w:val="修订2"/>
    <w:hidden/>
    <w:semiHidden/>
    <w:qFormat/>
    <w:uiPriority w:val="99"/>
    <w:rPr>
      <w:rFonts w:ascii="@仿宋_GB2312" w:hAnsi="@仿宋_GB2312" w:eastAsia="@仿宋_GB2312" w:cs="@仿宋_GB2312"/>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18BD1E-228B-4737-A052-D462F971EE9C}">
  <ds:schemaRefs/>
</ds:datastoreItem>
</file>

<file path=docProps/app.xml><?xml version="1.0" encoding="utf-8"?>
<Properties xmlns="http://schemas.openxmlformats.org/officeDocument/2006/extended-properties" xmlns:vt="http://schemas.openxmlformats.org/officeDocument/2006/docPropsVTypes">
  <Template>Normal.dotm</Template>
  <Company>akoosky</Company>
  <Pages>8</Pages>
  <Words>5540</Words>
  <Characters>6389</Characters>
  <Lines>277</Lines>
  <Paragraphs>78</Paragraphs>
  <TotalTime>5</TotalTime>
  <ScaleCrop>false</ScaleCrop>
  <LinksUpToDate>false</LinksUpToDate>
  <CharactersWithSpaces>6399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2025-05-07T07:02:00Z</dcterms:created>
  <dc:creator>Anakin</dc:creator>
  <cp:lastModifiedBy>admin</cp:lastModifiedBy>
  <cp:lastPrinted>2024-08-10T06:45:00Z</cp:lastPrinted>
  <dcterms:modified xsi:type="dcterms:W3CDTF">2025-05-22T03:30:35Z</dcterms:modified>
  <dc:title>某项目（项目编号：某编号）</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C46F2B9BDD354DBAB3CD8D6DFF203BD6_13</vt:lpwstr>
  </property>
  <property fmtid="{D5CDD505-2E9C-101B-9397-08002B2CF9AE}" pid="4" name="KSOTemplateDocerSaveRecord">
    <vt:lpwstr>eyJoZGlkIjoiMDE0ZTUxMGViMmE0YTUxNjRlNjY3YjAyMGZkODNiY2IiLCJ1c2VySWQiOiI2MTc2MzY2NTAifQ==</vt:lpwstr>
  </property>
</Properties>
</file>