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F7F85">
      <w:pPr>
        <w:spacing w:line="360" w:lineRule="auto"/>
        <w:jc w:val="center"/>
        <w:outlineLvl w:val="1"/>
        <w:rPr>
          <w:rFonts w:ascii="仿宋" w:hAnsi="仿宋" w:eastAsia="仿宋" w:cs="仿宋"/>
          <w:b/>
          <w:sz w:val="28"/>
        </w:rPr>
      </w:pPr>
      <w:bookmarkStart w:id="0" w:name="_Toc5011"/>
      <w:r>
        <w:rPr>
          <w:rFonts w:hint="eastAsia" w:ascii="仿宋" w:hAnsi="仿宋" w:eastAsia="仿宋" w:cs="仿宋"/>
          <w:b/>
          <w:sz w:val="28"/>
        </w:rPr>
        <w:t>第三章  采购需求</w:t>
      </w:r>
      <w:bookmarkEnd w:id="0"/>
    </w:p>
    <w:p w14:paraId="26DFAE8E">
      <w:pPr>
        <w:spacing w:line="360" w:lineRule="auto"/>
        <w:jc w:val="lef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前注：</w:t>
      </w:r>
    </w:p>
    <w:p w14:paraId="3938192E">
      <w:pPr>
        <w:spacing w:line="360" w:lineRule="auto"/>
        <w:ind w:firstLine="437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本说明中提出的服务方案仅为参考，如无明确限制，参选人可以进行优化，提供满足用户实际需要的更优（或者性能实质上不低于的）服务方案，且此方案须经评审小组评审认可。</w:t>
      </w:r>
    </w:p>
    <w:p w14:paraId="148694F6">
      <w:pPr>
        <w:spacing w:line="360" w:lineRule="auto"/>
        <w:ind w:firstLine="437"/>
        <w:jc w:val="left"/>
        <w:rPr>
          <w:rFonts w:ascii="仿宋" w:hAnsi="仿宋" w:eastAsia="仿宋" w:cs="仿宋"/>
          <w:b/>
          <w:sz w:val="24"/>
          <w:szCs w:val="18"/>
        </w:rPr>
      </w:pPr>
      <w:r>
        <w:rPr>
          <w:rFonts w:hint="eastAsia" w:ascii="仿宋" w:hAnsi="仿宋" w:eastAsia="仿宋" w:cs="仿宋"/>
          <w:b/>
          <w:sz w:val="24"/>
          <w:szCs w:val="18"/>
        </w:rPr>
        <w:t>一、采购需求前附表</w:t>
      </w:r>
    </w:p>
    <w:tbl>
      <w:tblPr>
        <w:tblStyle w:val="5"/>
        <w:tblW w:w="8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880"/>
        <w:gridCol w:w="5611"/>
      </w:tblGrid>
      <w:tr w14:paraId="6EFFC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066EE4DF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ascii="仿宋" w:hAnsi="仿宋" w:eastAsia="仿宋" w:cs="仿宋"/>
                <w:b/>
                <w:kern w:val="2"/>
              </w:rPr>
            </w:pPr>
            <w:r>
              <w:rPr>
                <w:rFonts w:hint="eastAsia" w:ascii="仿宋" w:hAnsi="仿宋" w:eastAsia="仿宋" w:cs="仿宋"/>
                <w:b/>
                <w:kern w:val="2"/>
              </w:rPr>
              <w:t>序号</w:t>
            </w:r>
          </w:p>
        </w:tc>
        <w:tc>
          <w:tcPr>
            <w:tcW w:w="1880" w:type="dxa"/>
            <w:vAlign w:val="center"/>
          </w:tcPr>
          <w:p w14:paraId="6A2CB38B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仿宋" w:hAnsi="仿宋" w:eastAsia="仿宋" w:cs="仿宋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</w:rPr>
              <w:t>内容</w:t>
            </w:r>
          </w:p>
        </w:tc>
        <w:tc>
          <w:tcPr>
            <w:tcW w:w="5611" w:type="dxa"/>
            <w:vAlign w:val="center"/>
          </w:tcPr>
          <w:p w14:paraId="1E9A1F1E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仿宋" w:hAnsi="仿宋" w:eastAsia="仿宋" w:cs="仿宋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</w:rPr>
              <w:t>说明与要求</w:t>
            </w:r>
          </w:p>
        </w:tc>
      </w:tr>
      <w:tr w14:paraId="36F2E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4" w:type="dxa"/>
            <w:vAlign w:val="center"/>
          </w:tcPr>
          <w:p w14:paraId="6E9578B8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ascii="仿宋" w:hAnsi="仿宋" w:eastAsia="仿宋" w:cs="仿宋"/>
                <w:bCs/>
                <w:kern w:val="2"/>
              </w:rPr>
            </w:pPr>
            <w:r>
              <w:rPr>
                <w:rFonts w:hint="eastAsia" w:ascii="仿宋" w:hAnsi="仿宋" w:eastAsia="仿宋" w:cs="仿宋"/>
                <w:bCs/>
                <w:kern w:val="2"/>
              </w:rPr>
              <w:t>1</w:t>
            </w:r>
          </w:p>
        </w:tc>
        <w:tc>
          <w:tcPr>
            <w:tcW w:w="1880" w:type="dxa"/>
            <w:vAlign w:val="center"/>
          </w:tcPr>
          <w:p w14:paraId="7A089BDA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仿宋" w:hAnsi="仿宋" w:eastAsia="仿宋" w:cs="仿宋"/>
                <w:b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</w:rPr>
              <w:t>付款方式</w:t>
            </w:r>
          </w:p>
        </w:tc>
        <w:tc>
          <w:tcPr>
            <w:tcW w:w="5611" w:type="dxa"/>
            <w:vAlign w:val="center"/>
          </w:tcPr>
          <w:p w14:paraId="226D9CD9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ascii="仿宋" w:hAnsi="仿宋" w:eastAsia="仿宋" w:cs="仿宋"/>
                <w:b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</w:rPr>
              <w:t>合同签订后7个工作日内支付合同款的70%，完成并验收通过后7个工作日内支付合同款剩余的30%。</w:t>
            </w:r>
          </w:p>
        </w:tc>
      </w:tr>
      <w:tr w14:paraId="77F62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5CA7CAA4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ascii="仿宋" w:hAnsi="仿宋" w:eastAsia="仿宋" w:cs="仿宋"/>
                <w:bCs/>
                <w:kern w:val="2"/>
              </w:rPr>
            </w:pPr>
            <w:r>
              <w:rPr>
                <w:rFonts w:hint="eastAsia" w:ascii="仿宋" w:hAnsi="仿宋" w:eastAsia="仿宋" w:cs="仿宋"/>
                <w:bCs/>
                <w:kern w:val="2"/>
              </w:rPr>
              <w:t>2</w:t>
            </w:r>
          </w:p>
        </w:tc>
        <w:tc>
          <w:tcPr>
            <w:tcW w:w="1880" w:type="dxa"/>
            <w:vAlign w:val="center"/>
          </w:tcPr>
          <w:p w14:paraId="4B1882BF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仿宋" w:hAnsi="仿宋" w:eastAsia="仿宋" w:cs="仿宋"/>
                <w:b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</w:rPr>
              <w:t>服务地点</w:t>
            </w:r>
          </w:p>
        </w:tc>
        <w:tc>
          <w:tcPr>
            <w:tcW w:w="5611" w:type="dxa"/>
            <w:vAlign w:val="center"/>
          </w:tcPr>
          <w:p w14:paraId="6BFFAFF7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ascii="仿宋" w:hAnsi="仿宋" w:eastAsia="仿宋" w:cs="仿宋"/>
                <w:b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</w:rPr>
              <w:t>安徽省疾病预防控制中心</w:t>
            </w:r>
            <w:r>
              <w:rPr>
                <w:rFonts w:hint="eastAsia" w:ascii="仿宋" w:hAnsi="仿宋" w:eastAsia="仿宋" w:cs="仿宋"/>
                <w:b w:val="0"/>
                <w:sz w:val="24"/>
                <w:szCs w:val="24"/>
              </w:rPr>
              <w:t>或比选人指定地点</w:t>
            </w:r>
            <w:r>
              <w:rPr>
                <w:rFonts w:hint="eastAsia" w:ascii="仿宋" w:hAnsi="仿宋" w:eastAsia="仿宋" w:cs="仿宋"/>
                <w:b w:val="0"/>
                <w:sz w:val="24"/>
              </w:rPr>
              <w:t>。</w:t>
            </w:r>
          </w:p>
        </w:tc>
      </w:tr>
      <w:tr w14:paraId="767B8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04" w:type="dxa"/>
            <w:vAlign w:val="center"/>
          </w:tcPr>
          <w:p w14:paraId="058375E4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ascii="仿宋" w:hAnsi="仿宋" w:eastAsia="仿宋" w:cs="仿宋"/>
                <w:bCs/>
                <w:kern w:val="2"/>
              </w:rPr>
            </w:pPr>
            <w:r>
              <w:rPr>
                <w:rFonts w:hint="eastAsia" w:ascii="仿宋" w:hAnsi="仿宋" w:eastAsia="仿宋" w:cs="仿宋"/>
                <w:bCs/>
                <w:kern w:val="2"/>
              </w:rPr>
              <w:t>3</w:t>
            </w:r>
          </w:p>
        </w:tc>
        <w:tc>
          <w:tcPr>
            <w:tcW w:w="1880" w:type="dxa"/>
            <w:vAlign w:val="center"/>
          </w:tcPr>
          <w:p w14:paraId="114116D8">
            <w:pPr>
              <w:pStyle w:val="8"/>
              <w:widowControl w:val="0"/>
              <w:spacing w:before="0" w:beforeAutospacing="0" w:after="0" w:afterAutospacing="0" w:line="360" w:lineRule="auto"/>
              <w:rPr>
                <w:rFonts w:ascii="仿宋" w:hAnsi="仿宋" w:eastAsia="仿宋" w:cs="仿宋"/>
                <w:b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</w:rPr>
              <w:t>服务期限</w:t>
            </w:r>
          </w:p>
        </w:tc>
        <w:tc>
          <w:tcPr>
            <w:tcW w:w="5611" w:type="dxa"/>
            <w:vAlign w:val="center"/>
          </w:tcPr>
          <w:p w14:paraId="0A4F8A9F">
            <w:pPr>
              <w:pStyle w:val="3"/>
              <w:spacing w:line="360" w:lineRule="auto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自合同生效日起40天内完成相关技术服务，服务期限1年。</w:t>
            </w:r>
          </w:p>
        </w:tc>
      </w:tr>
    </w:tbl>
    <w:p w14:paraId="166C7FFE">
      <w:pPr>
        <w:spacing w:line="360" w:lineRule="auto"/>
        <w:ind w:firstLine="482" w:firstLineChars="20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二、项目概况</w:t>
      </w:r>
    </w:p>
    <w:p w14:paraId="576C7133">
      <w:pPr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2021年-2023年慢病科先后建成慢阻肺筛查与干预、慢病示范区综合管理、农癌机会性筛查及人群筛查信息平台，并将已建成的信息平台整合成慢性病综合防控信息系统和完成2024年度的运行维护及升级。为确保现有信息平台的正常运转，按照《2024年及2025年中央财政重大慢病防控项目实施方案》要求，现对现有平台运行维护及平台升级改造。</w:t>
      </w:r>
    </w:p>
    <w:p w14:paraId="4551D70E">
      <w:pPr>
        <w:spacing w:line="360" w:lineRule="auto"/>
        <w:ind w:firstLine="482" w:firstLineChars="20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二、服务需求</w:t>
      </w:r>
    </w:p>
    <w:tbl>
      <w:tblPr>
        <w:tblStyle w:val="5"/>
        <w:tblW w:w="82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404"/>
        <w:gridCol w:w="3429"/>
        <w:gridCol w:w="1018"/>
        <w:gridCol w:w="771"/>
        <w:gridCol w:w="783"/>
      </w:tblGrid>
      <w:tr w14:paraId="3EB3A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9" w:type="dxa"/>
            <w:shd w:val="clear" w:color="auto" w:fill="auto"/>
            <w:vAlign w:val="center"/>
          </w:tcPr>
          <w:p w14:paraId="7B4D38B7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 w14:paraId="7CE58886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3429" w:type="dxa"/>
            <w:shd w:val="clear" w:color="auto" w:fill="auto"/>
            <w:vAlign w:val="center"/>
          </w:tcPr>
          <w:p w14:paraId="77BF0FAB">
            <w:pPr>
              <w:spacing w:line="360" w:lineRule="auto"/>
              <w:ind w:firstLine="720" w:firstLineChars="3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工作内容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0CEEB92D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性质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222F3752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783" w:type="dxa"/>
            <w:shd w:val="clear" w:color="auto" w:fill="auto"/>
            <w:noWrap/>
            <w:vAlign w:val="center"/>
          </w:tcPr>
          <w:p w14:paraId="41891BDF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 w14:paraId="33E33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  <w:jc w:val="center"/>
        </w:trPr>
        <w:tc>
          <w:tcPr>
            <w:tcW w:w="829" w:type="dxa"/>
            <w:shd w:val="clear" w:color="auto" w:fill="auto"/>
            <w:noWrap/>
            <w:vAlign w:val="center"/>
          </w:tcPr>
          <w:p w14:paraId="1DF0587A">
            <w:pPr>
              <w:spacing w:line="360" w:lineRule="auto"/>
              <w:ind w:left="239" w:leftChars="114" w:firstLine="240" w:firstLineChars="1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1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243967F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慢阻肺筛查与干预平台技术服务</w:t>
            </w:r>
          </w:p>
        </w:tc>
        <w:tc>
          <w:tcPr>
            <w:tcW w:w="3429" w:type="dxa"/>
            <w:shd w:val="clear" w:color="auto" w:fill="auto"/>
            <w:vAlign w:val="center"/>
          </w:tcPr>
          <w:p w14:paraId="57DCD634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1.报告质控管理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2.数据统计管理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3.实现国家平台数据同步管理</w:t>
            </w:r>
          </w:p>
          <w:p w14:paraId="16051C4A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4.系统运维1年：系统监测、巡检、修复、优化及升级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5FB9CAD1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功能升级及2025年运维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431CFD46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1项</w:t>
            </w:r>
          </w:p>
        </w:tc>
        <w:tc>
          <w:tcPr>
            <w:tcW w:w="783" w:type="dxa"/>
            <w:shd w:val="clear" w:color="auto" w:fill="auto"/>
            <w:noWrap/>
            <w:vAlign w:val="center"/>
          </w:tcPr>
          <w:p w14:paraId="58EDB4FE"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D60A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829" w:type="dxa"/>
            <w:shd w:val="clear" w:color="auto" w:fill="auto"/>
            <w:noWrap/>
            <w:vAlign w:val="center"/>
          </w:tcPr>
          <w:p w14:paraId="439DB3B7">
            <w:pPr>
              <w:spacing w:line="360" w:lineRule="auto"/>
              <w:ind w:firstLine="240" w:firstLineChars="1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AF43310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农癌筛查平台技术服务</w:t>
            </w:r>
          </w:p>
        </w:tc>
        <w:tc>
          <w:tcPr>
            <w:tcW w:w="3429" w:type="dxa"/>
            <w:shd w:val="clear" w:color="auto" w:fill="auto"/>
            <w:vAlign w:val="center"/>
          </w:tcPr>
          <w:p w14:paraId="133027E4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1.风险因素调查功能：包括问卷、知情同意及管理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2.实现国家数据同步管理</w:t>
            </w:r>
          </w:p>
          <w:p w14:paraId="44812D73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3.系统运维1年：系统监测、巡检、修复、优化及升级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2C66266D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功能升级及2025运维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3BD25E9B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1项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510EE7B0"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1A21A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29" w:type="dxa"/>
            <w:shd w:val="clear" w:color="auto" w:fill="auto"/>
            <w:noWrap/>
            <w:vAlign w:val="center"/>
          </w:tcPr>
          <w:p w14:paraId="23E850F1">
            <w:pPr>
              <w:spacing w:line="360" w:lineRule="auto"/>
              <w:ind w:firstLine="240" w:firstLineChars="1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404" w:type="dxa"/>
            <w:shd w:val="clear" w:color="auto" w:fill="auto"/>
            <w:noWrap/>
            <w:vAlign w:val="center"/>
          </w:tcPr>
          <w:p w14:paraId="71746C20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慢性病综合防控信息平台技术服务</w:t>
            </w:r>
          </w:p>
        </w:tc>
        <w:tc>
          <w:tcPr>
            <w:tcW w:w="3429" w:type="dxa"/>
            <w:shd w:val="clear" w:color="auto" w:fill="auto"/>
            <w:vAlign w:val="center"/>
          </w:tcPr>
          <w:p w14:paraId="09328B89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1.慢性病综合示范区管理系统运维1年</w:t>
            </w:r>
          </w:p>
          <w:p w14:paraId="5FFA2A05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2.慢性病综合防控信息平台整合迁入省疾控监测预警平台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53BD45E5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2025运维及迁入服务</w:t>
            </w:r>
          </w:p>
        </w:tc>
        <w:tc>
          <w:tcPr>
            <w:tcW w:w="771" w:type="dxa"/>
            <w:shd w:val="clear" w:color="auto" w:fill="auto"/>
            <w:vAlign w:val="center"/>
          </w:tcPr>
          <w:p w14:paraId="6A8C000D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1项</w:t>
            </w:r>
          </w:p>
        </w:tc>
        <w:tc>
          <w:tcPr>
            <w:tcW w:w="783" w:type="dxa"/>
            <w:shd w:val="clear" w:color="auto" w:fill="auto"/>
            <w:vAlign w:val="center"/>
          </w:tcPr>
          <w:p w14:paraId="0297AD61"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6355C47E">
      <w:pPr>
        <w:spacing w:line="360" w:lineRule="auto"/>
        <w:ind w:firstLine="482" w:firstLineChars="20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三、报价要求</w:t>
      </w:r>
    </w:p>
    <w:p w14:paraId="26D7C676">
      <w:r>
        <w:rPr>
          <w:rFonts w:hint="eastAsia" w:ascii="仿宋" w:hAnsi="仿宋" w:eastAsia="仿宋" w:cs="仿宋"/>
          <w:bCs/>
          <w:sz w:val="24"/>
          <w:szCs w:val="24"/>
        </w:rPr>
        <w:t>本项目报总价，总价包含完成本项目内容的全部费用，中选后比选人不再增加任何费用。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@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F7CEB"/>
    <w:rsid w:val="21DF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仿宋_GB2312" w:cs="@仿宋_GB2312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  <w:rPr>
      <w:rFonts w:eastAsia="宋体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&amp;L"/>
    <w:basedOn w:val="4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8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2025-05-19T02:01:00Z</dcterms:created>
  <dc:creator>森</dc:creator>
  <cp:lastModifiedBy>森</cp:lastModifiedBy>
  <dcterms:modified xsi:type="dcterms:W3CDTF">2025-05-19T02:01:57Z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BC8EEA5CF5A7444FADEDAFDB674B62A7_11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