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B049EB">
      <w:pPr>
        <w:keepNext w:val="0"/>
        <w:keepLines w:val="0"/>
        <w:pageBreakBefore w:val="0"/>
        <w:tabs>
          <w:tab w:val="left" w:pos="315"/>
          <w:tab w:val="left" w:pos="8820"/>
        </w:tabs>
        <w:kinsoku/>
        <w:wordWrap w:val="0"/>
        <w:overflowPunct/>
        <w:topLinePunct w:val="0"/>
        <w:bidi w:val="0"/>
        <w:spacing w:before="312" w:beforeLines="100" w:after="156" w:afterLines="50" w:line="500" w:lineRule="exact"/>
        <w:ind w:right="267" w:rightChars="127"/>
        <w:jc w:val="center"/>
        <w:textAlignment w:val="auto"/>
        <w:rPr>
          <w:rFonts w:hint="eastAsia" w:ascii="宋体" w:hAnsi="宋体" w:eastAsia="宋体"/>
          <w:b/>
          <w:bCs/>
          <w:color w:val="auto"/>
          <w:sz w:val="52"/>
          <w:szCs w:val="52"/>
          <w:highlight w:val="none"/>
          <w:lang w:val="en-US" w:eastAsia="zh-CN"/>
        </w:rPr>
      </w:pPr>
      <w:bookmarkStart w:id="0" w:name="_Hlk9544796"/>
    </w:p>
    <w:p w14:paraId="026E1285">
      <w:pPr>
        <w:keepNext w:val="0"/>
        <w:keepLines w:val="0"/>
        <w:pageBreakBefore w:val="0"/>
        <w:tabs>
          <w:tab w:val="left" w:pos="315"/>
          <w:tab w:val="left" w:pos="8820"/>
        </w:tabs>
        <w:kinsoku/>
        <w:wordWrap w:val="0"/>
        <w:overflowPunct/>
        <w:topLinePunct w:val="0"/>
        <w:bidi w:val="0"/>
        <w:spacing w:before="156" w:beforeLines="50" w:after="156" w:afterLines="50"/>
        <w:ind w:right="265" w:rightChars="126"/>
        <w:jc w:val="center"/>
        <w:textAlignment w:val="auto"/>
        <w:rPr>
          <w:rFonts w:hint="eastAsia" w:ascii="仿宋" w:hAnsi="仿宋" w:eastAsia="仿宋" w:cs="仿宋"/>
          <w:b/>
          <w:bCs/>
          <w:color w:val="auto"/>
          <w:sz w:val="96"/>
          <w:szCs w:val="96"/>
          <w:highlight w:val="none"/>
        </w:rPr>
      </w:pPr>
      <w:r>
        <w:rPr>
          <w:rFonts w:hint="eastAsia" w:ascii="仿宋" w:hAnsi="仿宋" w:eastAsia="仿宋" w:cs="仿宋"/>
          <w:b/>
          <w:bCs/>
          <w:color w:val="auto"/>
          <w:sz w:val="96"/>
          <w:szCs w:val="96"/>
          <w:highlight w:val="none"/>
        </w:rPr>
        <w:t>磋商文件</w:t>
      </w:r>
    </w:p>
    <w:p w14:paraId="71243DB7">
      <w:pPr>
        <w:keepNext w:val="0"/>
        <w:keepLines w:val="0"/>
        <w:pageBreakBefore w:val="0"/>
        <w:tabs>
          <w:tab w:val="left" w:pos="315"/>
          <w:tab w:val="left" w:pos="8820"/>
        </w:tabs>
        <w:kinsoku/>
        <w:wordWrap w:val="0"/>
        <w:overflowPunct/>
        <w:topLinePunct w:val="0"/>
        <w:bidi w:val="0"/>
        <w:spacing w:before="312" w:beforeLines="100" w:after="156" w:afterLines="50" w:line="500" w:lineRule="exact"/>
        <w:ind w:right="267" w:rightChars="127"/>
        <w:jc w:val="center"/>
        <w:textAlignment w:val="auto"/>
        <w:rPr>
          <w:rFonts w:hint="eastAsia" w:ascii="仿宋" w:hAnsi="仿宋" w:eastAsia="仿宋" w:cs="仿宋"/>
          <w:b/>
          <w:bCs/>
          <w:color w:val="auto"/>
          <w:sz w:val="52"/>
          <w:szCs w:val="52"/>
          <w:highlight w:val="none"/>
        </w:rPr>
      </w:pPr>
      <w:r>
        <w:rPr>
          <w:rFonts w:hint="eastAsia" w:ascii="仿宋" w:hAnsi="仿宋" w:eastAsia="仿宋" w:cs="仿宋"/>
          <w:b/>
          <w:bCs/>
          <w:color w:val="auto"/>
          <w:sz w:val="52"/>
          <w:szCs w:val="52"/>
          <w:highlight w:val="none"/>
        </w:rPr>
        <w:t>（</w:t>
      </w:r>
      <w:r>
        <w:rPr>
          <w:rFonts w:hint="eastAsia" w:ascii="仿宋" w:hAnsi="仿宋" w:eastAsia="仿宋" w:cs="仿宋"/>
          <w:b/>
          <w:bCs/>
          <w:color w:val="auto"/>
          <w:sz w:val="52"/>
          <w:szCs w:val="52"/>
          <w:highlight w:val="none"/>
          <w:lang w:val="en-US" w:eastAsia="zh-CN"/>
        </w:rPr>
        <w:t>电子化采购</w:t>
      </w:r>
      <w:r>
        <w:rPr>
          <w:rFonts w:hint="eastAsia" w:ascii="仿宋" w:hAnsi="仿宋" w:eastAsia="仿宋" w:cs="仿宋"/>
          <w:b/>
          <w:bCs/>
          <w:color w:val="auto"/>
          <w:sz w:val="52"/>
          <w:szCs w:val="52"/>
          <w:highlight w:val="none"/>
        </w:rPr>
        <w:t>服务类）</w:t>
      </w:r>
    </w:p>
    <w:p w14:paraId="3B474B0D">
      <w:pPr>
        <w:keepNext w:val="0"/>
        <w:keepLines w:val="0"/>
        <w:pageBreakBefore w:val="0"/>
        <w:tabs>
          <w:tab w:val="left" w:pos="315"/>
          <w:tab w:val="left" w:pos="8820"/>
        </w:tabs>
        <w:kinsoku/>
        <w:wordWrap w:val="0"/>
        <w:overflowPunct/>
        <w:topLinePunct w:val="0"/>
        <w:bidi w:val="0"/>
        <w:spacing w:before="312" w:beforeLines="100" w:after="156" w:afterLines="50" w:line="500" w:lineRule="exact"/>
        <w:ind w:right="267" w:rightChars="127"/>
        <w:jc w:val="center"/>
        <w:textAlignment w:val="auto"/>
        <w:rPr>
          <w:rFonts w:hint="eastAsia" w:ascii="宋体" w:hAnsi="宋体" w:eastAsia="宋体"/>
          <w:b/>
          <w:bCs/>
          <w:color w:val="auto"/>
          <w:sz w:val="52"/>
          <w:szCs w:val="52"/>
          <w:highlight w:val="none"/>
        </w:rPr>
      </w:pPr>
    </w:p>
    <w:bookmarkEnd w:id="0"/>
    <w:p w14:paraId="07B3A26C">
      <w:pPr>
        <w:keepNext w:val="0"/>
        <w:keepLines w:val="0"/>
        <w:pageBreakBefore w:val="0"/>
        <w:tabs>
          <w:tab w:val="left" w:pos="315"/>
          <w:tab w:val="left" w:pos="8820"/>
        </w:tabs>
        <w:kinsoku/>
        <w:wordWrap w:val="0"/>
        <w:overflowPunct/>
        <w:topLinePunct w:val="0"/>
        <w:bidi w:val="0"/>
        <w:spacing w:before="312" w:beforeLines="100" w:after="156" w:afterLines="50" w:line="360" w:lineRule="auto"/>
        <w:ind w:right="267" w:rightChars="127"/>
        <w:jc w:val="center"/>
        <w:textAlignment w:val="auto"/>
        <w:rPr>
          <w:rFonts w:ascii="宋体" w:hAnsi="宋体" w:eastAsia="宋体"/>
          <w:b/>
          <w:bCs/>
          <w:color w:val="auto"/>
          <w:sz w:val="44"/>
          <w:szCs w:val="44"/>
          <w:highlight w:val="none"/>
        </w:rPr>
      </w:pPr>
      <w:r>
        <w:rPr>
          <w:rFonts w:ascii="Arial" w:hAnsi="Arial" w:eastAsia="宋体" w:cs="Arial"/>
          <w:b/>
          <w:bCs/>
          <w:color w:val="auto"/>
          <w:sz w:val="96"/>
          <w:highlight w:val="none"/>
        </w:rPr>
        <w:drawing>
          <wp:inline distT="0" distB="0" distL="114300" distR="114300">
            <wp:extent cx="1785620" cy="2586990"/>
            <wp:effectExtent l="0" t="0" r="5080" b="3810"/>
            <wp:docPr id="1" name="图片 1" descr="Z:\3.质量管理部\王纲群\鼎信招采事业部\办公常用\鼎信数智LOGO\logo4.pnglog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Z:\3.质量管理部\王纲群\鼎信招采事业部\办公常用\鼎信数智LOGO\logo4.pnglogo4"/>
                    <pic:cNvPicPr>
                      <a:picLocks noChangeAspect="1"/>
                    </pic:cNvPicPr>
                  </pic:nvPicPr>
                  <pic:blipFill>
                    <a:blip r:embed="rId9"/>
                    <a:stretch>
                      <a:fillRect/>
                    </a:stretch>
                  </pic:blipFill>
                  <pic:spPr>
                    <a:xfrm>
                      <a:off x="0" y="0"/>
                      <a:ext cx="1785620" cy="2586990"/>
                    </a:xfrm>
                    <a:prstGeom prst="rect">
                      <a:avLst/>
                    </a:prstGeom>
                    <a:noFill/>
                    <a:ln>
                      <a:noFill/>
                    </a:ln>
                  </pic:spPr>
                </pic:pic>
              </a:graphicData>
            </a:graphic>
          </wp:inline>
        </w:drawing>
      </w:r>
    </w:p>
    <w:p w14:paraId="187571AD">
      <w:pPr>
        <w:keepNext w:val="0"/>
        <w:keepLines w:val="0"/>
        <w:pageBreakBefore w:val="0"/>
        <w:tabs>
          <w:tab w:val="left" w:pos="315"/>
          <w:tab w:val="left" w:pos="8820"/>
        </w:tabs>
        <w:kinsoku/>
        <w:wordWrap w:val="0"/>
        <w:overflowPunct/>
        <w:topLinePunct w:val="0"/>
        <w:bidi w:val="0"/>
        <w:spacing w:before="312" w:beforeLines="100" w:after="156" w:afterLines="50" w:line="500" w:lineRule="exact"/>
        <w:ind w:right="267" w:rightChars="127"/>
        <w:jc w:val="center"/>
        <w:textAlignment w:val="auto"/>
        <w:rPr>
          <w:rFonts w:ascii="宋体" w:hAnsi="宋体" w:eastAsia="宋体"/>
          <w:b/>
          <w:bCs/>
          <w:color w:val="auto"/>
          <w:sz w:val="44"/>
          <w:szCs w:val="44"/>
          <w:highlight w:val="none"/>
        </w:rPr>
      </w:pPr>
    </w:p>
    <w:p w14:paraId="4E18F1E1">
      <w:pPr>
        <w:keepNext w:val="0"/>
        <w:keepLines w:val="0"/>
        <w:pageBreakBefore w:val="0"/>
        <w:tabs>
          <w:tab w:val="left" w:pos="2410"/>
        </w:tabs>
        <w:kinsoku/>
        <w:wordWrap w:val="0"/>
        <w:overflowPunct/>
        <w:topLinePunct w:val="0"/>
        <w:autoSpaceDE w:val="0"/>
        <w:autoSpaceDN w:val="0"/>
        <w:bidi w:val="0"/>
        <w:adjustRightInd w:val="0"/>
        <w:snapToGrid w:val="0"/>
        <w:spacing w:line="360" w:lineRule="auto"/>
        <w:ind w:firstLine="642" w:firstLineChars="200"/>
        <w:textAlignment w:val="auto"/>
        <w:rPr>
          <w:rFonts w:hint="eastAsia" w:ascii="仿宋" w:hAnsi="仿宋" w:eastAsia="仿宋" w:cs="仿宋"/>
          <w:b/>
          <w:color w:val="auto"/>
          <w:spacing w:val="20"/>
          <w:kern w:val="0"/>
          <w:sz w:val="28"/>
          <w:szCs w:val="28"/>
          <w:highlight w:val="none"/>
          <w:lang w:eastAsia="zh-CN"/>
        </w:rPr>
      </w:pPr>
      <w:r>
        <w:rPr>
          <w:rFonts w:hint="eastAsia" w:ascii="仿宋" w:hAnsi="仿宋" w:eastAsia="仿宋" w:cs="仿宋"/>
          <w:b/>
          <w:color w:val="auto"/>
          <w:spacing w:val="20"/>
          <w:kern w:val="0"/>
          <w:sz w:val="28"/>
          <w:szCs w:val="28"/>
          <w:highlight w:val="none"/>
        </w:rPr>
        <w:t>项目名称：</w:t>
      </w:r>
      <w:r>
        <w:rPr>
          <w:rFonts w:hint="eastAsia" w:ascii="仿宋" w:hAnsi="仿宋" w:eastAsia="仿宋" w:cs="仿宋"/>
          <w:b/>
          <w:color w:val="auto"/>
          <w:spacing w:val="20"/>
          <w:kern w:val="0"/>
          <w:sz w:val="28"/>
          <w:szCs w:val="28"/>
          <w:highlight w:val="none"/>
          <w:u w:val="single"/>
          <w:lang w:eastAsia="zh-CN"/>
        </w:rPr>
        <w:t>安徽省城镇保障性安居工程委托第三方现场核实评估</w:t>
      </w:r>
    </w:p>
    <w:p w14:paraId="601CC624">
      <w:pPr>
        <w:keepNext w:val="0"/>
        <w:keepLines w:val="0"/>
        <w:pageBreakBefore w:val="0"/>
        <w:tabs>
          <w:tab w:val="left" w:pos="2410"/>
        </w:tabs>
        <w:kinsoku/>
        <w:wordWrap w:val="0"/>
        <w:overflowPunct/>
        <w:topLinePunct w:val="0"/>
        <w:autoSpaceDE w:val="0"/>
        <w:autoSpaceDN w:val="0"/>
        <w:bidi w:val="0"/>
        <w:adjustRightInd w:val="0"/>
        <w:snapToGrid w:val="0"/>
        <w:spacing w:line="360" w:lineRule="auto"/>
        <w:ind w:firstLine="642" w:firstLineChars="200"/>
        <w:textAlignment w:val="auto"/>
        <w:rPr>
          <w:rFonts w:hint="eastAsia" w:ascii="仿宋" w:hAnsi="仿宋" w:eastAsia="仿宋" w:cs="仿宋"/>
          <w:b/>
          <w:color w:val="auto"/>
          <w:spacing w:val="20"/>
          <w:kern w:val="0"/>
          <w:sz w:val="28"/>
          <w:szCs w:val="28"/>
          <w:highlight w:val="none"/>
          <w:lang w:eastAsia="zh-CN"/>
        </w:rPr>
      </w:pPr>
      <w:r>
        <w:rPr>
          <w:rFonts w:hint="eastAsia" w:ascii="仿宋" w:hAnsi="仿宋" w:eastAsia="仿宋" w:cs="仿宋"/>
          <w:b/>
          <w:color w:val="auto"/>
          <w:spacing w:val="20"/>
          <w:kern w:val="0"/>
          <w:sz w:val="28"/>
          <w:szCs w:val="28"/>
          <w:highlight w:val="none"/>
        </w:rPr>
        <w:t>项目编号：</w:t>
      </w:r>
      <w:r>
        <w:rPr>
          <w:rFonts w:hint="eastAsia" w:ascii="仿宋" w:hAnsi="仿宋" w:eastAsia="仿宋" w:cs="仿宋"/>
          <w:b/>
          <w:color w:val="auto"/>
          <w:spacing w:val="20"/>
          <w:kern w:val="0"/>
          <w:sz w:val="28"/>
          <w:szCs w:val="28"/>
          <w:highlight w:val="none"/>
          <w:u w:val="single"/>
          <w:lang w:eastAsia="zh-CN"/>
        </w:rPr>
        <w:t>ZB202504052</w:t>
      </w:r>
    </w:p>
    <w:p w14:paraId="143D734E">
      <w:pPr>
        <w:keepNext w:val="0"/>
        <w:keepLines w:val="0"/>
        <w:pageBreakBefore w:val="0"/>
        <w:tabs>
          <w:tab w:val="left" w:pos="2410"/>
        </w:tabs>
        <w:kinsoku/>
        <w:wordWrap w:val="0"/>
        <w:overflowPunct/>
        <w:topLinePunct w:val="0"/>
        <w:autoSpaceDE w:val="0"/>
        <w:autoSpaceDN w:val="0"/>
        <w:bidi w:val="0"/>
        <w:adjustRightInd w:val="0"/>
        <w:snapToGrid w:val="0"/>
        <w:spacing w:line="360" w:lineRule="auto"/>
        <w:ind w:firstLine="642" w:firstLineChars="200"/>
        <w:textAlignment w:val="auto"/>
        <w:rPr>
          <w:rFonts w:hint="eastAsia" w:ascii="仿宋" w:hAnsi="仿宋" w:eastAsia="仿宋" w:cs="仿宋"/>
          <w:b/>
          <w:color w:val="auto"/>
          <w:spacing w:val="20"/>
          <w:kern w:val="0"/>
          <w:sz w:val="28"/>
          <w:szCs w:val="28"/>
          <w:highlight w:val="none"/>
          <w:lang w:eastAsia="zh-CN"/>
        </w:rPr>
      </w:pPr>
      <w:r>
        <w:rPr>
          <w:rFonts w:hint="eastAsia" w:ascii="仿宋" w:hAnsi="仿宋" w:eastAsia="仿宋" w:cs="仿宋"/>
          <w:b/>
          <w:color w:val="auto"/>
          <w:spacing w:val="20"/>
          <w:kern w:val="0"/>
          <w:sz w:val="28"/>
          <w:szCs w:val="28"/>
          <w:highlight w:val="none"/>
        </w:rPr>
        <w:t>采 购 人：</w:t>
      </w:r>
      <w:r>
        <w:rPr>
          <w:rFonts w:hint="eastAsia" w:ascii="仿宋" w:hAnsi="仿宋" w:eastAsia="仿宋" w:cs="仿宋"/>
          <w:b/>
          <w:color w:val="auto"/>
          <w:spacing w:val="20"/>
          <w:kern w:val="0"/>
          <w:sz w:val="28"/>
          <w:szCs w:val="28"/>
          <w:highlight w:val="none"/>
          <w:u w:val="single"/>
          <w:lang w:eastAsia="zh-CN"/>
        </w:rPr>
        <w:t>安徽省住房和城乡建设厅</w:t>
      </w:r>
    </w:p>
    <w:p w14:paraId="0905BFB7">
      <w:pPr>
        <w:keepNext w:val="0"/>
        <w:keepLines w:val="0"/>
        <w:pageBreakBefore w:val="0"/>
        <w:tabs>
          <w:tab w:val="left" w:pos="2410"/>
        </w:tabs>
        <w:kinsoku/>
        <w:wordWrap w:val="0"/>
        <w:overflowPunct/>
        <w:topLinePunct w:val="0"/>
        <w:autoSpaceDE w:val="0"/>
        <w:autoSpaceDN w:val="0"/>
        <w:bidi w:val="0"/>
        <w:adjustRightInd w:val="0"/>
        <w:snapToGrid w:val="0"/>
        <w:spacing w:line="360" w:lineRule="auto"/>
        <w:ind w:firstLine="642" w:firstLineChars="200"/>
        <w:textAlignment w:val="auto"/>
        <w:rPr>
          <w:rFonts w:hint="eastAsia" w:ascii="仿宋" w:hAnsi="仿宋" w:eastAsia="仿宋" w:cs="仿宋"/>
          <w:b/>
          <w:color w:val="auto"/>
          <w:spacing w:val="20"/>
          <w:kern w:val="0"/>
          <w:sz w:val="28"/>
          <w:szCs w:val="28"/>
          <w:highlight w:val="none"/>
        </w:rPr>
      </w:pPr>
      <w:r>
        <w:rPr>
          <w:rFonts w:hint="eastAsia" w:ascii="仿宋" w:hAnsi="仿宋" w:eastAsia="仿宋" w:cs="仿宋"/>
          <w:b/>
          <w:color w:val="auto"/>
          <w:spacing w:val="20"/>
          <w:kern w:val="0"/>
          <w:sz w:val="28"/>
          <w:szCs w:val="28"/>
          <w:highlight w:val="none"/>
        </w:rPr>
        <w:t>采购代理机构：</w:t>
      </w:r>
      <w:r>
        <w:rPr>
          <w:rFonts w:hint="eastAsia" w:ascii="仿宋" w:hAnsi="仿宋" w:eastAsia="仿宋" w:cs="仿宋"/>
          <w:b/>
          <w:color w:val="auto"/>
          <w:spacing w:val="20"/>
          <w:kern w:val="0"/>
          <w:sz w:val="28"/>
          <w:szCs w:val="28"/>
          <w:highlight w:val="none"/>
          <w:u w:val="single"/>
          <w:lang w:eastAsia="zh-CN"/>
        </w:rPr>
        <w:t>鼎信数智技术集团</w:t>
      </w:r>
      <w:r>
        <w:rPr>
          <w:rFonts w:hint="eastAsia" w:ascii="仿宋" w:hAnsi="仿宋" w:eastAsia="仿宋" w:cs="仿宋"/>
          <w:b/>
          <w:color w:val="auto"/>
          <w:spacing w:val="20"/>
          <w:kern w:val="0"/>
          <w:sz w:val="28"/>
          <w:szCs w:val="28"/>
          <w:highlight w:val="none"/>
          <w:u w:val="single"/>
        </w:rPr>
        <w:t>股份有限公司</w:t>
      </w:r>
    </w:p>
    <w:p w14:paraId="2BBD5D2A">
      <w:pPr>
        <w:keepNext w:val="0"/>
        <w:keepLines w:val="0"/>
        <w:pageBreakBefore w:val="0"/>
        <w:tabs>
          <w:tab w:val="left" w:pos="315"/>
          <w:tab w:val="left" w:pos="8820"/>
        </w:tabs>
        <w:kinsoku/>
        <w:wordWrap w:val="0"/>
        <w:overflowPunct/>
        <w:topLinePunct w:val="0"/>
        <w:bidi w:val="0"/>
        <w:spacing w:before="312" w:beforeLines="100" w:after="156" w:afterLines="50" w:line="500" w:lineRule="exact"/>
        <w:ind w:right="267" w:rightChars="127"/>
        <w:jc w:val="center"/>
        <w:textAlignment w:val="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val="en-US" w:eastAsia="zh-CN"/>
        </w:rPr>
        <w:t>2025</w:t>
      </w:r>
      <w:r>
        <w:rPr>
          <w:rFonts w:hint="eastAsia"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rPr>
        <w:t>年</w:t>
      </w:r>
      <w:r>
        <w:rPr>
          <w:rFonts w:hint="eastAsia" w:ascii="仿宋" w:hAnsi="仿宋" w:eastAsia="仿宋" w:cs="仿宋"/>
          <w:b/>
          <w:color w:val="auto"/>
          <w:sz w:val="28"/>
          <w:szCs w:val="28"/>
          <w:highlight w:val="none"/>
          <w:u w:val="single"/>
          <w:lang w:val="en-US" w:eastAsia="zh-CN"/>
        </w:rPr>
        <w:t xml:space="preserve"> 5</w:t>
      </w:r>
      <w:r>
        <w:rPr>
          <w:rFonts w:hint="eastAsia"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rPr>
        <w:t>月</w:t>
      </w:r>
    </w:p>
    <w:p w14:paraId="58EC927D">
      <w:pPr>
        <w:keepNext w:val="0"/>
        <w:keepLines w:val="0"/>
        <w:pageBreakBefore w:val="0"/>
        <w:kinsoku/>
        <w:wordWrap w:val="0"/>
        <w:overflowPunct/>
        <w:topLinePunct w:val="0"/>
        <w:bidi w:val="0"/>
        <w:spacing w:line="360" w:lineRule="auto"/>
        <w:textAlignment w:val="auto"/>
        <w:rPr>
          <w:rFonts w:ascii="宋体" w:hAnsi="宋体" w:eastAsia="宋体"/>
          <w:b/>
          <w:color w:val="auto"/>
          <w:sz w:val="32"/>
          <w:highlight w:val="none"/>
        </w:rPr>
      </w:pPr>
    </w:p>
    <w:p w14:paraId="741807DF">
      <w:pPr>
        <w:keepNext w:val="0"/>
        <w:keepLines w:val="0"/>
        <w:pageBreakBefore w:val="0"/>
        <w:kinsoku/>
        <w:wordWrap w:val="0"/>
        <w:overflowPunct/>
        <w:topLinePunct w:val="0"/>
        <w:bidi w:val="0"/>
        <w:spacing w:line="360" w:lineRule="auto"/>
        <w:jc w:val="center"/>
        <w:textAlignment w:val="auto"/>
        <w:outlineLvl w:val="1"/>
        <w:rPr>
          <w:rFonts w:ascii="宋体" w:hAnsi="宋体" w:eastAsia="宋体"/>
          <w:b/>
          <w:color w:val="auto"/>
          <w:sz w:val="28"/>
          <w:highlight w:val="none"/>
        </w:rPr>
        <w:sectPr>
          <w:footerReference r:id="rId3" w:type="default"/>
          <w:pgSz w:w="11906" w:h="16838"/>
          <w:pgMar w:top="1417" w:right="1417" w:bottom="1417" w:left="1417" w:header="851" w:footer="992" w:gutter="0"/>
          <w:pgNumType w:start="1"/>
          <w:cols w:space="720" w:num="1"/>
          <w:docGrid w:type="lines" w:linePitch="312" w:charSpace="0"/>
        </w:sectPr>
      </w:pPr>
    </w:p>
    <w:p w14:paraId="742720CE">
      <w:pPr>
        <w:keepNext w:val="0"/>
        <w:keepLines w:val="0"/>
        <w:pageBreakBefore w:val="0"/>
        <w:tabs>
          <w:tab w:val="left" w:pos="2410"/>
        </w:tabs>
        <w:kinsoku/>
        <w:wordWrap w:val="0"/>
        <w:overflowPunct/>
        <w:topLinePunct w:val="0"/>
        <w:autoSpaceDE w:val="0"/>
        <w:autoSpaceDN w:val="0"/>
        <w:bidi w:val="0"/>
        <w:adjustRightInd w:val="0"/>
        <w:snapToGrid w:val="0"/>
        <w:spacing w:line="360" w:lineRule="auto"/>
        <w:jc w:val="center"/>
        <w:textAlignment w:val="auto"/>
        <w:rPr>
          <w:rFonts w:ascii="宋体" w:hAnsi="宋体" w:eastAsia="宋体"/>
          <w:b/>
          <w:color w:val="auto"/>
          <w:sz w:val="40"/>
          <w:szCs w:val="40"/>
          <w:highlight w:val="none"/>
        </w:rPr>
      </w:pPr>
      <w:r>
        <w:rPr>
          <w:rFonts w:hint="eastAsia" w:ascii="宋体" w:hAnsi="宋体" w:eastAsia="宋体"/>
          <w:b/>
          <w:color w:val="auto"/>
          <w:sz w:val="40"/>
          <w:szCs w:val="40"/>
          <w:highlight w:val="none"/>
        </w:rPr>
        <w:t>目  录</w:t>
      </w:r>
    </w:p>
    <w:p w14:paraId="430B6408">
      <w:pPr>
        <w:widowControl/>
        <w:tabs>
          <w:tab w:val="right" w:leader="dot" w:pos="8400"/>
        </w:tabs>
        <w:spacing w:after="100" w:line="276" w:lineRule="auto"/>
        <w:ind w:left="220"/>
        <w:jc w:val="left"/>
        <w:rPr>
          <w:rFonts w:ascii="Calibri" w:hAnsi="Calibri" w:eastAsia="宋体" w:cs="黑体"/>
          <w:color w:val="auto"/>
          <w:kern w:val="0"/>
          <w:sz w:val="24"/>
          <w:szCs w:val="24"/>
          <w:highlight w:val="none"/>
          <w:lang w:val="en-US" w:eastAsia="zh-CN" w:bidi="ar-SA"/>
        </w:rPr>
      </w:pPr>
      <w:r>
        <w:rPr>
          <w:rFonts w:ascii="宋体" w:hAnsi="宋体" w:eastAsia="宋体" w:cs="黑体"/>
          <w:b/>
          <w:color w:val="auto"/>
          <w:kern w:val="0"/>
          <w:sz w:val="44"/>
          <w:szCs w:val="44"/>
          <w:highlight w:val="none"/>
          <w:lang w:val="en-US" w:eastAsia="zh-CN" w:bidi="ar-SA"/>
        </w:rPr>
        <w:fldChar w:fldCharType="begin"/>
      </w:r>
      <w:r>
        <w:rPr>
          <w:rFonts w:ascii="宋体" w:hAnsi="宋体" w:eastAsia="宋体" w:cs="黑体"/>
          <w:b/>
          <w:color w:val="auto"/>
          <w:kern w:val="0"/>
          <w:sz w:val="44"/>
          <w:szCs w:val="44"/>
          <w:highlight w:val="none"/>
          <w:lang w:val="en-US" w:eastAsia="zh-CN" w:bidi="ar-SA"/>
        </w:rPr>
        <w:instrText xml:space="preserve"> </w:instrText>
      </w:r>
      <w:r>
        <w:rPr>
          <w:rFonts w:hint="eastAsia" w:ascii="宋体" w:hAnsi="宋体" w:eastAsia="宋体" w:cs="黑体"/>
          <w:b/>
          <w:color w:val="auto"/>
          <w:kern w:val="0"/>
          <w:sz w:val="44"/>
          <w:szCs w:val="44"/>
          <w:highlight w:val="none"/>
          <w:lang w:val="en-US" w:eastAsia="zh-CN" w:bidi="ar-SA"/>
        </w:rPr>
        <w:instrText xml:space="preserve">TOC \o "1-2" \h \z \u</w:instrText>
      </w:r>
      <w:r>
        <w:rPr>
          <w:rFonts w:ascii="宋体" w:hAnsi="宋体" w:eastAsia="宋体" w:cs="黑体"/>
          <w:b/>
          <w:color w:val="auto"/>
          <w:kern w:val="0"/>
          <w:sz w:val="44"/>
          <w:szCs w:val="44"/>
          <w:highlight w:val="none"/>
          <w:lang w:val="en-US" w:eastAsia="zh-CN" w:bidi="ar-SA"/>
        </w:rPr>
        <w:instrText xml:space="preserve"> </w:instrText>
      </w:r>
      <w:r>
        <w:rPr>
          <w:rFonts w:ascii="宋体" w:hAnsi="宋体" w:eastAsia="宋体" w:cs="黑体"/>
          <w:b/>
          <w:color w:val="auto"/>
          <w:kern w:val="0"/>
          <w:sz w:val="44"/>
          <w:szCs w:val="44"/>
          <w:highlight w:val="none"/>
          <w:lang w:val="en-US" w:eastAsia="zh-CN" w:bidi="ar-SA"/>
        </w:rPr>
        <w:fldChar w:fldCharType="separate"/>
      </w:r>
      <w:r>
        <w:rPr>
          <w:rFonts w:ascii="宋体" w:hAnsi="宋体" w:eastAsia="宋体" w:cs="黑体"/>
          <w:color w:val="auto"/>
          <w:kern w:val="0"/>
          <w:sz w:val="24"/>
          <w:szCs w:val="44"/>
          <w:highlight w:val="none"/>
          <w:lang w:val="en-US" w:eastAsia="zh-CN" w:bidi="ar-SA"/>
        </w:rPr>
        <w:fldChar w:fldCharType="begin"/>
      </w:r>
      <w:r>
        <w:rPr>
          <w:rFonts w:ascii="宋体" w:hAnsi="宋体" w:eastAsia="宋体" w:cs="黑体"/>
          <w:color w:val="auto"/>
          <w:kern w:val="0"/>
          <w:sz w:val="24"/>
          <w:szCs w:val="44"/>
          <w:highlight w:val="none"/>
          <w:lang w:val="en-US" w:eastAsia="zh-CN" w:bidi="ar-SA"/>
        </w:rPr>
        <w:instrText xml:space="preserve"> HYPERLINK \l _Toc6853 </w:instrText>
      </w:r>
      <w:r>
        <w:rPr>
          <w:rFonts w:ascii="宋体" w:hAnsi="宋体" w:eastAsia="宋体" w:cs="黑体"/>
          <w:color w:val="auto"/>
          <w:kern w:val="0"/>
          <w:sz w:val="24"/>
          <w:szCs w:val="44"/>
          <w:highlight w:val="none"/>
          <w:lang w:val="en-US" w:eastAsia="zh-CN" w:bidi="ar-SA"/>
        </w:rPr>
        <w:fldChar w:fldCharType="separate"/>
      </w:r>
      <w:r>
        <w:rPr>
          <w:rFonts w:hint="eastAsia" w:ascii="华文中宋" w:hAnsi="华文中宋" w:eastAsia="华文中宋" w:cs="Times New Roman"/>
          <w:bCs/>
          <w:color w:val="auto"/>
          <w:kern w:val="44"/>
          <w:sz w:val="24"/>
          <w:szCs w:val="48"/>
          <w:highlight w:val="none"/>
          <w:lang w:val="en-US" w:eastAsia="zh-CN" w:bidi="ar-SA"/>
        </w:rPr>
        <w:t>第一章  磋商公告</w:t>
      </w:r>
      <w:r>
        <w:rPr>
          <w:rFonts w:ascii="Calibri" w:hAnsi="Calibri" w:eastAsia="宋体" w:cs="黑体"/>
          <w:color w:val="auto"/>
          <w:kern w:val="0"/>
          <w:sz w:val="24"/>
          <w:szCs w:val="24"/>
          <w:highlight w:val="none"/>
          <w:lang w:val="en-US" w:eastAsia="zh-CN" w:bidi="ar-SA"/>
        </w:rPr>
        <w:tab/>
      </w:r>
      <w:r>
        <w:rPr>
          <w:rFonts w:ascii="Calibri" w:hAnsi="Calibri" w:eastAsia="宋体" w:cs="黑体"/>
          <w:color w:val="auto"/>
          <w:kern w:val="0"/>
          <w:sz w:val="24"/>
          <w:szCs w:val="24"/>
          <w:highlight w:val="none"/>
          <w:lang w:val="en-US" w:eastAsia="zh-CN" w:bidi="ar-SA"/>
        </w:rPr>
        <w:fldChar w:fldCharType="begin"/>
      </w:r>
      <w:r>
        <w:rPr>
          <w:rFonts w:ascii="Calibri" w:hAnsi="Calibri" w:eastAsia="宋体" w:cs="黑体"/>
          <w:color w:val="auto"/>
          <w:kern w:val="0"/>
          <w:sz w:val="24"/>
          <w:szCs w:val="24"/>
          <w:highlight w:val="none"/>
          <w:lang w:val="en-US" w:eastAsia="zh-CN" w:bidi="ar-SA"/>
        </w:rPr>
        <w:instrText xml:space="preserve"> PAGEREF _Toc6853 \h </w:instrText>
      </w:r>
      <w:r>
        <w:rPr>
          <w:rFonts w:ascii="Calibri" w:hAnsi="Calibri" w:eastAsia="宋体" w:cs="黑体"/>
          <w:color w:val="auto"/>
          <w:kern w:val="0"/>
          <w:sz w:val="24"/>
          <w:szCs w:val="24"/>
          <w:highlight w:val="none"/>
          <w:lang w:val="en-US" w:eastAsia="zh-CN" w:bidi="ar-SA"/>
        </w:rPr>
        <w:fldChar w:fldCharType="separate"/>
      </w:r>
      <w:r>
        <w:rPr>
          <w:rFonts w:ascii="Calibri" w:hAnsi="Calibri" w:eastAsia="宋体" w:cs="黑体"/>
          <w:color w:val="auto"/>
          <w:kern w:val="0"/>
          <w:sz w:val="24"/>
          <w:szCs w:val="24"/>
          <w:highlight w:val="none"/>
          <w:lang w:val="en-US" w:eastAsia="zh-CN" w:bidi="ar-SA"/>
        </w:rPr>
        <w:t>1</w:t>
      </w:r>
      <w:r>
        <w:rPr>
          <w:rFonts w:ascii="Calibri" w:hAnsi="Calibri" w:eastAsia="宋体" w:cs="黑体"/>
          <w:color w:val="auto"/>
          <w:kern w:val="0"/>
          <w:sz w:val="24"/>
          <w:szCs w:val="24"/>
          <w:highlight w:val="none"/>
          <w:lang w:val="en-US" w:eastAsia="zh-CN" w:bidi="ar-SA"/>
        </w:rPr>
        <w:fldChar w:fldCharType="end"/>
      </w:r>
      <w:r>
        <w:rPr>
          <w:rFonts w:ascii="宋体" w:hAnsi="宋体" w:eastAsia="宋体" w:cs="黑体"/>
          <w:color w:val="auto"/>
          <w:kern w:val="0"/>
          <w:sz w:val="24"/>
          <w:szCs w:val="44"/>
          <w:highlight w:val="none"/>
          <w:lang w:val="en-US" w:eastAsia="zh-CN" w:bidi="ar-SA"/>
        </w:rPr>
        <w:fldChar w:fldCharType="end"/>
      </w:r>
    </w:p>
    <w:p w14:paraId="7CBB55F5">
      <w:pPr>
        <w:widowControl/>
        <w:tabs>
          <w:tab w:val="right" w:leader="dot" w:pos="8400"/>
        </w:tabs>
        <w:spacing w:after="100" w:line="276" w:lineRule="auto"/>
        <w:ind w:left="220"/>
        <w:jc w:val="left"/>
        <w:rPr>
          <w:rFonts w:ascii="Calibri" w:hAnsi="Calibri" w:eastAsia="宋体" w:cs="黑体"/>
          <w:color w:val="auto"/>
          <w:kern w:val="0"/>
          <w:sz w:val="24"/>
          <w:szCs w:val="24"/>
          <w:highlight w:val="none"/>
          <w:lang w:val="en-US" w:eastAsia="zh-CN" w:bidi="ar-SA"/>
        </w:rPr>
      </w:pPr>
      <w:r>
        <w:rPr>
          <w:rFonts w:ascii="Calibri" w:hAnsi="Calibri" w:eastAsia="宋体" w:cs="黑体"/>
          <w:color w:val="auto"/>
          <w:kern w:val="0"/>
          <w:sz w:val="24"/>
          <w:szCs w:val="40"/>
          <w:highlight w:val="none"/>
          <w:lang w:val="en-US" w:eastAsia="zh-CN" w:bidi="ar-SA"/>
        </w:rPr>
        <w:fldChar w:fldCharType="begin"/>
      </w:r>
      <w:r>
        <w:rPr>
          <w:rFonts w:ascii="Calibri" w:hAnsi="Calibri" w:eastAsia="宋体" w:cs="黑体"/>
          <w:color w:val="auto"/>
          <w:kern w:val="0"/>
          <w:sz w:val="24"/>
          <w:szCs w:val="40"/>
          <w:highlight w:val="none"/>
          <w:lang w:val="en-US" w:eastAsia="zh-CN" w:bidi="ar-SA"/>
        </w:rPr>
        <w:instrText xml:space="preserve"> HYPERLINK \l _Toc15425 </w:instrText>
      </w:r>
      <w:r>
        <w:rPr>
          <w:rFonts w:ascii="Calibri" w:hAnsi="Calibri" w:eastAsia="宋体" w:cs="黑体"/>
          <w:color w:val="auto"/>
          <w:kern w:val="0"/>
          <w:sz w:val="24"/>
          <w:szCs w:val="40"/>
          <w:highlight w:val="none"/>
          <w:lang w:val="en-US" w:eastAsia="zh-CN" w:bidi="ar-SA"/>
        </w:rPr>
        <w:fldChar w:fldCharType="separate"/>
      </w:r>
      <w:r>
        <w:rPr>
          <w:rFonts w:hint="eastAsia" w:ascii="华文中宋" w:hAnsi="华文中宋" w:eastAsia="华文中宋" w:cs="Times New Roman"/>
          <w:bCs/>
          <w:color w:val="auto"/>
          <w:kern w:val="44"/>
          <w:sz w:val="24"/>
          <w:szCs w:val="48"/>
          <w:highlight w:val="none"/>
          <w:lang w:val="en-US" w:eastAsia="zh-CN" w:bidi="ar-SA"/>
        </w:rPr>
        <w:t>第二章  供应商须知</w:t>
      </w:r>
      <w:r>
        <w:rPr>
          <w:rFonts w:ascii="Calibri" w:hAnsi="Calibri" w:eastAsia="宋体" w:cs="黑体"/>
          <w:color w:val="auto"/>
          <w:kern w:val="0"/>
          <w:sz w:val="24"/>
          <w:szCs w:val="24"/>
          <w:highlight w:val="none"/>
          <w:lang w:val="en-US" w:eastAsia="zh-CN" w:bidi="ar-SA"/>
        </w:rPr>
        <w:tab/>
      </w:r>
      <w:r>
        <w:rPr>
          <w:rFonts w:ascii="Calibri" w:hAnsi="Calibri" w:eastAsia="宋体" w:cs="黑体"/>
          <w:color w:val="auto"/>
          <w:kern w:val="0"/>
          <w:sz w:val="24"/>
          <w:szCs w:val="24"/>
          <w:highlight w:val="none"/>
          <w:lang w:val="en-US" w:eastAsia="zh-CN" w:bidi="ar-SA"/>
        </w:rPr>
        <w:fldChar w:fldCharType="begin"/>
      </w:r>
      <w:r>
        <w:rPr>
          <w:rFonts w:ascii="Calibri" w:hAnsi="Calibri" w:eastAsia="宋体" w:cs="黑体"/>
          <w:color w:val="auto"/>
          <w:kern w:val="0"/>
          <w:sz w:val="24"/>
          <w:szCs w:val="24"/>
          <w:highlight w:val="none"/>
          <w:lang w:val="en-US" w:eastAsia="zh-CN" w:bidi="ar-SA"/>
        </w:rPr>
        <w:instrText xml:space="preserve"> PAGEREF _Toc15425 \h </w:instrText>
      </w:r>
      <w:r>
        <w:rPr>
          <w:rFonts w:ascii="Calibri" w:hAnsi="Calibri" w:eastAsia="宋体" w:cs="黑体"/>
          <w:color w:val="auto"/>
          <w:kern w:val="0"/>
          <w:sz w:val="24"/>
          <w:szCs w:val="24"/>
          <w:highlight w:val="none"/>
          <w:lang w:val="en-US" w:eastAsia="zh-CN" w:bidi="ar-SA"/>
        </w:rPr>
        <w:fldChar w:fldCharType="separate"/>
      </w:r>
      <w:r>
        <w:rPr>
          <w:rFonts w:ascii="Calibri" w:hAnsi="Calibri" w:eastAsia="宋体" w:cs="黑体"/>
          <w:color w:val="auto"/>
          <w:kern w:val="0"/>
          <w:sz w:val="24"/>
          <w:szCs w:val="24"/>
          <w:highlight w:val="none"/>
          <w:lang w:val="en-US" w:eastAsia="zh-CN" w:bidi="ar-SA"/>
        </w:rPr>
        <w:t>5</w:t>
      </w:r>
      <w:r>
        <w:rPr>
          <w:rFonts w:ascii="Calibri" w:hAnsi="Calibri" w:eastAsia="宋体" w:cs="黑体"/>
          <w:color w:val="auto"/>
          <w:kern w:val="0"/>
          <w:sz w:val="24"/>
          <w:szCs w:val="24"/>
          <w:highlight w:val="none"/>
          <w:lang w:val="en-US" w:eastAsia="zh-CN" w:bidi="ar-SA"/>
        </w:rPr>
        <w:fldChar w:fldCharType="end"/>
      </w:r>
      <w:r>
        <w:rPr>
          <w:rFonts w:ascii="Calibri" w:hAnsi="Calibri" w:eastAsia="宋体" w:cs="黑体"/>
          <w:color w:val="auto"/>
          <w:kern w:val="0"/>
          <w:sz w:val="24"/>
          <w:szCs w:val="40"/>
          <w:highlight w:val="none"/>
          <w:lang w:val="en-US" w:eastAsia="zh-CN" w:bidi="ar-SA"/>
        </w:rPr>
        <w:fldChar w:fldCharType="end"/>
      </w:r>
    </w:p>
    <w:p w14:paraId="6A9AE929">
      <w:pPr>
        <w:widowControl/>
        <w:tabs>
          <w:tab w:val="right" w:leader="dot" w:pos="8400"/>
        </w:tabs>
        <w:spacing w:after="100" w:line="276" w:lineRule="auto"/>
        <w:ind w:left="220"/>
        <w:jc w:val="left"/>
        <w:rPr>
          <w:rFonts w:ascii="Calibri" w:hAnsi="Calibri" w:eastAsia="宋体" w:cs="黑体"/>
          <w:color w:val="auto"/>
          <w:kern w:val="0"/>
          <w:sz w:val="24"/>
          <w:szCs w:val="24"/>
          <w:highlight w:val="none"/>
          <w:lang w:val="en-US" w:eastAsia="zh-CN" w:bidi="ar-SA"/>
        </w:rPr>
      </w:pPr>
      <w:r>
        <w:rPr>
          <w:rFonts w:ascii="Calibri" w:hAnsi="Calibri" w:eastAsia="宋体" w:cs="黑体"/>
          <w:color w:val="auto"/>
          <w:kern w:val="0"/>
          <w:sz w:val="24"/>
          <w:szCs w:val="40"/>
          <w:highlight w:val="none"/>
          <w:lang w:val="en-US" w:eastAsia="zh-CN" w:bidi="ar-SA"/>
        </w:rPr>
        <w:fldChar w:fldCharType="begin"/>
      </w:r>
      <w:r>
        <w:rPr>
          <w:rFonts w:ascii="Calibri" w:hAnsi="Calibri" w:eastAsia="宋体" w:cs="黑体"/>
          <w:color w:val="auto"/>
          <w:kern w:val="0"/>
          <w:sz w:val="24"/>
          <w:szCs w:val="40"/>
          <w:highlight w:val="none"/>
          <w:lang w:val="en-US" w:eastAsia="zh-CN" w:bidi="ar-SA"/>
        </w:rPr>
        <w:instrText xml:space="preserve"> HYPERLINK \l _Toc17809 </w:instrText>
      </w:r>
      <w:r>
        <w:rPr>
          <w:rFonts w:ascii="Calibri" w:hAnsi="Calibri" w:eastAsia="宋体" w:cs="黑体"/>
          <w:color w:val="auto"/>
          <w:kern w:val="0"/>
          <w:sz w:val="24"/>
          <w:szCs w:val="40"/>
          <w:highlight w:val="none"/>
          <w:lang w:val="en-US" w:eastAsia="zh-CN" w:bidi="ar-SA"/>
        </w:rPr>
        <w:fldChar w:fldCharType="separate"/>
      </w:r>
      <w:r>
        <w:rPr>
          <w:rFonts w:hint="eastAsia" w:ascii="华文中宋" w:hAnsi="华文中宋" w:eastAsia="华文中宋" w:cs="Times New Roman"/>
          <w:bCs/>
          <w:color w:val="auto"/>
          <w:kern w:val="44"/>
          <w:sz w:val="24"/>
          <w:szCs w:val="48"/>
          <w:highlight w:val="none"/>
          <w:lang w:val="en-US" w:eastAsia="zh-CN" w:bidi="ar-SA"/>
        </w:rPr>
        <w:t>第三章  采购需求</w:t>
      </w:r>
      <w:r>
        <w:rPr>
          <w:rFonts w:ascii="Calibri" w:hAnsi="Calibri" w:eastAsia="宋体" w:cs="黑体"/>
          <w:color w:val="auto"/>
          <w:kern w:val="0"/>
          <w:sz w:val="24"/>
          <w:szCs w:val="24"/>
          <w:highlight w:val="none"/>
          <w:lang w:val="en-US" w:eastAsia="zh-CN" w:bidi="ar-SA"/>
        </w:rPr>
        <w:tab/>
      </w:r>
      <w:r>
        <w:rPr>
          <w:rFonts w:ascii="Calibri" w:hAnsi="Calibri" w:eastAsia="宋体" w:cs="黑体"/>
          <w:color w:val="auto"/>
          <w:kern w:val="0"/>
          <w:sz w:val="24"/>
          <w:szCs w:val="24"/>
          <w:highlight w:val="none"/>
          <w:lang w:val="en-US" w:eastAsia="zh-CN" w:bidi="ar-SA"/>
        </w:rPr>
        <w:fldChar w:fldCharType="begin"/>
      </w:r>
      <w:r>
        <w:rPr>
          <w:rFonts w:ascii="Calibri" w:hAnsi="Calibri" w:eastAsia="宋体" w:cs="黑体"/>
          <w:color w:val="auto"/>
          <w:kern w:val="0"/>
          <w:sz w:val="24"/>
          <w:szCs w:val="24"/>
          <w:highlight w:val="none"/>
          <w:lang w:val="en-US" w:eastAsia="zh-CN" w:bidi="ar-SA"/>
        </w:rPr>
        <w:instrText xml:space="preserve"> PAGEREF _Toc17809 \h </w:instrText>
      </w:r>
      <w:r>
        <w:rPr>
          <w:rFonts w:ascii="Calibri" w:hAnsi="Calibri" w:eastAsia="宋体" w:cs="黑体"/>
          <w:color w:val="auto"/>
          <w:kern w:val="0"/>
          <w:sz w:val="24"/>
          <w:szCs w:val="24"/>
          <w:highlight w:val="none"/>
          <w:lang w:val="en-US" w:eastAsia="zh-CN" w:bidi="ar-SA"/>
        </w:rPr>
        <w:fldChar w:fldCharType="separate"/>
      </w:r>
      <w:r>
        <w:rPr>
          <w:rFonts w:ascii="Calibri" w:hAnsi="Calibri" w:eastAsia="宋体" w:cs="黑体"/>
          <w:color w:val="auto"/>
          <w:kern w:val="0"/>
          <w:sz w:val="24"/>
          <w:szCs w:val="24"/>
          <w:highlight w:val="none"/>
          <w:lang w:val="en-US" w:eastAsia="zh-CN" w:bidi="ar-SA"/>
        </w:rPr>
        <w:t>24</w:t>
      </w:r>
      <w:r>
        <w:rPr>
          <w:rFonts w:ascii="Calibri" w:hAnsi="Calibri" w:eastAsia="宋体" w:cs="黑体"/>
          <w:color w:val="auto"/>
          <w:kern w:val="0"/>
          <w:sz w:val="24"/>
          <w:szCs w:val="24"/>
          <w:highlight w:val="none"/>
          <w:lang w:val="en-US" w:eastAsia="zh-CN" w:bidi="ar-SA"/>
        </w:rPr>
        <w:fldChar w:fldCharType="end"/>
      </w:r>
      <w:r>
        <w:rPr>
          <w:rFonts w:ascii="Calibri" w:hAnsi="Calibri" w:eastAsia="宋体" w:cs="黑体"/>
          <w:color w:val="auto"/>
          <w:kern w:val="0"/>
          <w:sz w:val="24"/>
          <w:szCs w:val="40"/>
          <w:highlight w:val="none"/>
          <w:lang w:val="en-US" w:eastAsia="zh-CN" w:bidi="ar-SA"/>
        </w:rPr>
        <w:fldChar w:fldCharType="end"/>
      </w:r>
    </w:p>
    <w:p w14:paraId="6769B78A">
      <w:pPr>
        <w:widowControl/>
        <w:tabs>
          <w:tab w:val="right" w:leader="dot" w:pos="8400"/>
        </w:tabs>
        <w:spacing w:after="100" w:line="276" w:lineRule="auto"/>
        <w:ind w:left="220"/>
        <w:jc w:val="left"/>
        <w:rPr>
          <w:rFonts w:ascii="Calibri" w:hAnsi="Calibri" w:eastAsia="宋体" w:cs="黑体"/>
          <w:color w:val="auto"/>
          <w:kern w:val="0"/>
          <w:sz w:val="24"/>
          <w:szCs w:val="24"/>
          <w:highlight w:val="none"/>
          <w:lang w:val="en-US" w:eastAsia="zh-CN" w:bidi="ar-SA"/>
        </w:rPr>
      </w:pPr>
      <w:r>
        <w:rPr>
          <w:rFonts w:ascii="Calibri" w:hAnsi="Calibri" w:eastAsia="宋体" w:cs="黑体"/>
          <w:color w:val="auto"/>
          <w:kern w:val="0"/>
          <w:sz w:val="24"/>
          <w:szCs w:val="40"/>
          <w:highlight w:val="none"/>
          <w:lang w:val="en-US" w:eastAsia="zh-CN" w:bidi="ar-SA"/>
        </w:rPr>
        <w:fldChar w:fldCharType="begin"/>
      </w:r>
      <w:r>
        <w:rPr>
          <w:rFonts w:ascii="Calibri" w:hAnsi="Calibri" w:eastAsia="宋体" w:cs="黑体"/>
          <w:color w:val="auto"/>
          <w:kern w:val="0"/>
          <w:sz w:val="24"/>
          <w:szCs w:val="40"/>
          <w:highlight w:val="none"/>
          <w:lang w:val="en-US" w:eastAsia="zh-CN" w:bidi="ar-SA"/>
        </w:rPr>
        <w:instrText xml:space="preserve"> HYPERLINK \l _Toc18055 </w:instrText>
      </w:r>
      <w:r>
        <w:rPr>
          <w:rFonts w:ascii="Calibri" w:hAnsi="Calibri" w:eastAsia="宋体" w:cs="黑体"/>
          <w:color w:val="auto"/>
          <w:kern w:val="0"/>
          <w:sz w:val="24"/>
          <w:szCs w:val="40"/>
          <w:highlight w:val="none"/>
          <w:lang w:val="en-US" w:eastAsia="zh-CN" w:bidi="ar-SA"/>
        </w:rPr>
        <w:fldChar w:fldCharType="separate"/>
      </w:r>
      <w:r>
        <w:rPr>
          <w:rFonts w:hint="eastAsia" w:ascii="华文中宋" w:hAnsi="华文中宋" w:eastAsia="华文中宋" w:cs="Times New Roman"/>
          <w:bCs/>
          <w:color w:val="auto"/>
          <w:kern w:val="44"/>
          <w:sz w:val="24"/>
          <w:szCs w:val="48"/>
          <w:highlight w:val="none"/>
          <w:lang w:val="en-US" w:eastAsia="zh-CN" w:bidi="ar-SA"/>
        </w:rPr>
        <w:t>第四章  评审方法和标准</w:t>
      </w:r>
      <w:r>
        <w:rPr>
          <w:rFonts w:ascii="Calibri" w:hAnsi="Calibri" w:eastAsia="宋体" w:cs="黑体"/>
          <w:color w:val="auto"/>
          <w:kern w:val="0"/>
          <w:sz w:val="24"/>
          <w:szCs w:val="24"/>
          <w:highlight w:val="none"/>
          <w:lang w:val="en-US" w:eastAsia="zh-CN" w:bidi="ar-SA"/>
        </w:rPr>
        <w:tab/>
      </w:r>
      <w:r>
        <w:rPr>
          <w:rFonts w:ascii="Calibri" w:hAnsi="Calibri" w:eastAsia="宋体" w:cs="黑体"/>
          <w:color w:val="auto"/>
          <w:kern w:val="0"/>
          <w:sz w:val="24"/>
          <w:szCs w:val="24"/>
          <w:highlight w:val="none"/>
          <w:lang w:val="en-US" w:eastAsia="zh-CN" w:bidi="ar-SA"/>
        </w:rPr>
        <w:fldChar w:fldCharType="begin"/>
      </w:r>
      <w:r>
        <w:rPr>
          <w:rFonts w:ascii="Calibri" w:hAnsi="Calibri" w:eastAsia="宋体" w:cs="黑体"/>
          <w:color w:val="auto"/>
          <w:kern w:val="0"/>
          <w:sz w:val="24"/>
          <w:szCs w:val="24"/>
          <w:highlight w:val="none"/>
          <w:lang w:val="en-US" w:eastAsia="zh-CN" w:bidi="ar-SA"/>
        </w:rPr>
        <w:instrText xml:space="preserve"> PAGEREF _Toc18055 \h </w:instrText>
      </w:r>
      <w:r>
        <w:rPr>
          <w:rFonts w:ascii="Calibri" w:hAnsi="Calibri" w:eastAsia="宋体" w:cs="黑体"/>
          <w:color w:val="auto"/>
          <w:kern w:val="0"/>
          <w:sz w:val="24"/>
          <w:szCs w:val="24"/>
          <w:highlight w:val="none"/>
          <w:lang w:val="en-US" w:eastAsia="zh-CN" w:bidi="ar-SA"/>
        </w:rPr>
        <w:fldChar w:fldCharType="separate"/>
      </w:r>
      <w:r>
        <w:rPr>
          <w:rFonts w:ascii="Calibri" w:hAnsi="Calibri" w:eastAsia="宋体" w:cs="黑体"/>
          <w:color w:val="auto"/>
          <w:kern w:val="0"/>
          <w:sz w:val="24"/>
          <w:szCs w:val="24"/>
          <w:highlight w:val="none"/>
          <w:lang w:val="en-US" w:eastAsia="zh-CN" w:bidi="ar-SA"/>
        </w:rPr>
        <w:t>26</w:t>
      </w:r>
      <w:r>
        <w:rPr>
          <w:rFonts w:ascii="Calibri" w:hAnsi="Calibri" w:eastAsia="宋体" w:cs="黑体"/>
          <w:color w:val="auto"/>
          <w:kern w:val="0"/>
          <w:sz w:val="24"/>
          <w:szCs w:val="24"/>
          <w:highlight w:val="none"/>
          <w:lang w:val="en-US" w:eastAsia="zh-CN" w:bidi="ar-SA"/>
        </w:rPr>
        <w:fldChar w:fldCharType="end"/>
      </w:r>
      <w:r>
        <w:rPr>
          <w:rFonts w:ascii="Calibri" w:hAnsi="Calibri" w:eastAsia="宋体" w:cs="黑体"/>
          <w:color w:val="auto"/>
          <w:kern w:val="0"/>
          <w:sz w:val="24"/>
          <w:szCs w:val="40"/>
          <w:highlight w:val="none"/>
          <w:lang w:val="en-US" w:eastAsia="zh-CN" w:bidi="ar-SA"/>
        </w:rPr>
        <w:fldChar w:fldCharType="end"/>
      </w:r>
    </w:p>
    <w:p w14:paraId="4A0D9B73">
      <w:pPr>
        <w:widowControl/>
        <w:tabs>
          <w:tab w:val="right" w:leader="dot" w:pos="8400"/>
        </w:tabs>
        <w:spacing w:after="100" w:line="276" w:lineRule="auto"/>
        <w:ind w:left="220"/>
        <w:jc w:val="left"/>
        <w:rPr>
          <w:rFonts w:ascii="Calibri" w:hAnsi="Calibri" w:eastAsia="宋体" w:cs="黑体"/>
          <w:color w:val="auto"/>
          <w:kern w:val="0"/>
          <w:sz w:val="24"/>
          <w:szCs w:val="24"/>
          <w:highlight w:val="none"/>
          <w:lang w:val="en-US" w:eastAsia="zh-CN" w:bidi="ar-SA"/>
        </w:rPr>
      </w:pPr>
      <w:r>
        <w:rPr>
          <w:rFonts w:ascii="Calibri" w:hAnsi="Calibri" w:eastAsia="宋体" w:cs="黑体"/>
          <w:color w:val="auto"/>
          <w:kern w:val="0"/>
          <w:sz w:val="24"/>
          <w:szCs w:val="40"/>
          <w:highlight w:val="none"/>
          <w:lang w:val="en-US" w:eastAsia="zh-CN" w:bidi="ar-SA"/>
        </w:rPr>
        <w:fldChar w:fldCharType="begin"/>
      </w:r>
      <w:r>
        <w:rPr>
          <w:rFonts w:ascii="Calibri" w:hAnsi="Calibri" w:eastAsia="宋体" w:cs="黑体"/>
          <w:color w:val="auto"/>
          <w:kern w:val="0"/>
          <w:sz w:val="24"/>
          <w:szCs w:val="40"/>
          <w:highlight w:val="none"/>
          <w:lang w:val="en-US" w:eastAsia="zh-CN" w:bidi="ar-SA"/>
        </w:rPr>
        <w:instrText xml:space="preserve"> HYPERLINK \l _Toc26135 </w:instrText>
      </w:r>
      <w:r>
        <w:rPr>
          <w:rFonts w:ascii="Calibri" w:hAnsi="Calibri" w:eastAsia="宋体" w:cs="黑体"/>
          <w:color w:val="auto"/>
          <w:kern w:val="0"/>
          <w:sz w:val="24"/>
          <w:szCs w:val="40"/>
          <w:highlight w:val="none"/>
          <w:lang w:val="en-US" w:eastAsia="zh-CN" w:bidi="ar-SA"/>
        </w:rPr>
        <w:fldChar w:fldCharType="separate"/>
      </w:r>
      <w:r>
        <w:rPr>
          <w:rFonts w:hint="eastAsia" w:ascii="华文中宋" w:hAnsi="华文中宋" w:eastAsia="华文中宋" w:cs="Times New Roman"/>
          <w:bCs/>
          <w:color w:val="auto"/>
          <w:kern w:val="44"/>
          <w:sz w:val="24"/>
          <w:szCs w:val="48"/>
          <w:highlight w:val="none"/>
          <w:lang w:val="en-US" w:eastAsia="zh-CN" w:bidi="ar-SA"/>
        </w:rPr>
        <w:t>第五章  采购合同（仅供参考）</w:t>
      </w:r>
      <w:r>
        <w:rPr>
          <w:rFonts w:ascii="Calibri" w:hAnsi="Calibri" w:eastAsia="宋体" w:cs="黑体"/>
          <w:color w:val="auto"/>
          <w:kern w:val="0"/>
          <w:sz w:val="24"/>
          <w:szCs w:val="24"/>
          <w:highlight w:val="none"/>
          <w:lang w:val="en-US" w:eastAsia="zh-CN" w:bidi="ar-SA"/>
        </w:rPr>
        <w:tab/>
      </w:r>
      <w:r>
        <w:rPr>
          <w:rFonts w:ascii="Calibri" w:hAnsi="Calibri" w:eastAsia="宋体" w:cs="黑体"/>
          <w:color w:val="auto"/>
          <w:kern w:val="0"/>
          <w:sz w:val="24"/>
          <w:szCs w:val="24"/>
          <w:highlight w:val="none"/>
          <w:lang w:val="en-US" w:eastAsia="zh-CN" w:bidi="ar-SA"/>
        </w:rPr>
        <w:fldChar w:fldCharType="begin"/>
      </w:r>
      <w:r>
        <w:rPr>
          <w:rFonts w:ascii="Calibri" w:hAnsi="Calibri" w:eastAsia="宋体" w:cs="黑体"/>
          <w:color w:val="auto"/>
          <w:kern w:val="0"/>
          <w:sz w:val="24"/>
          <w:szCs w:val="24"/>
          <w:highlight w:val="none"/>
          <w:lang w:val="en-US" w:eastAsia="zh-CN" w:bidi="ar-SA"/>
        </w:rPr>
        <w:instrText xml:space="preserve"> PAGEREF _Toc26135 \h </w:instrText>
      </w:r>
      <w:r>
        <w:rPr>
          <w:rFonts w:ascii="Calibri" w:hAnsi="Calibri" w:eastAsia="宋体" w:cs="黑体"/>
          <w:color w:val="auto"/>
          <w:kern w:val="0"/>
          <w:sz w:val="24"/>
          <w:szCs w:val="24"/>
          <w:highlight w:val="none"/>
          <w:lang w:val="en-US" w:eastAsia="zh-CN" w:bidi="ar-SA"/>
        </w:rPr>
        <w:fldChar w:fldCharType="separate"/>
      </w:r>
      <w:r>
        <w:rPr>
          <w:rFonts w:ascii="Calibri" w:hAnsi="Calibri" w:eastAsia="宋体" w:cs="黑体"/>
          <w:color w:val="auto"/>
          <w:kern w:val="0"/>
          <w:sz w:val="24"/>
          <w:szCs w:val="24"/>
          <w:highlight w:val="none"/>
          <w:lang w:val="en-US" w:eastAsia="zh-CN" w:bidi="ar-SA"/>
        </w:rPr>
        <w:t>32</w:t>
      </w:r>
      <w:r>
        <w:rPr>
          <w:rFonts w:ascii="Calibri" w:hAnsi="Calibri" w:eastAsia="宋体" w:cs="黑体"/>
          <w:color w:val="auto"/>
          <w:kern w:val="0"/>
          <w:sz w:val="24"/>
          <w:szCs w:val="24"/>
          <w:highlight w:val="none"/>
          <w:lang w:val="en-US" w:eastAsia="zh-CN" w:bidi="ar-SA"/>
        </w:rPr>
        <w:fldChar w:fldCharType="end"/>
      </w:r>
      <w:r>
        <w:rPr>
          <w:rFonts w:ascii="Calibri" w:hAnsi="Calibri" w:eastAsia="宋体" w:cs="黑体"/>
          <w:color w:val="auto"/>
          <w:kern w:val="0"/>
          <w:sz w:val="24"/>
          <w:szCs w:val="40"/>
          <w:highlight w:val="none"/>
          <w:lang w:val="en-US" w:eastAsia="zh-CN" w:bidi="ar-SA"/>
        </w:rPr>
        <w:fldChar w:fldCharType="end"/>
      </w:r>
    </w:p>
    <w:p w14:paraId="1EA05B85">
      <w:pPr>
        <w:widowControl/>
        <w:tabs>
          <w:tab w:val="right" w:leader="dot" w:pos="8400"/>
        </w:tabs>
        <w:spacing w:after="100" w:line="276" w:lineRule="auto"/>
        <w:ind w:left="220"/>
        <w:jc w:val="left"/>
        <w:rPr>
          <w:rFonts w:ascii="Calibri" w:hAnsi="Calibri" w:eastAsia="宋体" w:cs="黑体"/>
          <w:color w:val="auto"/>
          <w:kern w:val="0"/>
          <w:sz w:val="24"/>
          <w:szCs w:val="24"/>
          <w:highlight w:val="none"/>
          <w:lang w:val="en-US" w:eastAsia="zh-CN" w:bidi="ar-SA"/>
        </w:rPr>
      </w:pPr>
      <w:r>
        <w:rPr>
          <w:rFonts w:ascii="Calibri" w:hAnsi="Calibri" w:eastAsia="宋体" w:cs="黑体"/>
          <w:color w:val="auto"/>
          <w:kern w:val="0"/>
          <w:sz w:val="24"/>
          <w:szCs w:val="40"/>
          <w:highlight w:val="none"/>
          <w:lang w:val="en-US" w:eastAsia="zh-CN" w:bidi="ar-SA"/>
        </w:rPr>
        <w:fldChar w:fldCharType="begin"/>
      </w:r>
      <w:r>
        <w:rPr>
          <w:rFonts w:ascii="Calibri" w:hAnsi="Calibri" w:eastAsia="宋体" w:cs="黑体"/>
          <w:color w:val="auto"/>
          <w:kern w:val="0"/>
          <w:sz w:val="24"/>
          <w:szCs w:val="40"/>
          <w:highlight w:val="none"/>
          <w:lang w:val="en-US" w:eastAsia="zh-CN" w:bidi="ar-SA"/>
        </w:rPr>
        <w:instrText xml:space="preserve"> HYPERLINK \l _Toc6440 </w:instrText>
      </w:r>
      <w:r>
        <w:rPr>
          <w:rFonts w:ascii="Calibri" w:hAnsi="Calibri" w:eastAsia="宋体" w:cs="黑体"/>
          <w:color w:val="auto"/>
          <w:kern w:val="0"/>
          <w:sz w:val="24"/>
          <w:szCs w:val="40"/>
          <w:highlight w:val="none"/>
          <w:lang w:val="en-US" w:eastAsia="zh-CN" w:bidi="ar-SA"/>
        </w:rPr>
        <w:fldChar w:fldCharType="separate"/>
      </w:r>
      <w:r>
        <w:rPr>
          <w:rFonts w:hint="eastAsia" w:ascii="华文中宋" w:hAnsi="华文中宋" w:eastAsia="华文中宋" w:cs="Times New Roman"/>
          <w:bCs/>
          <w:color w:val="auto"/>
          <w:kern w:val="44"/>
          <w:sz w:val="24"/>
          <w:szCs w:val="48"/>
          <w:highlight w:val="none"/>
          <w:lang w:val="en-US" w:eastAsia="zh-CN" w:bidi="ar-SA"/>
        </w:rPr>
        <w:t>第六章  响应文件格式</w:t>
      </w:r>
      <w:r>
        <w:rPr>
          <w:rFonts w:ascii="Calibri" w:hAnsi="Calibri" w:eastAsia="宋体" w:cs="黑体"/>
          <w:color w:val="auto"/>
          <w:kern w:val="0"/>
          <w:sz w:val="24"/>
          <w:szCs w:val="24"/>
          <w:highlight w:val="none"/>
          <w:lang w:val="en-US" w:eastAsia="zh-CN" w:bidi="ar-SA"/>
        </w:rPr>
        <w:tab/>
      </w:r>
      <w:r>
        <w:rPr>
          <w:rFonts w:ascii="Calibri" w:hAnsi="Calibri" w:eastAsia="宋体" w:cs="黑体"/>
          <w:color w:val="auto"/>
          <w:kern w:val="0"/>
          <w:sz w:val="24"/>
          <w:szCs w:val="24"/>
          <w:highlight w:val="none"/>
          <w:lang w:val="en-US" w:eastAsia="zh-CN" w:bidi="ar-SA"/>
        </w:rPr>
        <w:fldChar w:fldCharType="begin"/>
      </w:r>
      <w:r>
        <w:rPr>
          <w:rFonts w:ascii="Calibri" w:hAnsi="Calibri" w:eastAsia="宋体" w:cs="黑体"/>
          <w:color w:val="auto"/>
          <w:kern w:val="0"/>
          <w:sz w:val="24"/>
          <w:szCs w:val="24"/>
          <w:highlight w:val="none"/>
          <w:lang w:val="en-US" w:eastAsia="zh-CN" w:bidi="ar-SA"/>
        </w:rPr>
        <w:instrText xml:space="preserve"> PAGEREF _Toc6440 \h </w:instrText>
      </w:r>
      <w:r>
        <w:rPr>
          <w:rFonts w:ascii="Calibri" w:hAnsi="Calibri" w:eastAsia="宋体" w:cs="黑体"/>
          <w:color w:val="auto"/>
          <w:kern w:val="0"/>
          <w:sz w:val="24"/>
          <w:szCs w:val="24"/>
          <w:highlight w:val="none"/>
          <w:lang w:val="en-US" w:eastAsia="zh-CN" w:bidi="ar-SA"/>
        </w:rPr>
        <w:fldChar w:fldCharType="separate"/>
      </w:r>
      <w:r>
        <w:rPr>
          <w:rFonts w:ascii="Calibri" w:hAnsi="Calibri" w:eastAsia="宋体" w:cs="黑体"/>
          <w:color w:val="auto"/>
          <w:kern w:val="0"/>
          <w:sz w:val="24"/>
          <w:szCs w:val="24"/>
          <w:highlight w:val="none"/>
          <w:lang w:val="en-US" w:eastAsia="zh-CN" w:bidi="ar-SA"/>
        </w:rPr>
        <w:t>41</w:t>
      </w:r>
      <w:r>
        <w:rPr>
          <w:rFonts w:ascii="Calibri" w:hAnsi="Calibri" w:eastAsia="宋体" w:cs="黑体"/>
          <w:color w:val="auto"/>
          <w:kern w:val="0"/>
          <w:sz w:val="24"/>
          <w:szCs w:val="24"/>
          <w:highlight w:val="none"/>
          <w:lang w:val="en-US" w:eastAsia="zh-CN" w:bidi="ar-SA"/>
        </w:rPr>
        <w:fldChar w:fldCharType="end"/>
      </w:r>
      <w:r>
        <w:rPr>
          <w:rFonts w:ascii="Calibri" w:hAnsi="Calibri" w:eastAsia="宋体" w:cs="黑体"/>
          <w:color w:val="auto"/>
          <w:kern w:val="0"/>
          <w:sz w:val="24"/>
          <w:szCs w:val="40"/>
          <w:highlight w:val="none"/>
          <w:lang w:val="en-US" w:eastAsia="zh-CN" w:bidi="ar-SA"/>
        </w:rPr>
        <w:fldChar w:fldCharType="end"/>
      </w:r>
    </w:p>
    <w:p w14:paraId="0ABA9CCC">
      <w:pPr>
        <w:widowControl/>
        <w:tabs>
          <w:tab w:val="right" w:leader="dot" w:pos="8400"/>
        </w:tabs>
        <w:spacing w:after="100" w:line="276" w:lineRule="auto"/>
        <w:ind w:left="220"/>
        <w:jc w:val="left"/>
        <w:rPr>
          <w:rFonts w:ascii="Calibri" w:hAnsi="Calibri" w:eastAsia="宋体" w:cs="黑体"/>
          <w:color w:val="auto"/>
          <w:kern w:val="0"/>
          <w:sz w:val="24"/>
          <w:szCs w:val="24"/>
          <w:highlight w:val="none"/>
          <w:lang w:val="en-US" w:eastAsia="zh-CN" w:bidi="ar-SA"/>
        </w:rPr>
      </w:pPr>
      <w:r>
        <w:rPr>
          <w:rFonts w:ascii="Calibri" w:hAnsi="Calibri" w:eastAsia="宋体" w:cs="黑体"/>
          <w:color w:val="auto"/>
          <w:kern w:val="0"/>
          <w:sz w:val="24"/>
          <w:szCs w:val="40"/>
          <w:highlight w:val="none"/>
          <w:lang w:val="en-US" w:eastAsia="zh-CN" w:bidi="ar-SA"/>
        </w:rPr>
        <w:fldChar w:fldCharType="begin"/>
      </w:r>
      <w:r>
        <w:rPr>
          <w:rFonts w:ascii="Calibri" w:hAnsi="Calibri" w:eastAsia="宋体" w:cs="黑体"/>
          <w:color w:val="auto"/>
          <w:kern w:val="0"/>
          <w:sz w:val="24"/>
          <w:szCs w:val="40"/>
          <w:highlight w:val="none"/>
          <w:lang w:val="en-US" w:eastAsia="zh-CN" w:bidi="ar-SA"/>
        </w:rPr>
        <w:instrText xml:space="preserve"> HYPERLINK \l _Toc29861 </w:instrText>
      </w:r>
      <w:r>
        <w:rPr>
          <w:rFonts w:ascii="Calibri" w:hAnsi="Calibri" w:eastAsia="宋体" w:cs="黑体"/>
          <w:color w:val="auto"/>
          <w:kern w:val="0"/>
          <w:sz w:val="24"/>
          <w:szCs w:val="40"/>
          <w:highlight w:val="none"/>
          <w:lang w:val="en-US" w:eastAsia="zh-CN" w:bidi="ar-SA"/>
        </w:rPr>
        <w:fldChar w:fldCharType="separate"/>
      </w:r>
      <w:r>
        <w:rPr>
          <w:rFonts w:hint="eastAsia" w:ascii="华文中宋" w:hAnsi="华文中宋" w:eastAsia="华文中宋" w:cs="华文中宋"/>
          <w:color w:val="auto"/>
          <w:kern w:val="0"/>
          <w:sz w:val="24"/>
          <w:szCs w:val="48"/>
          <w:highlight w:val="none"/>
          <w:lang w:val="en-US" w:eastAsia="zh-CN" w:bidi="ar-SA"/>
        </w:rPr>
        <w:t>安招采平台电子招标投标操作规程</w:t>
      </w:r>
      <w:r>
        <w:rPr>
          <w:rFonts w:ascii="Calibri" w:hAnsi="Calibri" w:eastAsia="宋体" w:cs="黑体"/>
          <w:color w:val="auto"/>
          <w:kern w:val="0"/>
          <w:sz w:val="24"/>
          <w:szCs w:val="24"/>
          <w:highlight w:val="none"/>
          <w:lang w:val="en-US" w:eastAsia="zh-CN" w:bidi="ar-SA"/>
        </w:rPr>
        <w:tab/>
      </w:r>
      <w:r>
        <w:rPr>
          <w:rFonts w:ascii="Calibri" w:hAnsi="Calibri" w:eastAsia="宋体" w:cs="黑体"/>
          <w:color w:val="auto"/>
          <w:kern w:val="0"/>
          <w:sz w:val="24"/>
          <w:szCs w:val="24"/>
          <w:highlight w:val="none"/>
          <w:lang w:val="en-US" w:eastAsia="zh-CN" w:bidi="ar-SA"/>
        </w:rPr>
        <w:fldChar w:fldCharType="begin"/>
      </w:r>
      <w:r>
        <w:rPr>
          <w:rFonts w:ascii="Calibri" w:hAnsi="Calibri" w:eastAsia="宋体" w:cs="黑体"/>
          <w:color w:val="auto"/>
          <w:kern w:val="0"/>
          <w:sz w:val="24"/>
          <w:szCs w:val="24"/>
          <w:highlight w:val="none"/>
          <w:lang w:val="en-US" w:eastAsia="zh-CN" w:bidi="ar-SA"/>
        </w:rPr>
        <w:instrText xml:space="preserve"> PAGEREF _Toc29861 \h </w:instrText>
      </w:r>
      <w:r>
        <w:rPr>
          <w:rFonts w:ascii="Calibri" w:hAnsi="Calibri" w:eastAsia="宋体" w:cs="黑体"/>
          <w:color w:val="auto"/>
          <w:kern w:val="0"/>
          <w:sz w:val="24"/>
          <w:szCs w:val="24"/>
          <w:highlight w:val="none"/>
          <w:lang w:val="en-US" w:eastAsia="zh-CN" w:bidi="ar-SA"/>
        </w:rPr>
        <w:fldChar w:fldCharType="separate"/>
      </w:r>
      <w:r>
        <w:rPr>
          <w:rFonts w:ascii="Calibri" w:hAnsi="Calibri" w:eastAsia="宋体" w:cs="黑体"/>
          <w:color w:val="auto"/>
          <w:kern w:val="0"/>
          <w:sz w:val="24"/>
          <w:szCs w:val="24"/>
          <w:highlight w:val="none"/>
          <w:lang w:val="en-US" w:eastAsia="zh-CN" w:bidi="ar-SA"/>
        </w:rPr>
        <w:t>59</w:t>
      </w:r>
      <w:r>
        <w:rPr>
          <w:rFonts w:ascii="Calibri" w:hAnsi="Calibri" w:eastAsia="宋体" w:cs="黑体"/>
          <w:color w:val="auto"/>
          <w:kern w:val="0"/>
          <w:sz w:val="24"/>
          <w:szCs w:val="24"/>
          <w:highlight w:val="none"/>
          <w:lang w:val="en-US" w:eastAsia="zh-CN" w:bidi="ar-SA"/>
        </w:rPr>
        <w:fldChar w:fldCharType="end"/>
      </w:r>
      <w:r>
        <w:rPr>
          <w:rFonts w:ascii="Calibri" w:hAnsi="Calibri" w:eastAsia="宋体" w:cs="黑体"/>
          <w:color w:val="auto"/>
          <w:kern w:val="0"/>
          <w:sz w:val="24"/>
          <w:szCs w:val="40"/>
          <w:highlight w:val="none"/>
          <w:lang w:val="en-US" w:eastAsia="zh-CN" w:bidi="ar-SA"/>
        </w:rPr>
        <w:fldChar w:fldCharType="end"/>
      </w:r>
    </w:p>
    <w:p w14:paraId="5EF644F0">
      <w:pPr>
        <w:keepNext w:val="0"/>
        <w:keepLines w:val="0"/>
        <w:pageBreakBefore w:val="0"/>
        <w:widowControl/>
        <w:kinsoku/>
        <w:wordWrap w:val="0"/>
        <w:overflowPunct/>
        <w:topLinePunct w:val="0"/>
        <w:bidi w:val="0"/>
        <w:spacing w:after="100" w:line="276" w:lineRule="auto"/>
        <w:ind w:left="0"/>
        <w:jc w:val="left"/>
        <w:textAlignment w:val="auto"/>
        <w:rPr>
          <w:rFonts w:hint="eastAsia" w:ascii="Calibri" w:hAnsi="Calibri" w:eastAsia="宋体" w:cs="黑体"/>
          <w:color w:val="auto"/>
          <w:kern w:val="0"/>
          <w:sz w:val="28"/>
          <w:szCs w:val="28"/>
          <w:highlight w:val="none"/>
          <w:lang w:val="en-US" w:eastAsia="zh-CN" w:bidi="ar-SA"/>
        </w:rPr>
      </w:pPr>
      <w:r>
        <w:rPr>
          <w:rFonts w:ascii="Calibri" w:hAnsi="Calibri" w:eastAsia="宋体" w:cs="黑体"/>
          <w:color w:val="auto"/>
          <w:kern w:val="0"/>
          <w:sz w:val="24"/>
          <w:szCs w:val="40"/>
          <w:highlight w:val="none"/>
          <w:lang w:val="en-US" w:eastAsia="zh-CN" w:bidi="ar-SA"/>
        </w:rPr>
        <w:fldChar w:fldCharType="end"/>
      </w:r>
    </w:p>
    <w:p w14:paraId="0A13E50F">
      <w:pPr>
        <w:keepNext w:val="0"/>
        <w:keepLines w:val="0"/>
        <w:pageBreakBefore w:val="0"/>
        <w:kinsoku/>
        <w:wordWrap w:val="0"/>
        <w:overflowPunct/>
        <w:topLinePunct w:val="0"/>
        <w:bidi w:val="0"/>
        <w:textAlignment w:val="auto"/>
        <w:rPr>
          <w:rFonts w:hint="eastAsia"/>
          <w:color w:val="auto"/>
          <w:sz w:val="24"/>
          <w:szCs w:val="22"/>
          <w:highlight w:val="none"/>
        </w:rPr>
      </w:pPr>
    </w:p>
    <w:p w14:paraId="6E1D579B">
      <w:pPr>
        <w:keepNext w:val="0"/>
        <w:keepLines w:val="0"/>
        <w:pageBreakBefore w:val="0"/>
        <w:kinsoku/>
        <w:wordWrap w:val="0"/>
        <w:overflowPunct/>
        <w:topLinePunct w:val="0"/>
        <w:bidi w:val="0"/>
        <w:textAlignment w:val="auto"/>
        <w:rPr>
          <w:rFonts w:hint="eastAsia" w:ascii="@仿宋_GB2312" w:hAnsi="@仿宋_GB2312" w:eastAsia="@仿宋_GB2312" w:cs="@仿宋_GB2312"/>
          <w:color w:val="auto"/>
          <w:kern w:val="2"/>
          <w:sz w:val="21"/>
          <w:highlight w:val="none"/>
          <w:lang w:val="en-US" w:eastAsia="zh-CN" w:bidi="ar-SA"/>
        </w:rPr>
      </w:pPr>
    </w:p>
    <w:p w14:paraId="3D627042">
      <w:pPr>
        <w:pStyle w:val="7"/>
        <w:bidi w:val="0"/>
        <w:rPr>
          <w:rFonts w:hint="eastAsia"/>
          <w:color w:val="auto"/>
          <w:highlight w:val="none"/>
          <w:lang w:val="en-US" w:eastAsia="zh-CN"/>
        </w:rPr>
      </w:pPr>
    </w:p>
    <w:p w14:paraId="1815710D">
      <w:pPr>
        <w:keepNext w:val="0"/>
        <w:keepLines w:val="0"/>
        <w:pageBreakBefore w:val="0"/>
        <w:kinsoku/>
        <w:wordWrap w:val="0"/>
        <w:overflowPunct/>
        <w:topLinePunct w:val="0"/>
        <w:bidi w:val="0"/>
        <w:textAlignment w:val="auto"/>
        <w:rPr>
          <w:rFonts w:hint="eastAsia"/>
          <w:color w:val="auto"/>
          <w:highlight w:val="none"/>
          <w:lang w:val="en-US" w:eastAsia="zh-CN"/>
        </w:rPr>
      </w:pPr>
    </w:p>
    <w:p w14:paraId="4C55C735">
      <w:pPr>
        <w:keepNext w:val="0"/>
        <w:keepLines w:val="0"/>
        <w:pageBreakBefore w:val="0"/>
        <w:kinsoku/>
        <w:wordWrap w:val="0"/>
        <w:overflowPunct/>
        <w:topLinePunct w:val="0"/>
        <w:bidi w:val="0"/>
        <w:textAlignment w:val="auto"/>
        <w:rPr>
          <w:rFonts w:hint="eastAsia"/>
          <w:color w:val="auto"/>
          <w:highlight w:val="none"/>
          <w:lang w:val="en-US" w:eastAsia="zh-CN"/>
        </w:rPr>
      </w:pPr>
    </w:p>
    <w:p w14:paraId="10C532CA">
      <w:pPr>
        <w:keepNext w:val="0"/>
        <w:keepLines w:val="0"/>
        <w:pageBreakBefore w:val="0"/>
        <w:tabs>
          <w:tab w:val="center" w:pos="4200"/>
        </w:tabs>
        <w:kinsoku/>
        <w:wordWrap w:val="0"/>
        <w:overflowPunct/>
        <w:topLinePunct w:val="0"/>
        <w:bidi w:val="0"/>
        <w:jc w:val="left"/>
        <w:textAlignment w:val="auto"/>
        <w:rPr>
          <w:rFonts w:hint="eastAsia"/>
          <w:color w:val="auto"/>
          <w:highlight w:val="none"/>
          <w:lang w:val="en-US" w:eastAsia="zh-CN"/>
        </w:rPr>
        <w:sectPr>
          <w:headerReference r:id="rId4" w:type="default"/>
          <w:footerReference r:id="rId5" w:type="default"/>
          <w:pgSz w:w="11906" w:h="16838"/>
          <w:pgMar w:top="1417" w:right="1669" w:bottom="1417" w:left="1837" w:header="851" w:footer="992" w:gutter="0"/>
          <w:cols w:space="720" w:num="1"/>
          <w:docGrid w:type="lines" w:linePitch="312" w:charSpace="0"/>
        </w:sectPr>
      </w:pPr>
      <w:r>
        <w:rPr>
          <w:rFonts w:hint="eastAsia" w:ascii="@仿宋_GB2312" w:eastAsia="@仿宋_GB2312"/>
          <w:color w:val="auto"/>
          <w:highlight w:val="none"/>
          <w:lang w:val="en-US" w:eastAsia="zh-CN"/>
        </w:rPr>
        <w:tab/>
      </w:r>
    </w:p>
    <w:p w14:paraId="12A8004E">
      <w:pPr>
        <w:pageBreakBefore w:val="0"/>
        <w:kinsoku/>
        <w:wordWrap w:val="0"/>
        <w:overflowPunct/>
        <w:topLinePunct w:val="0"/>
        <w:bidi w:val="0"/>
        <w:spacing w:line="360" w:lineRule="auto"/>
        <w:jc w:val="center"/>
        <w:textAlignment w:val="auto"/>
        <w:outlineLvl w:val="1"/>
        <w:rPr>
          <w:rFonts w:hint="eastAsia" w:ascii="华文中宋" w:hAnsi="华文中宋" w:eastAsia="华文中宋" w:cs="Times New Roman"/>
          <w:b/>
          <w:bCs/>
          <w:color w:val="auto"/>
          <w:kern w:val="44"/>
          <w:sz w:val="44"/>
          <w:szCs w:val="44"/>
          <w:highlight w:val="none"/>
          <w:lang w:val="en-US" w:eastAsia="zh-CN" w:bidi="ar-SA"/>
        </w:rPr>
      </w:pPr>
      <w:bookmarkStart w:id="1" w:name="_Toc27331"/>
      <w:bookmarkStart w:id="2" w:name="_Toc6853"/>
      <w:r>
        <w:rPr>
          <w:rFonts w:hint="eastAsia" w:ascii="华文中宋" w:hAnsi="华文中宋" w:eastAsia="华文中宋" w:cs="Times New Roman"/>
          <w:b/>
          <w:bCs/>
          <w:color w:val="auto"/>
          <w:kern w:val="44"/>
          <w:sz w:val="44"/>
          <w:szCs w:val="44"/>
          <w:highlight w:val="none"/>
          <w:lang w:val="en-US" w:eastAsia="zh-CN" w:bidi="ar-SA"/>
        </w:rPr>
        <w:t xml:space="preserve">第一章  </w:t>
      </w:r>
      <w:bookmarkEnd w:id="1"/>
      <w:r>
        <w:rPr>
          <w:rFonts w:hint="eastAsia" w:ascii="华文中宋" w:hAnsi="华文中宋" w:eastAsia="华文中宋" w:cs="Times New Roman"/>
          <w:b/>
          <w:bCs/>
          <w:color w:val="auto"/>
          <w:kern w:val="44"/>
          <w:sz w:val="44"/>
          <w:szCs w:val="44"/>
          <w:highlight w:val="none"/>
          <w:lang w:val="en-US" w:eastAsia="zh-CN" w:bidi="ar-SA"/>
        </w:rPr>
        <w:t>磋商公告</w:t>
      </w:r>
      <w:bookmarkEnd w:id="2"/>
    </w:p>
    <w:p w14:paraId="46170CED">
      <w:pPr>
        <w:keepNext w:val="0"/>
        <w:keepLines w:val="0"/>
        <w:pageBreakBefore w:val="0"/>
        <w:widowControl w:val="0"/>
        <w:kinsoku/>
        <w:wordWrap w:val="0"/>
        <w:overflowPunct/>
        <w:topLinePunct w:val="0"/>
        <w:autoSpaceDE/>
        <w:autoSpaceDN/>
        <w:bidi w:val="0"/>
        <w:adjustRightInd/>
        <w:snapToGrid w:val="0"/>
        <w:spacing w:line="360" w:lineRule="auto"/>
        <w:ind w:right="0" w:rightChars="0" w:firstLine="560" w:firstLineChars="200"/>
        <w:jc w:val="both"/>
        <w:textAlignment w:val="auto"/>
        <w:rPr>
          <w:rFonts w:hint="eastAsia" w:ascii="仿宋" w:hAnsi="仿宋" w:eastAsia="仿宋" w:cs="仿宋"/>
          <w:color w:val="auto"/>
          <w:sz w:val="28"/>
          <w:szCs w:val="28"/>
          <w:highlight w:val="none"/>
          <w:u w:val="none"/>
          <w:lang w:val="en-US" w:eastAsia="zh-CN"/>
        </w:rPr>
      </w:pPr>
      <w:bookmarkStart w:id="3" w:name="_Toc35393799"/>
      <w:bookmarkStart w:id="4" w:name="_Toc35393630"/>
      <w:bookmarkStart w:id="5" w:name="_Toc28359013"/>
      <w:bookmarkStart w:id="6" w:name="_Toc28359090"/>
    </w:p>
    <w:p w14:paraId="56EF5B5D">
      <w:pPr>
        <w:keepNext w:val="0"/>
        <w:keepLines w:val="0"/>
        <w:pageBreakBefore w:val="0"/>
        <w:widowControl w:val="0"/>
        <w:kinsoku/>
        <w:wordWrap w:val="0"/>
        <w:overflowPunct/>
        <w:topLinePunct w:val="0"/>
        <w:autoSpaceDE/>
        <w:autoSpaceDN/>
        <w:bidi w:val="0"/>
        <w:adjustRightInd/>
        <w:snapToGrid w:val="0"/>
        <w:spacing w:line="360" w:lineRule="auto"/>
        <w:ind w:right="0" w:rightChars="0" w:firstLine="560" w:firstLineChars="200"/>
        <w:jc w:val="both"/>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项目概况</w:t>
      </w:r>
    </w:p>
    <w:p w14:paraId="64747D85">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bCs/>
          <w:color w:val="auto"/>
          <w:sz w:val="28"/>
          <w:szCs w:val="28"/>
          <w:highlight w:val="none"/>
          <w:lang w:eastAsia="zh-CN"/>
        </w:rPr>
      </w:pPr>
      <w:r>
        <w:rPr>
          <w:rFonts w:hint="eastAsia" w:ascii="仿宋" w:hAnsi="仿宋" w:eastAsia="仿宋" w:cs="仿宋"/>
          <w:color w:val="auto"/>
          <w:sz w:val="28"/>
          <w:szCs w:val="28"/>
          <w:highlight w:val="none"/>
          <w:u w:val="single"/>
          <w:lang w:val="en-US" w:eastAsia="zh-CN"/>
        </w:rPr>
        <w:t>安徽省城镇保障性安居工程委托第三方现场核实评估</w:t>
      </w:r>
      <w:r>
        <w:rPr>
          <w:rFonts w:hint="eastAsia" w:ascii="仿宋" w:hAnsi="仿宋" w:eastAsia="仿宋" w:cs="仿宋"/>
          <w:color w:val="auto"/>
          <w:sz w:val="28"/>
          <w:szCs w:val="28"/>
          <w:highlight w:val="none"/>
        </w:rPr>
        <w:t>采购项目的潜在供应商应在</w:t>
      </w:r>
      <w:r>
        <w:rPr>
          <w:rFonts w:hint="eastAsia" w:ascii="仿宋" w:hAnsi="仿宋" w:eastAsia="仿宋" w:cs="仿宋"/>
          <w:color w:val="auto"/>
          <w:sz w:val="28"/>
          <w:szCs w:val="28"/>
          <w:highlight w:val="none"/>
          <w:u w:val="single"/>
          <w:lang w:val="en-US"/>
        </w:rPr>
        <w:t>能工社—安招采电子招标采购交易系统（www.anzhaocai.com）</w:t>
      </w:r>
      <w:r>
        <w:rPr>
          <w:rFonts w:hint="eastAsia" w:ascii="仿宋" w:hAnsi="仿宋" w:eastAsia="仿宋" w:cs="仿宋"/>
          <w:color w:val="auto"/>
          <w:sz w:val="28"/>
          <w:szCs w:val="28"/>
          <w:highlight w:val="none"/>
        </w:rPr>
        <w:t>获取</w:t>
      </w:r>
      <w:r>
        <w:rPr>
          <w:rFonts w:hint="eastAsia" w:ascii="仿宋" w:hAnsi="仿宋" w:eastAsia="仿宋" w:cs="仿宋"/>
          <w:color w:val="auto"/>
          <w:sz w:val="28"/>
          <w:szCs w:val="28"/>
          <w:highlight w:val="none"/>
          <w:lang w:val="en-US" w:eastAsia="zh-CN"/>
        </w:rPr>
        <w:t>采购</w:t>
      </w:r>
      <w:r>
        <w:rPr>
          <w:rFonts w:hint="eastAsia" w:ascii="仿宋" w:hAnsi="仿宋" w:eastAsia="仿宋" w:cs="仿宋"/>
          <w:color w:val="auto"/>
          <w:sz w:val="28"/>
          <w:szCs w:val="28"/>
          <w:highlight w:val="none"/>
        </w:rPr>
        <w:t>文件，并于202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14</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分（北京时间）</w:t>
      </w:r>
      <w:r>
        <w:rPr>
          <w:rFonts w:hint="eastAsia" w:ascii="仿宋" w:hAnsi="仿宋" w:eastAsia="仿宋" w:cs="仿宋"/>
          <w:bCs/>
          <w:color w:val="auto"/>
          <w:sz w:val="28"/>
          <w:szCs w:val="28"/>
          <w:highlight w:val="none"/>
        </w:rPr>
        <w:t>前提交响应文件</w:t>
      </w:r>
      <w:r>
        <w:rPr>
          <w:rFonts w:hint="eastAsia" w:ascii="仿宋" w:hAnsi="仿宋" w:eastAsia="仿宋" w:cs="仿宋"/>
          <w:bCs/>
          <w:color w:val="auto"/>
          <w:sz w:val="28"/>
          <w:szCs w:val="28"/>
          <w:highlight w:val="none"/>
          <w:lang w:eastAsia="zh-CN"/>
        </w:rPr>
        <w:t>。</w:t>
      </w:r>
    </w:p>
    <w:p w14:paraId="4FC99132">
      <w:pPr>
        <w:pStyle w:val="22"/>
        <w:keepNext w:val="0"/>
        <w:keepLines w:val="0"/>
        <w:pageBreakBefore w:val="0"/>
        <w:widowControl w:val="0"/>
        <w:kinsoku/>
        <w:wordWrap w:val="0"/>
        <w:overflowPunct/>
        <w:topLinePunct w:val="0"/>
        <w:bidi w:val="0"/>
        <w:spacing w:after="120"/>
        <w:jc w:val="left"/>
        <w:textAlignment w:val="auto"/>
        <w:rPr>
          <w:rFonts w:hint="eastAsia" w:ascii="@微软简标宋" w:hAnsi="@微软简标宋" w:eastAsia="@微软简标宋" w:cs="@微软简标宋"/>
          <w:color w:val="auto"/>
          <w:kern w:val="2"/>
          <w:sz w:val="21"/>
          <w:szCs w:val="24"/>
          <w:highlight w:val="none"/>
          <w:lang w:val="zh-CN" w:eastAsia="zh-CN" w:bidi="ar-SA"/>
        </w:rPr>
      </w:pPr>
    </w:p>
    <w:p w14:paraId="5C8635F8">
      <w:pPr>
        <w:keepNext w:val="0"/>
        <w:keepLines w:val="0"/>
        <w:pageBreakBefore w:val="0"/>
        <w:widowControl w:val="0"/>
        <w:kinsoku/>
        <w:wordWrap w:val="0"/>
        <w:overflowPunct/>
        <w:topLinePunct w:val="0"/>
        <w:autoSpaceDE/>
        <w:autoSpaceDN/>
        <w:bidi w:val="0"/>
        <w:adjustRightInd/>
        <w:snapToGrid w:val="0"/>
        <w:spacing w:line="360" w:lineRule="auto"/>
        <w:ind w:right="0" w:rightChars="0" w:firstLine="562" w:firstLineChars="200"/>
        <w:jc w:val="both"/>
        <w:textAlignment w:val="auto"/>
        <w:outlineLvl w:val="9"/>
        <w:rPr>
          <w:rFonts w:hint="eastAsia" w:ascii="仿宋" w:hAnsi="仿宋" w:eastAsia="仿宋" w:cs="仿宋"/>
          <w:b/>
          <w:bCs/>
          <w:color w:val="auto"/>
          <w:sz w:val="28"/>
          <w:szCs w:val="28"/>
          <w:highlight w:val="none"/>
        </w:rPr>
      </w:pPr>
      <w:bookmarkStart w:id="7" w:name="_Toc35393629"/>
      <w:bookmarkStart w:id="8" w:name="_Toc28359089"/>
      <w:bookmarkStart w:id="9" w:name="_Toc28359012"/>
      <w:bookmarkStart w:id="10" w:name="_Toc35393798"/>
      <w:r>
        <w:rPr>
          <w:rFonts w:hint="eastAsia" w:ascii="黑体" w:hAnsi="黑体" w:eastAsia="黑体" w:cs="黑体"/>
          <w:b/>
          <w:bCs/>
          <w:color w:val="auto"/>
          <w:sz w:val="28"/>
          <w:szCs w:val="28"/>
          <w:highlight w:val="none"/>
        </w:rPr>
        <w:t>一、项目基本情况</w:t>
      </w:r>
      <w:bookmarkEnd w:id="7"/>
      <w:bookmarkEnd w:id="8"/>
      <w:bookmarkEnd w:id="9"/>
      <w:bookmarkEnd w:id="10"/>
    </w:p>
    <w:p w14:paraId="07139A8F">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项目编号：</w:t>
      </w:r>
      <w:r>
        <w:rPr>
          <w:rFonts w:hint="eastAsia" w:ascii="仿宋" w:hAnsi="仿宋" w:eastAsia="仿宋" w:cs="仿宋"/>
          <w:color w:val="auto"/>
          <w:sz w:val="28"/>
          <w:szCs w:val="28"/>
          <w:highlight w:val="none"/>
          <w:lang w:val="en-US" w:eastAsia="zh-CN"/>
        </w:rPr>
        <w:t>ZB202504052</w:t>
      </w:r>
    </w:p>
    <w:p w14:paraId="6FEFB24E">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lang w:val="en-US" w:eastAsia="zh-CN"/>
        </w:rPr>
        <w:t>安徽省城镇保障性安居工程委托第三方现场核实评估</w:t>
      </w:r>
    </w:p>
    <w:p w14:paraId="31507EF1">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采购方式：磋商</w:t>
      </w:r>
    </w:p>
    <w:p w14:paraId="6777D957">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预算金额：</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万元</w:t>
      </w:r>
    </w:p>
    <w:p w14:paraId="63C37D20">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采购需求：在规定时间内完成</w:t>
      </w:r>
      <w:r>
        <w:rPr>
          <w:rFonts w:hint="eastAsia" w:ascii="仿宋" w:hAnsi="仿宋" w:eastAsia="仿宋" w:cs="仿宋"/>
          <w:color w:val="auto"/>
          <w:sz w:val="28"/>
          <w:szCs w:val="28"/>
          <w:highlight w:val="none"/>
          <w:lang w:eastAsia="zh-CN"/>
        </w:rPr>
        <w:t>年度安徽省城镇保障性安居工程委托第三方现场核实评估</w:t>
      </w:r>
      <w:r>
        <w:rPr>
          <w:rFonts w:hint="eastAsia" w:ascii="仿宋" w:hAnsi="仿宋" w:eastAsia="仿宋" w:cs="仿宋"/>
          <w:color w:val="auto"/>
          <w:sz w:val="28"/>
          <w:szCs w:val="28"/>
          <w:highlight w:val="none"/>
        </w:rPr>
        <w:t>工作，具体详见采购需求。</w:t>
      </w:r>
    </w:p>
    <w:p w14:paraId="33745831">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35" w:firstLineChars="0"/>
        <w:jc w:val="left"/>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u w:val="none"/>
        </w:rPr>
        <w:t>合同签订采用1+1+1方式，总体不超过三年。上一年合同期满后，成交供应商经考核合格，在预算保证的前提下，</w:t>
      </w:r>
      <w:r>
        <w:rPr>
          <w:rFonts w:hint="eastAsia" w:ascii="仿宋" w:hAnsi="仿宋" w:eastAsia="仿宋" w:cs="仿宋"/>
          <w:color w:val="auto"/>
          <w:sz w:val="28"/>
          <w:szCs w:val="28"/>
          <w:highlight w:val="none"/>
          <w:u w:val="none"/>
          <w:lang w:eastAsia="zh-CN"/>
        </w:rPr>
        <w:t>双方协商一致情况下，</w:t>
      </w:r>
      <w:r>
        <w:rPr>
          <w:rFonts w:hint="eastAsia" w:ascii="仿宋" w:hAnsi="仿宋" w:eastAsia="仿宋" w:cs="仿宋"/>
          <w:color w:val="auto"/>
          <w:sz w:val="28"/>
          <w:szCs w:val="28"/>
          <w:highlight w:val="none"/>
          <w:u w:val="none"/>
        </w:rPr>
        <w:t>续签下一年合同。具体时间节点以采购人要求为准</w:t>
      </w:r>
      <w:r>
        <w:rPr>
          <w:rFonts w:hint="eastAsia" w:ascii="仿宋" w:hAnsi="仿宋" w:eastAsia="仿宋" w:cs="仿宋"/>
          <w:color w:val="auto"/>
          <w:sz w:val="28"/>
          <w:szCs w:val="28"/>
          <w:highlight w:val="none"/>
          <w:u w:val="none"/>
          <w:lang w:eastAsia="zh-CN"/>
        </w:rPr>
        <w:t>。</w:t>
      </w:r>
    </w:p>
    <w:p w14:paraId="6FD8AC84">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eastAsia="zh-CN"/>
        </w:rPr>
        <w:t>不接受</w:t>
      </w:r>
      <w:r>
        <w:rPr>
          <w:rFonts w:hint="eastAsia" w:ascii="仿宋" w:hAnsi="仿宋" w:eastAsia="仿宋" w:cs="仿宋"/>
          <w:color w:val="auto"/>
          <w:sz w:val="28"/>
          <w:szCs w:val="28"/>
          <w:highlight w:val="none"/>
        </w:rPr>
        <w:t>联合体。</w:t>
      </w:r>
    </w:p>
    <w:p w14:paraId="5AE86044">
      <w:pPr>
        <w:keepNext w:val="0"/>
        <w:keepLines w:val="0"/>
        <w:pageBreakBefore w:val="0"/>
        <w:widowControl w:val="0"/>
        <w:kinsoku/>
        <w:wordWrap w:val="0"/>
        <w:overflowPunct/>
        <w:topLinePunct w:val="0"/>
        <w:autoSpaceDE/>
        <w:autoSpaceDN/>
        <w:bidi w:val="0"/>
        <w:adjustRightInd/>
        <w:snapToGrid w:val="0"/>
        <w:spacing w:line="360" w:lineRule="auto"/>
        <w:ind w:right="0" w:rightChars="0" w:firstLine="562" w:firstLineChars="200"/>
        <w:jc w:val="both"/>
        <w:textAlignment w:val="auto"/>
        <w:outlineLvl w:val="9"/>
        <w:rPr>
          <w:rFonts w:hint="eastAsia" w:ascii="仿宋" w:hAnsi="仿宋" w:eastAsia="仿宋" w:cs="仿宋"/>
          <w:b/>
          <w:bCs/>
          <w:color w:val="auto"/>
          <w:sz w:val="28"/>
          <w:szCs w:val="28"/>
          <w:highlight w:val="none"/>
        </w:rPr>
      </w:pPr>
      <w:r>
        <w:rPr>
          <w:rFonts w:hint="eastAsia" w:ascii="黑体" w:hAnsi="黑体" w:eastAsia="黑体" w:cs="黑体"/>
          <w:b/>
          <w:bCs/>
          <w:color w:val="auto"/>
          <w:sz w:val="28"/>
          <w:szCs w:val="28"/>
          <w:highlight w:val="none"/>
        </w:rPr>
        <w:t>二、申请人的资格要求</w:t>
      </w:r>
    </w:p>
    <w:p w14:paraId="27C2D94A">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1.满足《中华人民共和国政府采购法》第二十二条规定；</w:t>
      </w:r>
    </w:p>
    <w:p w14:paraId="10F02F22">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2.落实政府采购政策需满足的资格要求：本项目非专门面向中小企业采购</w:t>
      </w:r>
    </w:p>
    <w:p w14:paraId="34BDAA30">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3.本项目的特定资格要求：无。</w:t>
      </w:r>
    </w:p>
    <w:p w14:paraId="27B1CE51">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.供应商不得存在以下不良信用记录情形：</w:t>
      </w:r>
    </w:p>
    <w:p w14:paraId="7E22DFD1">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（1）供应商被人民法院列入失信被执行人的；</w:t>
      </w:r>
    </w:p>
    <w:p w14:paraId="004189A4">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（2）供应商或其法定代表人或拟派项目经理（项目负责人）被人民检察院列入行贿犯罪档案的；</w:t>
      </w:r>
    </w:p>
    <w:p w14:paraId="26C774F9">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（3）供应商被工商行政管理部门列入企业经营异常名录的；</w:t>
      </w:r>
    </w:p>
    <w:p w14:paraId="6A76B421">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（4）供应商被税务部门列入重大税收违法案件当事人名单的；</w:t>
      </w:r>
    </w:p>
    <w:p w14:paraId="5DDEE71E">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（5）供应商被政府采购监管部门列入政府采购严重违法失信行为记录名单的。</w:t>
      </w:r>
    </w:p>
    <w:p w14:paraId="235A1123">
      <w:pPr>
        <w:keepNext w:val="0"/>
        <w:keepLines w:val="0"/>
        <w:pageBreakBefore w:val="0"/>
        <w:widowControl w:val="0"/>
        <w:kinsoku/>
        <w:wordWrap w:val="0"/>
        <w:overflowPunct/>
        <w:topLinePunct w:val="0"/>
        <w:autoSpaceDE/>
        <w:autoSpaceDN/>
        <w:bidi w:val="0"/>
        <w:adjustRightInd/>
        <w:snapToGrid w:val="0"/>
        <w:spacing w:line="360" w:lineRule="auto"/>
        <w:ind w:right="0" w:rightChars="0" w:firstLine="562" w:firstLineChars="200"/>
        <w:jc w:val="both"/>
        <w:textAlignment w:val="auto"/>
        <w:outlineLvl w:val="9"/>
        <w:rPr>
          <w:rFonts w:hint="eastAsia" w:ascii="黑体" w:hAnsi="黑体" w:eastAsia="黑体" w:cs="黑体"/>
          <w:b/>
          <w:bCs/>
          <w:color w:val="auto"/>
          <w:sz w:val="28"/>
          <w:szCs w:val="28"/>
          <w:highlight w:val="none"/>
        </w:rPr>
      </w:pPr>
      <w:r>
        <w:rPr>
          <w:rFonts w:hint="eastAsia" w:ascii="黑体" w:hAnsi="黑体" w:eastAsia="黑体" w:cs="黑体"/>
          <w:b/>
          <w:bCs/>
          <w:color w:val="auto"/>
          <w:sz w:val="28"/>
          <w:szCs w:val="28"/>
          <w:highlight w:val="none"/>
        </w:rPr>
        <w:t>三、获取</w:t>
      </w:r>
      <w:r>
        <w:rPr>
          <w:rFonts w:hint="eastAsia" w:ascii="黑体" w:hAnsi="黑体" w:eastAsia="黑体" w:cs="黑体"/>
          <w:b/>
          <w:bCs/>
          <w:color w:val="auto"/>
          <w:sz w:val="28"/>
          <w:szCs w:val="28"/>
          <w:highlight w:val="none"/>
          <w:lang w:val="en-US" w:eastAsia="zh-CN"/>
        </w:rPr>
        <w:t>采购</w:t>
      </w:r>
      <w:r>
        <w:rPr>
          <w:rFonts w:hint="eastAsia" w:ascii="黑体" w:hAnsi="黑体" w:eastAsia="黑体" w:cs="黑体"/>
          <w:b/>
          <w:bCs/>
          <w:color w:val="auto"/>
          <w:sz w:val="28"/>
          <w:szCs w:val="28"/>
          <w:highlight w:val="none"/>
        </w:rPr>
        <w:t>文件</w:t>
      </w:r>
    </w:p>
    <w:p w14:paraId="14792E68">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1.获取时间：2025年5月12日至2025年5月19日，每天上午0:00到 12:00，下午 12:00 到 23:59 （北京时间，法定节假日除外）。</w:t>
      </w:r>
    </w:p>
    <w:p w14:paraId="66473206">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2.获取地点：能工社—安招采电子招标采购交易系统（www.anzhaocai.com）。</w:t>
      </w:r>
    </w:p>
    <w:p w14:paraId="75801FDF">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3.获取方式：登录上述网站并下载磋商文件及相关附件。</w:t>
      </w:r>
    </w:p>
    <w:p w14:paraId="1942BD20">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2" w:firstLineChars="200"/>
        <w:jc w:val="both"/>
        <w:textAlignment w:val="auto"/>
        <w:outlineLvl w:val="9"/>
        <w:rPr>
          <w:rFonts w:hint="eastAsia" w:ascii="黑体" w:hAnsi="黑体" w:eastAsia="黑体" w:cs="黑体"/>
          <w:b/>
          <w:bCs/>
          <w:color w:val="auto"/>
          <w:sz w:val="28"/>
          <w:szCs w:val="28"/>
          <w:highlight w:val="none"/>
        </w:rPr>
      </w:pPr>
      <w:r>
        <w:rPr>
          <w:rFonts w:hint="eastAsia" w:ascii="黑体" w:hAnsi="黑体" w:eastAsia="黑体" w:cs="黑体"/>
          <w:b/>
          <w:bCs/>
          <w:color w:val="auto"/>
          <w:sz w:val="28"/>
          <w:szCs w:val="28"/>
          <w:highlight w:val="none"/>
        </w:rPr>
        <w:t>四、响应文件提交</w:t>
      </w:r>
    </w:p>
    <w:p w14:paraId="59389673">
      <w:pPr>
        <w:keepNext w:val="0"/>
        <w:keepLines w:val="0"/>
        <w:pageBreakBefore w:val="0"/>
        <w:widowControl w:val="0"/>
        <w:kinsoku/>
        <w:wordWrap w:val="0"/>
        <w:overflowPunct/>
        <w:topLinePunct w:val="0"/>
        <w:autoSpaceDE/>
        <w:autoSpaceDN/>
        <w:bidi w:val="0"/>
        <w:adjustRightInd/>
        <w:spacing w:line="360" w:lineRule="auto"/>
        <w:ind w:firstLine="560" w:firstLineChars="200"/>
        <w:jc w:val="both"/>
        <w:textAlignment w:val="auto"/>
        <w:rPr>
          <w:rFonts w:hint="eastAsia" w:ascii="仿宋" w:hAnsi="仿宋" w:eastAsia="仿宋" w:cs="仿宋"/>
          <w:bCs/>
          <w:color w:val="auto"/>
          <w:sz w:val="28"/>
          <w:szCs w:val="28"/>
          <w:highlight w:val="none"/>
        </w:rPr>
      </w:pPr>
      <w:r>
        <w:rPr>
          <w:rFonts w:hint="eastAsia" w:ascii="仿宋" w:hAnsi="仿宋" w:eastAsia="仿宋" w:cs="仿宋"/>
          <w:color w:val="auto"/>
          <w:sz w:val="28"/>
          <w:szCs w:val="28"/>
          <w:highlight w:val="none"/>
          <w:lang w:val="en-US" w:eastAsia="zh-CN"/>
        </w:rPr>
        <w:t>1.提交</w:t>
      </w:r>
      <w:r>
        <w:rPr>
          <w:rFonts w:hint="eastAsia" w:ascii="仿宋" w:hAnsi="仿宋" w:eastAsia="仿宋" w:cs="仿宋"/>
          <w:color w:val="auto"/>
          <w:sz w:val="28"/>
          <w:szCs w:val="28"/>
          <w:highlight w:val="none"/>
        </w:rPr>
        <w:t>截止时间202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14</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r>
        <w:rPr>
          <w:rFonts w:hint="eastAsia" w:ascii="仿宋" w:hAnsi="仿宋" w:eastAsia="仿宋" w:cs="仿宋"/>
          <w:bCs/>
          <w:color w:val="auto"/>
          <w:sz w:val="28"/>
          <w:szCs w:val="28"/>
          <w:highlight w:val="none"/>
        </w:rPr>
        <w:t>（北京时间）</w:t>
      </w:r>
    </w:p>
    <w:p w14:paraId="1B676AA1">
      <w:pPr>
        <w:keepNext w:val="0"/>
        <w:keepLines w:val="0"/>
        <w:pageBreakBefore w:val="0"/>
        <w:widowControl w:val="0"/>
        <w:kinsoku/>
        <w:wordWrap w:val="0"/>
        <w:overflowPunct/>
        <w:topLinePunct w:val="0"/>
        <w:autoSpaceDE/>
        <w:autoSpaceDN/>
        <w:bidi w:val="0"/>
        <w:adjustRightInd/>
        <w:spacing w:line="360" w:lineRule="auto"/>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2.提交地点：</w:t>
      </w:r>
      <w:r>
        <w:rPr>
          <w:rFonts w:hint="eastAsia" w:ascii="仿宋" w:hAnsi="仿宋" w:eastAsia="仿宋" w:cs="仿宋"/>
          <w:color w:val="auto"/>
          <w:sz w:val="28"/>
          <w:szCs w:val="28"/>
          <w:highlight w:val="none"/>
          <w:u w:val="none"/>
          <w:lang w:val="en-US"/>
        </w:rPr>
        <w:t>能工社—安招采电子招标采购交易系统（www.anzhaocai.com）</w:t>
      </w:r>
      <w:r>
        <w:rPr>
          <w:rFonts w:hint="eastAsia" w:ascii="仿宋" w:hAnsi="仿宋" w:eastAsia="仿宋" w:cs="仿宋"/>
          <w:color w:val="auto"/>
          <w:sz w:val="28"/>
          <w:szCs w:val="28"/>
          <w:highlight w:val="none"/>
          <w:u w:val="none"/>
          <w:lang w:val="en-US" w:eastAsia="zh-CN"/>
        </w:rPr>
        <w:t>。</w:t>
      </w:r>
    </w:p>
    <w:p w14:paraId="05028614">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3.提交方式：</w:t>
      </w:r>
      <w:r>
        <w:rPr>
          <w:rFonts w:hint="eastAsia" w:ascii="仿宋" w:hAnsi="仿宋" w:eastAsia="仿宋" w:cs="仿宋"/>
          <w:color w:val="auto"/>
          <w:sz w:val="28"/>
          <w:szCs w:val="28"/>
          <w:highlight w:val="none"/>
          <w:u w:val="none"/>
          <w:lang w:val="en-US" w:eastAsia="zh-CN"/>
        </w:rPr>
        <w:t>供应商应当在响应文件提交截止时间前通过安招采平台上传加密的电子响应文件。未在响应文件提交截止时间前完成上传的，视为逾期送达，采购人（“电子交易平台”）将拒绝接收。</w:t>
      </w:r>
    </w:p>
    <w:p w14:paraId="26ECB0D5">
      <w:pPr>
        <w:keepNext w:val="0"/>
        <w:keepLines w:val="0"/>
        <w:pageBreakBefore w:val="0"/>
        <w:widowControl w:val="0"/>
        <w:kinsoku/>
        <w:wordWrap w:val="0"/>
        <w:overflowPunct/>
        <w:topLinePunct w:val="0"/>
        <w:autoSpaceDE/>
        <w:autoSpaceDN/>
        <w:bidi w:val="0"/>
        <w:adjustRightInd/>
        <w:snapToGrid w:val="0"/>
        <w:spacing w:line="360" w:lineRule="auto"/>
        <w:ind w:right="0" w:rightChars="0" w:firstLine="562" w:firstLineChars="200"/>
        <w:jc w:val="both"/>
        <w:textAlignment w:val="auto"/>
        <w:outlineLvl w:val="9"/>
        <w:rPr>
          <w:rFonts w:hint="eastAsia" w:ascii="黑体" w:hAnsi="黑体" w:eastAsia="黑体" w:cs="黑体"/>
          <w:b/>
          <w:bCs/>
          <w:color w:val="auto"/>
          <w:sz w:val="28"/>
          <w:szCs w:val="28"/>
          <w:highlight w:val="none"/>
        </w:rPr>
      </w:pPr>
      <w:r>
        <w:rPr>
          <w:rFonts w:hint="eastAsia" w:ascii="黑体" w:hAnsi="黑体" w:eastAsia="黑体" w:cs="黑体"/>
          <w:b/>
          <w:bCs/>
          <w:color w:val="auto"/>
          <w:sz w:val="28"/>
          <w:szCs w:val="28"/>
          <w:highlight w:val="none"/>
        </w:rPr>
        <w:t>五、开启</w:t>
      </w:r>
    </w:p>
    <w:p w14:paraId="1B57319B">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bCs/>
          <w:color w:val="auto"/>
          <w:sz w:val="28"/>
          <w:szCs w:val="28"/>
          <w:highlight w:val="none"/>
          <w:u w:val="single"/>
          <w:lang w:val="en-US" w:eastAsia="zh-CN"/>
        </w:rPr>
      </w:pPr>
      <w:r>
        <w:rPr>
          <w:rFonts w:hint="eastAsia" w:ascii="仿宋" w:hAnsi="仿宋" w:eastAsia="仿宋" w:cs="仿宋"/>
          <w:color w:val="auto"/>
          <w:sz w:val="28"/>
          <w:szCs w:val="28"/>
          <w:highlight w:val="none"/>
          <w:lang w:val="en-US" w:eastAsia="zh-CN"/>
        </w:rPr>
        <w:t>1.开启</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14</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r>
        <w:rPr>
          <w:rFonts w:hint="eastAsia" w:ascii="仿宋" w:hAnsi="仿宋" w:eastAsia="仿宋" w:cs="仿宋"/>
          <w:bCs/>
          <w:color w:val="auto"/>
          <w:sz w:val="28"/>
          <w:szCs w:val="28"/>
          <w:highlight w:val="none"/>
        </w:rPr>
        <w:t>（北京时间）</w:t>
      </w:r>
    </w:p>
    <w:p w14:paraId="30368EFA">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bCs/>
          <w:color w:val="auto"/>
          <w:sz w:val="28"/>
          <w:szCs w:val="28"/>
          <w:highlight w:val="none"/>
          <w:u w:val="single"/>
        </w:rPr>
      </w:pPr>
      <w:r>
        <w:rPr>
          <w:rFonts w:hint="eastAsia" w:ascii="仿宋" w:hAnsi="仿宋" w:eastAsia="仿宋" w:cs="仿宋"/>
          <w:color w:val="auto"/>
          <w:sz w:val="28"/>
          <w:szCs w:val="28"/>
          <w:highlight w:val="none"/>
          <w:lang w:val="en-US" w:eastAsia="zh-CN"/>
        </w:rPr>
        <w:t>2.开启</w:t>
      </w:r>
      <w:r>
        <w:rPr>
          <w:rFonts w:hint="eastAsia" w:ascii="仿宋" w:hAnsi="仿宋" w:eastAsia="仿宋" w:cs="仿宋"/>
          <w:color w:val="auto"/>
          <w:sz w:val="28"/>
          <w:szCs w:val="28"/>
          <w:highlight w:val="none"/>
        </w:rPr>
        <w:t>地点：</w:t>
      </w:r>
      <w:r>
        <w:rPr>
          <w:rFonts w:hint="eastAsia" w:ascii="仿宋" w:hAnsi="仿宋" w:eastAsia="仿宋" w:cs="仿宋"/>
          <w:color w:val="auto"/>
          <w:sz w:val="28"/>
          <w:szCs w:val="28"/>
          <w:highlight w:val="none"/>
          <w:u w:val="none"/>
          <w:lang w:val="en-US"/>
        </w:rPr>
        <w:t>能工社—安招采电子招标采购交易系统（www.anzhaocai.com）</w:t>
      </w:r>
      <w:r>
        <w:rPr>
          <w:rFonts w:hint="eastAsia" w:ascii="仿宋" w:hAnsi="仿宋" w:eastAsia="仿宋" w:cs="仿宋"/>
          <w:color w:val="auto"/>
          <w:sz w:val="28"/>
          <w:szCs w:val="28"/>
          <w:highlight w:val="none"/>
          <w:lang w:eastAsia="zh-CN"/>
        </w:rPr>
        <w:t>。</w:t>
      </w:r>
    </w:p>
    <w:p w14:paraId="06437EF6">
      <w:pPr>
        <w:keepNext w:val="0"/>
        <w:keepLines w:val="0"/>
        <w:pageBreakBefore w:val="0"/>
        <w:widowControl w:val="0"/>
        <w:kinsoku/>
        <w:wordWrap w:val="0"/>
        <w:overflowPunct/>
        <w:topLinePunct w:val="0"/>
        <w:autoSpaceDE/>
        <w:autoSpaceDN/>
        <w:bidi w:val="0"/>
        <w:adjustRightInd/>
        <w:snapToGrid w:val="0"/>
        <w:spacing w:line="360" w:lineRule="auto"/>
        <w:ind w:right="0" w:rightChars="0" w:firstLine="562" w:firstLineChars="200"/>
        <w:jc w:val="both"/>
        <w:textAlignment w:val="auto"/>
        <w:outlineLvl w:val="9"/>
        <w:rPr>
          <w:rFonts w:hint="eastAsia" w:ascii="仿宋" w:hAnsi="仿宋" w:eastAsia="仿宋" w:cs="仿宋"/>
          <w:b/>
          <w:bCs/>
          <w:color w:val="auto"/>
          <w:sz w:val="28"/>
          <w:szCs w:val="28"/>
          <w:highlight w:val="none"/>
        </w:rPr>
      </w:pPr>
      <w:r>
        <w:rPr>
          <w:rFonts w:hint="eastAsia" w:ascii="黑体" w:hAnsi="黑体" w:eastAsia="黑体" w:cs="黑体"/>
          <w:b/>
          <w:bCs/>
          <w:color w:val="auto"/>
          <w:sz w:val="28"/>
          <w:szCs w:val="28"/>
          <w:highlight w:val="none"/>
        </w:rPr>
        <w:t>六、公告期限</w:t>
      </w:r>
    </w:p>
    <w:p w14:paraId="56C0F995">
      <w:pPr>
        <w:keepNext w:val="0"/>
        <w:keepLines w:val="0"/>
        <w:pageBreakBefore w:val="0"/>
        <w:widowControl w:val="0"/>
        <w:kinsoku/>
        <w:wordWrap w:val="0"/>
        <w:overflowPunct/>
        <w:topLinePunct w:val="0"/>
        <w:autoSpaceDE/>
        <w:autoSpaceDN/>
        <w:bidi w:val="0"/>
        <w:adjustRightInd/>
        <w:snapToGrid w:val="0"/>
        <w:spacing w:line="360" w:lineRule="auto"/>
        <w:ind w:left="0" w:leftChars="0" w:right="0" w:rightChars="0" w:firstLine="560" w:firstLineChars="200"/>
        <w:jc w:val="both"/>
        <w:textAlignment w:val="auto"/>
        <w:outlineLvl w:val="9"/>
        <w:rPr>
          <w:rFonts w:hint="eastAsia" w:ascii="仿宋" w:hAnsi="仿宋" w:eastAsia="仿宋" w:cs="仿宋"/>
          <w:color w:val="auto"/>
          <w:sz w:val="28"/>
          <w:szCs w:val="28"/>
          <w:highlight w:val="none"/>
          <w:u w:val="none"/>
          <w:lang w:val="en-US"/>
        </w:rPr>
      </w:pPr>
      <w:r>
        <w:rPr>
          <w:rFonts w:hint="eastAsia" w:ascii="仿宋" w:hAnsi="仿宋" w:eastAsia="仿宋" w:cs="仿宋"/>
          <w:color w:val="auto"/>
          <w:sz w:val="28"/>
          <w:szCs w:val="28"/>
          <w:highlight w:val="none"/>
          <w:u w:val="none"/>
          <w:lang w:val="en-US" w:eastAsia="zh-CN"/>
        </w:rPr>
        <w:t>自本公告发布之日起</w:t>
      </w:r>
      <w:r>
        <w:rPr>
          <w:rFonts w:hint="eastAsia" w:ascii="仿宋" w:hAnsi="仿宋" w:eastAsia="仿宋" w:cs="仿宋"/>
          <w:color w:val="auto"/>
          <w:sz w:val="28"/>
          <w:szCs w:val="28"/>
          <w:highlight w:val="none"/>
          <w:u w:val="single"/>
          <w:lang w:val="en-US" w:eastAsia="zh-CN"/>
        </w:rPr>
        <w:t xml:space="preserve">  3  </w:t>
      </w:r>
      <w:r>
        <w:rPr>
          <w:rFonts w:hint="eastAsia" w:ascii="仿宋" w:hAnsi="仿宋" w:eastAsia="仿宋" w:cs="仿宋"/>
          <w:color w:val="auto"/>
          <w:sz w:val="28"/>
          <w:szCs w:val="28"/>
          <w:highlight w:val="none"/>
          <w:u w:val="none"/>
          <w:lang w:val="en-US" w:eastAsia="zh-CN"/>
        </w:rPr>
        <w:t>个工作日。</w:t>
      </w:r>
    </w:p>
    <w:p w14:paraId="271FA7B8">
      <w:pPr>
        <w:keepNext w:val="0"/>
        <w:keepLines w:val="0"/>
        <w:pageBreakBefore w:val="0"/>
        <w:widowControl w:val="0"/>
        <w:kinsoku/>
        <w:wordWrap w:val="0"/>
        <w:overflowPunct/>
        <w:topLinePunct w:val="0"/>
        <w:autoSpaceDE/>
        <w:autoSpaceDN/>
        <w:bidi w:val="0"/>
        <w:adjustRightInd/>
        <w:snapToGrid w:val="0"/>
        <w:spacing w:line="360" w:lineRule="auto"/>
        <w:ind w:right="0" w:rightChars="0" w:firstLine="562" w:firstLineChars="200"/>
        <w:jc w:val="both"/>
        <w:textAlignment w:val="auto"/>
        <w:outlineLvl w:val="9"/>
        <w:rPr>
          <w:rFonts w:hint="eastAsia" w:ascii="仿宋" w:hAnsi="仿宋" w:eastAsia="仿宋" w:cs="仿宋"/>
          <w:b/>
          <w:bCs/>
          <w:color w:val="auto"/>
          <w:sz w:val="28"/>
          <w:szCs w:val="28"/>
          <w:highlight w:val="none"/>
        </w:rPr>
      </w:pPr>
      <w:r>
        <w:rPr>
          <w:rFonts w:hint="eastAsia" w:ascii="黑体" w:hAnsi="黑体" w:eastAsia="黑体" w:cs="黑体"/>
          <w:b/>
          <w:bCs/>
          <w:color w:val="auto"/>
          <w:sz w:val="28"/>
          <w:szCs w:val="28"/>
          <w:highlight w:val="none"/>
        </w:rPr>
        <w:t>七、其他补充事宜</w:t>
      </w:r>
    </w:p>
    <w:p w14:paraId="54BDDA1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1.本次</w:t>
      </w:r>
      <w:r>
        <w:rPr>
          <w:rFonts w:hint="eastAsia" w:ascii="仿宋" w:hAnsi="仿宋" w:eastAsia="仿宋" w:cs="仿宋"/>
          <w:color w:val="auto"/>
          <w:sz w:val="28"/>
          <w:szCs w:val="28"/>
          <w:highlight w:val="none"/>
          <w:lang w:eastAsia="zh-CN"/>
        </w:rPr>
        <w:t>磋商</w:t>
      </w:r>
      <w:r>
        <w:rPr>
          <w:rFonts w:hint="eastAsia" w:ascii="仿宋" w:hAnsi="仿宋" w:eastAsia="仿宋" w:cs="仿宋"/>
          <w:color w:val="auto"/>
          <w:sz w:val="28"/>
          <w:szCs w:val="28"/>
          <w:highlight w:val="none"/>
        </w:rPr>
        <w:t>公告同时在安徽省住房和城乡建设厅（http://dohurd.ah.gov.cn/）、安徽省招标投标信息网（www.ahtba.org.cn）、安招采网站(www.anzhaocai.com)上发布。</w:t>
      </w:r>
    </w:p>
    <w:p w14:paraId="552527F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2.潜在供应商获取文件无需办理</w:t>
      </w:r>
      <w:r>
        <w:rPr>
          <w:rFonts w:hint="eastAsia" w:ascii="仿宋" w:hAnsi="仿宋" w:eastAsia="仿宋" w:cs="仿宋"/>
          <w:b w:val="0"/>
          <w:bCs w:val="0"/>
          <w:color w:val="auto"/>
          <w:sz w:val="28"/>
          <w:szCs w:val="28"/>
          <w:highlight w:val="none"/>
        </w:rPr>
        <w:t>CA数字证书（以下简称CA），CA用于电子</w:t>
      </w:r>
      <w:r>
        <w:rPr>
          <w:rFonts w:hint="eastAsia" w:ascii="仿宋" w:hAnsi="仿宋" w:eastAsia="仿宋" w:cs="仿宋"/>
          <w:b w:val="0"/>
          <w:bCs w:val="0"/>
          <w:color w:val="auto"/>
          <w:sz w:val="28"/>
          <w:szCs w:val="28"/>
          <w:highlight w:val="none"/>
          <w:lang w:eastAsia="zh-CN"/>
        </w:rPr>
        <w:t>响应</w:t>
      </w:r>
      <w:r>
        <w:rPr>
          <w:rFonts w:hint="eastAsia" w:ascii="仿宋" w:hAnsi="仿宋" w:eastAsia="仿宋" w:cs="仿宋"/>
          <w:b w:val="0"/>
          <w:bCs w:val="0"/>
          <w:color w:val="auto"/>
          <w:sz w:val="28"/>
          <w:szCs w:val="28"/>
          <w:highlight w:val="none"/>
        </w:rPr>
        <w:t>文件的签章</w:t>
      </w:r>
      <w:r>
        <w:rPr>
          <w:rFonts w:hint="eastAsia" w:ascii="仿宋" w:hAnsi="仿宋" w:eastAsia="仿宋" w:cs="仿宋"/>
          <w:b w:val="0"/>
          <w:bCs w:val="0"/>
          <w:color w:val="auto"/>
          <w:sz w:val="28"/>
          <w:szCs w:val="28"/>
          <w:highlight w:val="none"/>
          <w:lang w:eastAsia="zh-CN"/>
        </w:rPr>
        <w:t>、</w:t>
      </w:r>
      <w:r>
        <w:rPr>
          <w:rFonts w:hint="eastAsia" w:ascii="仿宋" w:hAnsi="仿宋" w:eastAsia="仿宋" w:cs="仿宋"/>
          <w:b w:val="0"/>
          <w:bCs w:val="0"/>
          <w:color w:val="auto"/>
          <w:sz w:val="28"/>
          <w:szCs w:val="28"/>
          <w:highlight w:val="none"/>
          <w:lang w:val="en-US" w:eastAsia="zh-CN"/>
        </w:rPr>
        <w:t>加密及解密。</w:t>
      </w:r>
    </w:p>
    <w:p w14:paraId="6F52BA1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w:t>
      </w:r>
      <w:r>
        <w:rPr>
          <w:rFonts w:hint="eastAsia" w:ascii="仿宋" w:hAnsi="仿宋" w:eastAsia="仿宋" w:cs="仿宋"/>
          <w:b w:val="0"/>
          <w:bCs w:val="0"/>
          <w:color w:val="auto"/>
          <w:sz w:val="28"/>
          <w:szCs w:val="28"/>
          <w:highlight w:val="none"/>
          <w:lang w:val="en-US" w:eastAsia="zh-CN"/>
        </w:rPr>
        <w:t>信息注册：</w:t>
      </w:r>
      <w:r>
        <w:rPr>
          <w:rFonts w:hint="eastAsia" w:ascii="仿宋" w:hAnsi="仿宋" w:eastAsia="仿宋" w:cs="仿宋"/>
          <w:color w:val="auto"/>
          <w:sz w:val="28"/>
          <w:szCs w:val="28"/>
          <w:highlight w:val="none"/>
          <w:lang w:val="en-US" w:eastAsia="zh-CN"/>
        </w:rPr>
        <w:t>首次使用“能工社—安招采电子招标采购交易系统”（以下简称“安招采平台”）的潜在供应商，应登陆www.anzhaocai.com网站，点击左上角“</w:t>
      </w:r>
      <w:r>
        <w:rPr>
          <w:rFonts w:hint="eastAsia" w:ascii="仿宋" w:hAnsi="仿宋" w:eastAsia="仿宋" w:cs="仿宋"/>
          <w:color w:val="auto"/>
          <w:sz w:val="28"/>
          <w:szCs w:val="28"/>
          <w:highlight w:val="none"/>
        </w:rPr>
        <w:t>注册</w:t>
      </w:r>
      <w:r>
        <w:rPr>
          <w:rFonts w:hint="eastAsia" w:ascii="仿宋" w:hAnsi="仿宋" w:eastAsia="仿宋" w:cs="仿宋"/>
          <w:color w:val="auto"/>
          <w:sz w:val="28"/>
          <w:szCs w:val="28"/>
          <w:highlight w:val="none"/>
          <w:lang w:val="en-US" w:eastAsia="zh-CN"/>
        </w:rPr>
        <w:t>”按钮，</w:t>
      </w:r>
      <w:r>
        <w:rPr>
          <w:rFonts w:hint="eastAsia" w:ascii="仿宋" w:hAnsi="仿宋" w:eastAsia="仿宋" w:cs="仿宋"/>
          <w:color w:val="auto"/>
          <w:sz w:val="28"/>
          <w:szCs w:val="28"/>
          <w:highlight w:val="none"/>
        </w:rPr>
        <w:t>进行注册并实名认证后方可参与项目交易。</w:t>
      </w:r>
      <w:r>
        <w:rPr>
          <w:rFonts w:hint="eastAsia" w:ascii="仿宋" w:hAnsi="仿宋" w:eastAsia="仿宋" w:cs="仿宋"/>
          <w:color w:val="auto"/>
          <w:sz w:val="28"/>
          <w:szCs w:val="28"/>
          <w:highlight w:val="none"/>
          <w:lang w:val="en-US" w:eastAsia="zh-CN"/>
        </w:rPr>
        <w:t>已有安招采平台账号的潜在供应商，直接点击左上角“登陆”按钮，登陆后即</w:t>
      </w:r>
      <w:r>
        <w:rPr>
          <w:rFonts w:hint="eastAsia" w:ascii="仿宋" w:hAnsi="仿宋" w:eastAsia="仿宋" w:cs="仿宋"/>
          <w:color w:val="auto"/>
          <w:sz w:val="28"/>
          <w:szCs w:val="28"/>
          <w:highlight w:val="none"/>
        </w:rPr>
        <w:t>可参与项目交易</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因未及时办理注册手续影响参加</w:t>
      </w:r>
      <w:r>
        <w:rPr>
          <w:rFonts w:hint="eastAsia" w:ascii="仿宋" w:hAnsi="仿宋" w:eastAsia="仿宋" w:cs="仿宋"/>
          <w:color w:val="auto"/>
          <w:sz w:val="28"/>
          <w:szCs w:val="28"/>
          <w:highlight w:val="none"/>
          <w:lang w:val="en-US" w:eastAsia="zh-CN"/>
        </w:rPr>
        <w:t>项目交易</w:t>
      </w:r>
      <w:r>
        <w:rPr>
          <w:rFonts w:hint="eastAsia" w:ascii="仿宋" w:hAnsi="仿宋" w:eastAsia="仿宋" w:cs="仿宋"/>
          <w:color w:val="auto"/>
          <w:sz w:val="28"/>
          <w:szCs w:val="28"/>
          <w:highlight w:val="none"/>
        </w:rPr>
        <w:t>活动的，责任自负。</w:t>
      </w:r>
    </w:p>
    <w:p w14:paraId="5CC661E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b w:val="0"/>
          <w:bCs w:val="0"/>
          <w:color w:val="auto"/>
          <w:sz w:val="28"/>
          <w:szCs w:val="28"/>
          <w:highlight w:val="none"/>
          <w:lang w:val="en-US" w:eastAsia="zh-CN"/>
        </w:rPr>
        <w:t>4.文件获取：</w:t>
      </w:r>
      <w:r>
        <w:rPr>
          <w:rFonts w:hint="eastAsia" w:ascii="仿宋" w:hAnsi="仿宋" w:eastAsia="仿宋" w:cs="仿宋"/>
          <w:b w:val="0"/>
          <w:bCs w:val="0"/>
          <w:color w:val="auto"/>
          <w:sz w:val="28"/>
          <w:szCs w:val="28"/>
          <w:highlight w:val="none"/>
        </w:rPr>
        <w:t>潜在</w:t>
      </w:r>
      <w:r>
        <w:rPr>
          <w:rFonts w:hint="eastAsia" w:ascii="仿宋" w:hAnsi="仿宋" w:eastAsia="仿宋" w:cs="仿宋"/>
          <w:b w:val="0"/>
          <w:bCs w:val="0"/>
          <w:color w:val="auto"/>
          <w:sz w:val="28"/>
          <w:szCs w:val="28"/>
          <w:highlight w:val="none"/>
          <w:lang w:eastAsia="zh-CN"/>
        </w:rPr>
        <w:t>供应商</w:t>
      </w:r>
      <w:r>
        <w:rPr>
          <w:rFonts w:hint="eastAsia" w:ascii="仿宋" w:hAnsi="仿宋" w:eastAsia="仿宋" w:cs="仿宋"/>
          <w:b w:val="0"/>
          <w:bCs w:val="0"/>
          <w:color w:val="auto"/>
          <w:sz w:val="28"/>
          <w:szCs w:val="28"/>
          <w:highlight w:val="none"/>
        </w:rPr>
        <w:t>必须在获取</w:t>
      </w:r>
      <w:r>
        <w:rPr>
          <w:rFonts w:hint="eastAsia" w:ascii="仿宋" w:hAnsi="仿宋" w:eastAsia="仿宋" w:cs="仿宋"/>
          <w:b w:val="0"/>
          <w:bCs w:val="0"/>
          <w:color w:val="auto"/>
          <w:sz w:val="28"/>
          <w:szCs w:val="28"/>
          <w:highlight w:val="none"/>
          <w:lang w:val="en-US" w:eastAsia="zh-CN"/>
        </w:rPr>
        <w:t>采购文件</w:t>
      </w:r>
      <w:r>
        <w:rPr>
          <w:rFonts w:hint="eastAsia" w:ascii="仿宋" w:hAnsi="仿宋" w:eastAsia="仿宋" w:cs="仿宋"/>
          <w:b w:val="0"/>
          <w:bCs w:val="0"/>
          <w:color w:val="auto"/>
          <w:sz w:val="28"/>
          <w:szCs w:val="28"/>
          <w:highlight w:val="none"/>
        </w:rPr>
        <w:t>时间</w:t>
      </w:r>
      <w:r>
        <w:rPr>
          <w:rFonts w:hint="eastAsia" w:ascii="仿宋" w:hAnsi="仿宋" w:eastAsia="仿宋" w:cs="仿宋"/>
          <w:b w:val="0"/>
          <w:bCs w:val="0"/>
          <w:color w:val="auto"/>
          <w:sz w:val="28"/>
          <w:szCs w:val="28"/>
          <w:highlight w:val="none"/>
          <w:lang w:val="en-US" w:eastAsia="zh-CN"/>
        </w:rPr>
        <w:t>内，登陆</w:t>
      </w:r>
      <w:r>
        <w:rPr>
          <w:rFonts w:hint="eastAsia" w:ascii="仿宋" w:hAnsi="仿宋" w:eastAsia="仿宋" w:cs="仿宋"/>
          <w:color w:val="auto"/>
          <w:sz w:val="28"/>
          <w:szCs w:val="28"/>
          <w:highlight w:val="none"/>
          <w:lang w:val="en-US" w:eastAsia="zh-CN"/>
        </w:rPr>
        <w:t>安招采平台</w:t>
      </w:r>
      <w:r>
        <w:rPr>
          <w:rFonts w:hint="eastAsia" w:ascii="仿宋" w:hAnsi="仿宋" w:eastAsia="仿宋" w:cs="仿宋"/>
          <w:color w:val="auto"/>
          <w:sz w:val="28"/>
          <w:szCs w:val="28"/>
          <w:highlight w:val="none"/>
        </w:rPr>
        <w:t>完成</w:t>
      </w:r>
      <w:r>
        <w:rPr>
          <w:rFonts w:hint="eastAsia" w:ascii="仿宋" w:hAnsi="仿宋" w:eastAsia="仿宋" w:cs="仿宋"/>
          <w:color w:val="auto"/>
          <w:sz w:val="28"/>
          <w:szCs w:val="28"/>
          <w:highlight w:val="none"/>
          <w:lang w:eastAsia="zh-CN"/>
        </w:rPr>
        <w:t>采购</w:t>
      </w:r>
      <w:r>
        <w:rPr>
          <w:rFonts w:hint="eastAsia" w:ascii="仿宋" w:hAnsi="仿宋" w:eastAsia="仿宋" w:cs="仿宋"/>
          <w:color w:val="auto"/>
          <w:sz w:val="28"/>
          <w:szCs w:val="28"/>
          <w:highlight w:val="none"/>
        </w:rPr>
        <w:t>文件获取（包括参与项目</w:t>
      </w:r>
      <w:r>
        <w:rPr>
          <w:rFonts w:hint="eastAsia" w:ascii="仿宋" w:hAnsi="仿宋" w:eastAsia="仿宋" w:cs="仿宋"/>
          <w:color w:val="auto"/>
          <w:sz w:val="28"/>
          <w:szCs w:val="28"/>
          <w:highlight w:val="none"/>
          <w:lang w:val="en-US" w:eastAsia="zh-CN"/>
        </w:rPr>
        <w:t>和</w:t>
      </w:r>
      <w:r>
        <w:rPr>
          <w:rFonts w:hint="eastAsia" w:ascii="仿宋" w:hAnsi="仿宋" w:eastAsia="仿宋" w:cs="仿宋"/>
          <w:color w:val="auto"/>
          <w:sz w:val="28"/>
          <w:szCs w:val="28"/>
          <w:highlight w:val="none"/>
        </w:rPr>
        <w:t>获取文件），否则</w:t>
      </w:r>
      <w:r>
        <w:rPr>
          <w:rFonts w:hint="eastAsia" w:ascii="仿宋" w:hAnsi="仿宋" w:eastAsia="仿宋" w:cs="仿宋"/>
          <w:color w:val="auto"/>
          <w:sz w:val="28"/>
          <w:szCs w:val="28"/>
          <w:highlight w:val="none"/>
          <w:lang w:val="en-US" w:eastAsia="zh-CN"/>
        </w:rPr>
        <w:t>评审时将被视为</w:t>
      </w:r>
      <w:r>
        <w:rPr>
          <w:rFonts w:hint="eastAsia" w:ascii="仿宋" w:hAnsi="仿宋" w:eastAsia="仿宋" w:cs="仿宋"/>
          <w:color w:val="auto"/>
          <w:sz w:val="28"/>
          <w:szCs w:val="28"/>
          <w:highlight w:val="none"/>
          <w:lang w:eastAsia="zh-CN"/>
        </w:rPr>
        <w:t>响应</w:t>
      </w:r>
      <w:r>
        <w:rPr>
          <w:rFonts w:hint="eastAsia" w:ascii="仿宋" w:hAnsi="仿宋" w:eastAsia="仿宋" w:cs="仿宋"/>
          <w:color w:val="auto"/>
          <w:sz w:val="28"/>
          <w:szCs w:val="28"/>
          <w:highlight w:val="none"/>
        </w:rPr>
        <w:t>无效。</w:t>
      </w:r>
      <w:r>
        <w:rPr>
          <w:rFonts w:hint="eastAsia" w:ascii="仿宋" w:hAnsi="仿宋" w:eastAsia="仿宋" w:cs="仿宋"/>
          <w:color w:val="auto"/>
          <w:sz w:val="28"/>
          <w:szCs w:val="28"/>
          <w:highlight w:val="none"/>
          <w:lang w:eastAsia="zh-CN"/>
        </w:rPr>
        <w:t>采购</w:t>
      </w:r>
      <w:r>
        <w:rPr>
          <w:rFonts w:hint="eastAsia" w:ascii="仿宋" w:hAnsi="仿宋" w:eastAsia="仿宋" w:cs="仿宋"/>
          <w:color w:val="auto"/>
          <w:sz w:val="28"/>
          <w:szCs w:val="28"/>
          <w:highlight w:val="none"/>
          <w:lang w:val="en-US" w:eastAsia="zh-CN"/>
        </w:rPr>
        <w:t>文件</w:t>
      </w:r>
      <w:r>
        <w:rPr>
          <w:rFonts w:hint="eastAsia" w:ascii="仿宋" w:hAnsi="仿宋" w:eastAsia="仿宋" w:cs="仿宋"/>
          <w:color w:val="auto"/>
          <w:sz w:val="28"/>
          <w:szCs w:val="28"/>
          <w:highlight w:val="none"/>
        </w:rPr>
        <w:t>获取过程中</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如</w:t>
      </w:r>
      <w:r>
        <w:rPr>
          <w:rFonts w:hint="eastAsia" w:ascii="仿宋" w:hAnsi="仿宋" w:eastAsia="仿宋" w:cs="仿宋"/>
          <w:color w:val="auto"/>
          <w:sz w:val="28"/>
          <w:szCs w:val="28"/>
          <w:highlight w:val="none"/>
        </w:rPr>
        <w:t>有任何疑问</w:t>
      </w:r>
      <w:r>
        <w:rPr>
          <w:rFonts w:hint="eastAsia" w:ascii="仿宋" w:hAnsi="仿宋" w:eastAsia="仿宋" w:cs="仿宋"/>
          <w:color w:val="auto"/>
          <w:sz w:val="28"/>
          <w:szCs w:val="28"/>
          <w:highlight w:val="none"/>
          <w:lang w:val="en-US" w:eastAsia="zh-CN"/>
        </w:rPr>
        <w:t>请咨询</w:t>
      </w:r>
      <w:r>
        <w:rPr>
          <w:rFonts w:hint="eastAsia" w:ascii="仿宋" w:hAnsi="仿宋" w:eastAsia="仿宋" w:cs="仿宋"/>
          <w:color w:val="auto"/>
          <w:sz w:val="28"/>
          <w:szCs w:val="28"/>
          <w:highlight w:val="none"/>
        </w:rPr>
        <w:t>电话：400-800-6335。潜在</w:t>
      </w:r>
      <w:r>
        <w:rPr>
          <w:rFonts w:hint="eastAsia" w:ascii="仿宋" w:hAnsi="仿宋" w:eastAsia="仿宋" w:cs="仿宋"/>
          <w:color w:val="auto"/>
          <w:sz w:val="28"/>
          <w:szCs w:val="28"/>
          <w:highlight w:val="none"/>
          <w:lang w:eastAsia="zh-CN"/>
        </w:rPr>
        <w:t>供应商</w:t>
      </w:r>
      <w:r>
        <w:rPr>
          <w:rFonts w:hint="eastAsia" w:ascii="仿宋" w:hAnsi="仿宋" w:eastAsia="仿宋" w:cs="仿宋"/>
          <w:color w:val="auto"/>
          <w:sz w:val="28"/>
          <w:szCs w:val="28"/>
          <w:highlight w:val="none"/>
        </w:rPr>
        <w:t>应合理安排</w:t>
      </w:r>
      <w:r>
        <w:rPr>
          <w:rFonts w:hint="eastAsia" w:ascii="仿宋" w:hAnsi="仿宋" w:eastAsia="仿宋" w:cs="仿宋"/>
          <w:color w:val="auto"/>
          <w:sz w:val="28"/>
          <w:szCs w:val="28"/>
          <w:highlight w:val="none"/>
          <w:lang w:eastAsia="zh-CN"/>
        </w:rPr>
        <w:t>采购</w:t>
      </w:r>
      <w:r>
        <w:rPr>
          <w:rFonts w:hint="eastAsia" w:ascii="仿宋" w:hAnsi="仿宋" w:eastAsia="仿宋" w:cs="仿宋"/>
          <w:color w:val="auto"/>
          <w:sz w:val="28"/>
          <w:szCs w:val="28"/>
          <w:highlight w:val="none"/>
        </w:rPr>
        <w:t>文件获取时间，如果因</w:t>
      </w:r>
      <w:r>
        <w:rPr>
          <w:rFonts w:hint="eastAsia" w:ascii="仿宋" w:hAnsi="仿宋" w:eastAsia="仿宋" w:cs="仿宋"/>
          <w:color w:val="auto"/>
          <w:sz w:val="28"/>
          <w:szCs w:val="28"/>
          <w:highlight w:val="none"/>
          <w:lang w:val="en-US" w:eastAsia="zh-CN"/>
        </w:rPr>
        <w:t>获取延误、</w:t>
      </w:r>
      <w:r>
        <w:rPr>
          <w:rFonts w:hint="eastAsia" w:ascii="仿宋" w:hAnsi="仿宋" w:eastAsia="仿宋" w:cs="仿宋"/>
          <w:color w:val="auto"/>
          <w:sz w:val="28"/>
          <w:szCs w:val="28"/>
          <w:highlight w:val="none"/>
        </w:rPr>
        <w:t>计算机及网络故障造成无法完成</w:t>
      </w:r>
      <w:r>
        <w:rPr>
          <w:rFonts w:hint="eastAsia" w:ascii="仿宋" w:hAnsi="仿宋" w:eastAsia="仿宋" w:cs="仿宋"/>
          <w:color w:val="auto"/>
          <w:sz w:val="28"/>
          <w:szCs w:val="28"/>
          <w:highlight w:val="none"/>
          <w:lang w:eastAsia="zh-CN"/>
        </w:rPr>
        <w:t>采购</w:t>
      </w:r>
      <w:r>
        <w:rPr>
          <w:rFonts w:hint="eastAsia" w:ascii="仿宋" w:hAnsi="仿宋" w:eastAsia="仿宋" w:cs="仿宋"/>
          <w:color w:val="auto"/>
          <w:sz w:val="28"/>
          <w:szCs w:val="28"/>
          <w:highlight w:val="none"/>
        </w:rPr>
        <w:t>文件获取，责任自负。</w:t>
      </w:r>
    </w:p>
    <w:p w14:paraId="22E55B20">
      <w:pPr>
        <w:keepNext w:val="0"/>
        <w:keepLines w:val="0"/>
        <w:pageBreakBefore w:val="0"/>
        <w:widowControl w:val="0"/>
        <w:kinsoku/>
        <w:wordWrap w:val="0"/>
        <w:overflowPunct/>
        <w:topLinePunct/>
        <w:autoSpaceDE/>
        <w:autoSpaceDN/>
        <w:bidi w:val="0"/>
        <w:adjustRightInd/>
        <w:snapToGrid/>
        <w:spacing w:line="360" w:lineRule="auto"/>
        <w:ind w:firstLine="560" w:firstLineChars="200"/>
        <w:jc w:val="both"/>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lang w:val="en-US" w:eastAsia="zh-CN"/>
        </w:rPr>
        <w:t>5</w:t>
      </w:r>
      <w:r>
        <w:rPr>
          <w:rFonts w:hint="eastAsia" w:ascii="仿宋" w:hAnsi="仿宋" w:eastAsia="仿宋" w:cs="仿宋"/>
          <w:b w:val="0"/>
          <w:bCs w:val="0"/>
          <w:color w:val="auto"/>
          <w:sz w:val="28"/>
          <w:szCs w:val="28"/>
          <w:highlight w:val="none"/>
        </w:rPr>
        <w:t>.</w:t>
      </w:r>
      <w:r>
        <w:rPr>
          <w:rFonts w:hint="eastAsia" w:ascii="仿宋" w:hAnsi="仿宋" w:eastAsia="仿宋" w:cs="仿宋"/>
          <w:b w:val="0"/>
          <w:bCs w:val="0"/>
          <w:color w:val="auto"/>
          <w:sz w:val="28"/>
          <w:szCs w:val="28"/>
          <w:highlight w:val="none"/>
          <w:lang w:val="en-US" w:eastAsia="zh-CN"/>
        </w:rPr>
        <w:t>CA办理：</w:t>
      </w:r>
      <w:r>
        <w:rPr>
          <w:rFonts w:hint="eastAsia" w:ascii="仿宋" w:hAnsi="仿宋" w:eastAsia="仿宋" w:cs="仿宋"/>
          <w:b w:val="0"/>
          <w:bCs w:val="0"/>
          <w:color w:val="auto"/>
          <w:sz w:val="28"/>
          <w:szCs w:val="28"/>
          <w:highlight w:val="none"/>
        </w:rPr>
        <w:t>办理CA</w:t>
      </w:r>
      <w:r>
        <w:rPr>
          <w:rFonts w:hint="eastAsia" w:ascii="仿宋" w:hAnsi="仿宋" w:eastAsia="仿宋" w:cs="仿宋"/>
          <w:b w:val="0"/>
          <w:bCs w:val="0"/>
          <w:color w:val="auto"/>
          <w:sz w:val="28"/>
          <w:szCs w:val="28"/>
          <w:highlight w:val="none"/>
          <w:lang w:val="en-US" w:eastAsia="zh-CN"/>
        </w:rPr>
        <w:t>请</w:t>
      </w:r>
      <w:r>
        <w:rPr>
          <w:rFonts w:hint="eastAsia" w:ascii="仿宋" w:hAnsi="仿宋" w:eastAsia="仿宋" w:cs="仿宋"/>
          <w:b w:val="0"/>
          <w:bCs w:val="0"/>
          <w:color w:val="auto"/>
          <w:sz w:val="28"/>
          <w:szCs w:val="28"/>
          <w:highlight w:val="none"/>
        </w:rPr>
        <w:t>访问http://online.aheca.cn/ocss/portal/self-service点击</w:t>
      </w:r>
      <w:r>
        <w:rPr>
          <w:rFonts w:hint="eastAsia" w:ascii="仿宋" w:hAnsi="仿宋" w:eastAsia="仿宋" w:cs="仿宋"/>
          <w:b w:val="0"/>
          <w:bCs w:val="0"/>
          <w:color w:val="auto"/>
          <w:sz w:val="28"/>
          <w:szCs w:val="28"/>
          <w:highlight w:val="none"/>
          <w:lang w:eastAsia="zh-CN"/>
        </w:rPr>
        <w:t>“</w:t>
      </w:r>
      <w:r>
        <w:rPr>
          <w:rFonts w:hint="eastAsia" w:ascii="仿宋" w:hAnsi="仿宋" w:eastAsia="仿宋" w:cs="仿宋"/>
          <w:b w:val="0"/>
          <w:bCs w:val="0"/>
          <w:color w:val="auto"/>
          <w:sz w:val="28"/>
          <w:szCs w:val="28"/>
          <w:highlight w:val="none"/>
        </w:rPr>
        <w:t>在线新办</w:t>
      </w:r>
      <w:r>
        <w:rPr>
          <w:rFonts w:hint="eastAsia" w:ascii="仿宋" w:hAnsi="仿宋" w:eastAsia="仿宋" w:cs="仿宋"/>
          <w:b w:val="0"/>
          <w:bCs w:val="0"/>
          <w:color w:val="auto"/>
          <w:sz w:val="28"/>
          <w:szCs w:val="28"/>
          <w:highlight w:val="none"/>
          <w:lang w:eastAsia="zh-CN"/>
        </w:rPr>
        <w:t>”</w:t>
      </w:r>
      <w:r>
        <w:rPr>
          <w:rFonts w:hint="eastAsia" w:ascii="仿宋" w:hAnsi="仿宋" w:eastAsia="仿宋" w:cs="仿宋"/>
          <w:b w:val="0"/>
          <w:bCs w:val="0"/>
          <w:color w:val="auto"/>
          <w:sz w:val="28"/>
          <w:szCs w:val="28"/>
          <w:highlight w:val="none"/>
        </w:rPr>
        <w:t>，选择</w:t>
      </w:r>
      <w:r>
        <w:rPr>
          <w:rFonts w:hint="eastAsia" w:ascii="仿宋" w:hAnsi="仿宋" w:eastAsia="仿宋" w:cs="仿宋"/>
          <w:b w:val="0"/>
          <w:bCs w:val="0"/>
          <w:color w:val="auto"/>
          <w:sz w:val="28"/>
          <w:szCs w:val="28"/>
          <w:highlight w:val="none"/>
          <w:lang w:eastAsia="zh-CN"/>
        </w:rPr>
        <w:t>“</w:t>
      </w:r>
      <w:r>
        <w:rPr>
          <w:rFonts w:hint="eastAsia" w:ascii="仿宋" w:hAnsi="仿宋" w:eastAsia="仿宋" w:cs="仿宋"/>
          <w:b w:val="0"/>
          <w:bCs w:val="0"/>
          <w:color w:val="auto"/>
          <w:sz w:val="28"/>
          <w:szCs w:val="28"/>
          <w:highlight w:val="none"/>
        </w:rPr>
        <w:t>安招采</w:t>
      </w:r>
      <w:r>
        <w:rPr>
          <w:rFonts w:hint="eastAsia" w:ascii="仿宋" w:hAnsi="仿宋" w:eastAsia="仿宋" w:cs="仿宋"/>
          <w:b w:val="0"/>
          <w:bCs w:val="0"/>
          <w:color w:val="auto"/>
          <w:sz w:val="28"/>
          <w:szCs w:val="28"/>
          <w:highlight w:val="none"/>
          <w:lang w:eastAsia="zh-CN"/>
        </w:rPr>
        <w:t>”</w:t>
      </w:r>
      <w:r>
        <w:rPr>
          <w:rFonts w:hint="eastAsia" w:ascii="仿宋" w:hAnsi="仿宋" w:eastAsia="仿宋" w:cs="仿宋"/>
          <w:b w:val="0"/>
          <w:bCs w:val="0"/>
          <w:color w:val="auto"/>
          <w:sz w:val="28"/>
          <w:szCs w:val="28"/>
          <w:highlight w:val="none"/>
        </w:rPr>
        <w:t>进入</w:t>
      </w:r>
      <w:r>
        <w:rPr>
          <w:rFonts w:hint="eastAsia" w:ascii="仿宋" w:hAnsi="仿宋" w:eastAsia="仿宋" w:cs="仿宋"/>
          <w:b w:val="0"/>
          <w:bCs w:val="0"/>
          <w:color w:val="auto"/>
          <w:sz w:val="28"/>
          <w:szCs w:val="28"/>
          <w:highlight w:val="none"/>
          <w:lang w:eastAsia="zh-CN"/>
        </w:rPr>
        <w:t>，</w:t>
      </w:r>
      <w:r>
        <w:rPr>
          <w:rFonts w:hint="eastAsia" w:ascii="仿宋" w:hAnsi="仿宋" w:eastAsia="仿宋" w:cs="仿宋"/>
          <w:b w:val="0"/>
          <w:bCs w:val="0"/>
          <w:color w:val="auto"/>
          <w:sz w:val="28"/>
          <w:szCs w:val="28"/>
          <w:highlight w:val="none"/>
        </w:rPr>
        <w:t>并注册账号申请办理</w:t>
      </w:r>
      <w:r>
        <w:rPr>
          <w:rFonts w:hint="eastAsia" w:ascii="仿宋" w:hAnsi="仿宋" w:eastAsia="仿宋" w:cs="仿宋"/>
          <w:b w:val="0"/>
          <w:bCs w:val="0"/>
          <w:color w:val="auto"/>
          <w:sz w:val="28"/>
          <w:szCs w:val="28"/>
          <w:highlight w:val="none"/>
          <w:lang w:eastAsia="zh-CN"/>
        </w:rPr>
        <w:t>。</w:t>
      </w:r>
      <w:r>
        <w:rPr>
          <w:rFonts w:hint="eastAsia" w:ascii="仿宋" w:hAnsi="仿宋" w:eastAsia="仿宋" w:cs="仿宋"/>
          <w:b w:val="0"/>
          <w:bCs w:val="0"/>
          <w:color w:val="auto"/>
          <w:sz w:val="28"/>
          <w:szCs w:val="28"/>
          <w:highlight w:val="none"/>
        </w:rPr>
        <w:t>CA办理咨询</w:t>
      </w:r>
      <w:r>
        <w:rPr>
          <w:rFonts w:hint="eastAsia" w:ascii="仿宋" w:hAnsi="仿宋" w:eastAsia="仿宋" w:cs="仿宋"/>
          <w:b w:val="0"/>
          <w:bCs w:val="0"/>
          <w:color w:val="auto"/>
          <w:sz w:val="28"/>
          <w:szCs w:val="28"/>
          <w:highlight w:val="none"/>
          <w:lang w:val="en-US" w:eastAsia="zh-CN"/>
        </w:rPr>
        <w:t>电话</w:t>
      </w:r>
      <w:r>
        <w:rPr>
          <w:rFonts w:hint="eastAsia" w:ascii="仿宋" w:hAnsi="仿宋" w:eastAsia="仿宋" w:cs="仿宋"/>
          <w:b w:val="0"/>
          <w:bCs w:val="0"/>
          <w:color w:val="auto"/>
          <w:sz w:val="28"/>
          <w:szCs w:val="28"/>
          <w:highlight w:val="none"/>
        </w:rPr>
        <w:t>：400-880-4959</w:t>
      </w:r>
      <w:r>
        <w:rPr>
          <w:rFonts w:hint="eastAsia" w:ascii="仿宋" w:hAnsi="仿宋" w:eastAsia="仿宋" w:cs="仿宋"/>
          <w:b w:val="0"/>
          <w:bCs w:val="0"/>
          <w:color w:val="auto"/>
          <w:sz w:val="28"/>
          <w:szCs w:val="28"/>
          <w:highlight w:val="none"/>
          <w:lang w:val="en-US" w:eastAsia="zh-CN"/>
        </w:rPr>
        <w:t>或0551-63491661</w:t>
      </w:r>
      <w:r>
        <w:rPr>
          <w:rFonts w:hint="eastAsia" w:ascii="仿宋" w:hAnsi="仿宋" w:eastAsia="仿宋" w:cs="仿宋"/>
          <w:b w:val="0"/>
          <w:bCs w:val="0"/>
          <w:color w:val="auto"/>
          <w:sz w:val="28"/>
          <w:szCs w:val="28"/>
          <w:highlight w:val="none"/>
        </w:rPr>
        <w:t>。</w:t>
      </w:r>
    </w:p>
    <w:p w14:paraId="0D8F230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b w:val="0"/>
          <w:bCs w:val="0"/>
          <w:color w:val="auto"/>
          <w:sz w:val="28"/>
          <w:szCs w:val="28"/>
          <w:highlight w:val="none"/>
          <w:lang w:val="en-US" w:eastAsia="zh-CN"/>
        </w:rPr>
        <w:t>6</w:t>
      </w:r>
      <w:r>
        <w:rPr>
          <w:rFonts w:hint="eastAsia" w:ascii="仿宋" w:hAnsi="仿宋" w:eastAsia="仿宋" w:cs="仿宋"/>
          <w:b w:val="0"/>
          <w:bCs w:val="0"/>
          <w:color w:val="auto"/>
          <w:sz w:val="28"/>
          <w:szCs w:val="28"/>
          <w:highlight w:val="none"/>
        </w:rPr>
        <w:t>.</w:t>
      </w:r>
      <w:r>
        <w:rPr>
          <w:rFonts w:hint="eastAsia" w:ascii="仿宋" w:hAnsi="仿宋" w:eastAsia="仿宋" w:cs="仿宋"/>
          <w:b w:val="0"/>
          <w:bCs w:val="0"/>
          <w:color w:val="auto"/>
          <w:sz w:val="28"/>
          <w:szCs w:val="28"/>
          <w:highlight w:val="none"/>
          <w:lang w:eastAsia="zh-CN"/>
        </w:rPr>
        <w:t>响应</w:t>
      </w:r>
      <w:r>
        <w:rPr>
          <w:rFonts w:hint="eastAsia" w:ascii="仿宋" w:hAnsi="仿宋" w:eastAsia="仿宋" w:cs="仿宋"/>
          <w:b w:val="0"/>
          <w:bCs w:val="0"/>
          <w:color w:val="auto"/>
          <w:sz w:val="28"/>
          <w:szCs w:val="28"/>
          <w:highlight w:val="none"/>
        </w:rPr>
        <w:t>文件制作工具</w:t>
      </w:r>
      <w:r>
        <w:rPr>
          <w:rFonts w:hint="eastAsia" w:ascii="仿宋" w:hAnsi="仿宋" w:eastAsia="仿宋" w:cs="仿宋"/>
          <w:b w:val="0"/>
          <w:bCs w:val="0"/>
          <w:color w:val="auto"/>
          <w:sz w:val="28"/>
          <w:szCs w:val="28"/>
          <w:highlight w:val="none"/>
          <w:lang w:val="en-US" w:eastAsia="zh-CN"/>
        </w:rPr>
        <w:t>下载：</w:t>
      </w:r>
      <w:r>
        <w:rPr>
          <w:rFonts w:hint="eastAsia" w:ascii="仿宋" w:hAnsi="仿宋" w:eastAsia="仿宋" w:cs="仿宋"/>
          <w:b w:val="0"/>
          <w:bCs w:val="0"/>
          <w:color w:val="auto"/>
          <w:sz w:val="28"/>
          <w:szCs w:val="28"/>
          <w:highlight w:val="none"/>
        </w:rPr>
        <w:t>电子</w:t>
      </w:r>
      <w:r>
        <w:rPr>
          <w:rFonts w:hint="eastAsia" w:ascii="仿宋" w:hAnsi="仿宋" w:eastAsia="仿宋" w:cs="仿宋"/>
          <w:b w:val="0"/>
          <w:bCs w:val="0"/>
          <w:color w:val="auto"/>
          <w:sz w:val="28"/>
          <w:szCs w:val="28"/>
          <w:highlight w:val="none"/>
          <w:lang w:eastAsia="zh-CN"/>
        </w:rPr>
        <w:t>响应</w:t>
      </w:r>
      <w:r>
        <w:rPr>
          <w:rFonts w:hint="eastAsia" w:ascii="仿宋" w:hAnsi="仿宋" w:eastAsia="仿宋" w:cs="仿宋"/>
          <w:b w:val="0"/>
          <w:bCs w:val="0"/>
          <w:color w:val="auto"/>
          <w:sz w:val="28"/>
          <w:szCs w:val="28"/>
          <w:highlight w:val="none"/>
        </w:rPr>
        <w:t>文件须使用“投标文件制作工具”制作</w:t>
      </w:r>
      <w:r>
        <w:rPr>
          <w:rFonts w:hint="eastAsia" w:ascii="仿宋" w:hAnsi="仿宋" w:eastAsia="仿宋" w:cs="仿宋"/>
          <w:b w:val="0"/>
          <w:bCs w:val="0"/>
          <w:color w:val="auto"/>
          <w:sz w:val="28"/>
          <w:szCs w:val="28"/>
          <w:highlight w:val="none"/>
          <w:lang w:eastAsia="zh-CN"/>
        </w:rPr>
        <w:t>、</w:t>
      </w:r>
      <w:r>
        <w:rPr>
          <w:rFonts w:hint="eastAsia" w:ascii="仿宋" w:hAnsi="仿宋" w:eastAsia="仿宋" w:cs="仿宋"/>
          <w:b w:val="0"/>
          <w:bCs w:val="0"/>
          <w:color w:val="auto"/>
          <w:sz w:val="28"/>
          <w:szCs w:val="28"/>
          <w:highlight w:val="none"/>
        </w:rPr>
        <w:t>生成并上传。潜在</w:t>
      </w:r>
      <w:r>
        <w:rPr>
          <w:rFonts w:hint="eastAsia" w:ascii="仿宋" w:hAnsi="仿宋" w:eastAsia="仿宋" w:cs="仿宋"/>
          <w:b w:val="0"/>
          <w:bCs w:val="0"/>
          <w:color w:val="auto"/>
          <w:sz w:val="28"/>
          <w:szCs w:val="28"/>
          <w:highlight w:val="none"/>
          <w:lang w:eastAsia="zh-CN"/>
        </w:rPr>
        <w:t>供应商</w:t>
      </w:r>
      <w:r>
        <w:rPr>
          <w:rFonts w:hint="eastAsia" w:ascii="仿宋" w:hAnsi="仿宋" w:eastAsia="仿宋" w:cs="仿宋"/>
          <w:b w:val="0"/>
          <w:bCs w:val="0"/>
          <w:color w:val="auto"/>
          <w:sz w:val="28"/>
          <w:szCs w:val="28"/>
          <w:highlight w:val="none"/>
        </w:rPr>
        <w:t>必须</w:t>
      </w:r>
      <w:r>
        <w:rPr>
          <w:rFonts w:hint="eastAsia" w:ascii="仿宋" w:hAnsi="仿宋" w:eastAsia="仿宋" w:cs="仿宋"/>
          <w:b w:val="0"/>
          <w:bCs w:val="0"/>
          <w:color w:val="auto"/>
          <w:sz w:val="28"/>
          <w:szCs w:val="28"/>
          <w:highlight w:val="none"/>
          <w:lang w:val="en-US" w:eastAsia="zh-CN"/>
        </w:rPr>
        <w:t>登陆</w:t>
      </w:r>
      <w:r>
        <w:rPr>
          <w:rFonts w:hint="eastAsia" w:ascii="仿宋" w:hAnsi="仿宋" w:eastAsia="仿宋" w:cs="仿宋"/>
          <w:color w:val="auto"/>
          <w:sz w:val="28"/>
          <w:szCs w:val="28"/>
          <w:highlight w:val="none"/>
          <w:lang w:val="en-US" w:eastAsia="zh-CN"/>
        </w:rPr>
        <w:t>安招采平台，点击左侧边栏“概要”，在左下角“</w:t>
      </w:r>
      <w:r>
        <w:rPr>
          <w:rFonts w:hint="eastAsia" w:ascii="仿宋" w:hAnsi="仿宋" w:eastAsia="仿宋" w:cs="仿宋"/>
          <w:color w:val="auto"/>
          <w:sz w:val="28"/>
          <w:szCs w:val="28"/>
          <w:highlight w:val="none"/>
        </w:rPr>
        <w:t>订阅/资源</w:t>
      </w:r>
      <w:r>
        <w:rPr>
          <w:rFonts w:hint="eastAsia" w:ascii="仿宋" w:hAnsi="仿宋" w:eastAsia="仿宋" w:cs="仿宋"/>
          <w:color w:val="auto"/>
          <w:sz w:val="28"/>
          <w:szCs w:val="28"/>
          <w:highlight w:val="none"/>
          <w:lang w:val="en-US" w:eastAsia="zh-CN"/>
        </w:rPr>
        <w:t>”中下载“CA驱动”和“投标文件制作工具”。“</w:t>
      </w:r>
      <w:r>
        <w:rPr>
          <w:rFonts w:hint="eastAsia" w:ascii="仿宋" w:hAnsi="仿宋" w:eastAsia="仿宋" w:cs="仿宋"/>
          <w:color w:val="auto"/>
          <w:sz w:val="28"/>
          <w:szCs w:val="28"/>
          <w:highlight w:val="none"/>
        </w:rPr>
        <w:t>投标文件制作工具</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允许离线编制</w:t>
      </w:r>
      <w:r>
        <w:rPr>
          <w:rFonts w:hint="eastAsia" w:ascii="仿宋" w:hAnsi="仿宋" w:eastAsia="仿宋" w:cs="仿宋"/>
          <w:color w:val="auto"/>
          <w:sz w:val="28"/>
          <w:szCs w:val="28"/>
          <w:highlight w:val="none"/>
          <w:lang w:eastAsia="zh-CN"/>
        </w:rPr>
        <w:t>响应</w:t>
      </w:r>
      <w:r>
        <w:rPr>
          <w:rFonts w:hint="eastAsia" w:ascii="仿宋" w:hAnsi="仿宋" w:eastAsia="仿宋" w:cs="仿宋"/>
          <w:color w:val="auto"/>
          <w:sz w:val="28"/>
          <w:szCs w:val="28"/>
          <w:highlight w:val="none"/>
        </w:rPr>
        <w:t>文件，并具备加密</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签章等功能。</w:t>
      </w:r>
    </w:p>
    <w:p w14:paraId="394EA193">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7响应：</w:t>
      </w:r>
      <w:r>
        <w:rPr>
          <w:rFonts w:hint="eastAsia" w:ascii="仿宋" w:hAnsi="仿宋" w:eastAsia="仿宋" w:cs="仿宋"/>
          <w:color w:val="auto"/>
          <w:sz w:val="28"/>
          <w:szCs w:val="28"/>
          <w:highlight w:val="none"/>
          <w:lang w:eastAsia="zh-CN"/>
        </w:rPr>
        <w:t>潜在供应商</w:t>
      </w:r>
      <w:r>
        <w:rPr>
          <w:rFonts w:hint="eastAsia" w:ascii="仿宋" w:hAnsi="仿宋" w:eastAsia="仿宋" w:cs="仿宋"/>
          <w:color w:val="auto"/>
          <w:sz w:val="28"/>
          <w:szCs w:val="28"/>
          <w:highlight w:val="none"/>
        </w:rPr>
        <w:t>使用</w:t>
      </w:r>
      <w:r>
        <w:rPr>
          <w:rFonts w:hint="eastAsia" w:ascii="仿宋" w:hAnsi="仿宋" w:eastAsia="仿宋" w:cs="仿宋"/>
          <w:b w:val="0"/>
          <w:bCs w:val="0"/>
          <w:color w:val="auto"/>
          <w:sz w:val="28"/>
          <w:szCs w:val="28"/>
          <w:highlight w:val="none"/>
        </w:rPr>
        <w:t>“投标文件制作工具”</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按</w:t>
      </w:r>
      <w:r>
        <w:rPr>
          <w:rFonts w:hint="eastAsia" w:ascii="仿宋" w:hAnsi="仿宋" w:eastAsia="仿宋" w:cs="仿宋"/>
          <w:color w:val="auto"/>
          <w:sz w:val="28"/>
          <w:szCs w:val="28"/>
          <w:highlight w:val="none"/>
          <w:lang w:eastAsia="zh-CN"/>
        </w:rPr>
        <w:t>采购</w:t>
      </w:r>
      <w:r>
        <w:rPr>
          <w:rFonts w:hint="eastAsia" w:ascii="仿宋" w:hAnsi="仿宋" w:eastAsia="仿宋" w:cs="仿宋"/>
          <w:color w:val="auto"/>
          <w:sz w:val="28"/>
          <w:szCs w:val="28"/>
          <w:highlight w:val="none"/>
        </w:rPr>
        <w:t>文件要求制作</w:t>
      </w:r>
      <w:r>
        <w:rPr>
          <w:rFonts w:hint="eastAsia" w:ascii="仿宋" w:hAnsi="仿宋" w:eastAsia="仿宋" w:cs="仿宋"/>
          <w:color w:val="auto"/>
          <w:sz w:val="28"/>
          <w:szCs w:val="28"/>
          <w:highlight w:val="none"/>
          <w:lang w:val="en-US" w:eastAsia="zh-CN"/>
        </w:rPr>
        <w:t>电子响应</w:t>
      </w:r>
      <w:r>
        <w:rPr>
          <w:rFonts w:hint="eastAsia" w:ascii="仿宋" w:hAnsi="仿宋" w:eastAsia="仿宋" w:cs="仿宋"/>
          <w:color w:val="auto"/>
          <w:sz w:val="28"/>
          <w:szCs w:val="28"/>
          <w:highlight w:val="none"/>
        </w:rPr>
        <w:t>文件，</w:t>
      </w:r>
      <w:r>
        <w:rPr>
          <w:rFonts w:hint="eastAsia" w:ascii="仿宋" w:hAnsi="仿宋" w:eastAsia="仿宋" w:cs="仿宋"/>
          <w:color w:val="auto"/>
          <w:sz w:val="28"/>
          <w:szCs w:val="28"/>
          <w:highlight w:val="none"/>
          <w:lang w:val="en-US" w:eastAsia="zh-CN"/>
        </w:rPr>
        <w:t>并在</w:t>
      </w:r>
      <w:r>
        <w:rPr>
          <w:rFonts w:hint="eastAsia" w:ascii="仿宋" w:hAnsi="仿宋" w:eastAsia="仿宋" w:cs="仿宋"/>
          <w:color w:val="auto"/>
          <w:sz w:val="28"/>
          <w:szCs w:val="28"/>
          <w:highlight w:val="none"/>
          <w:lang w:eastAsia="zh-CN"/>
        </w:rPr>
        <w:t>提交首次响应文件</w:t>
      </w:r>
      <w:r>
        <w:rPr>
          <w:rFonts w:hint="eastAsia" w:ascii="仿宋" w:hAnsi="仿宋" w:eastAsia="仿宋" w:cs="仿宋"/>
          <w:color w:val="auto"/>
          <w:sz w:val="28"/>
          <w:szCs w:val="28"/>
          <w:highlight w:val="none"/>
        </w:rPr>
        <w:t>截止时间前</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登陆安招采平台</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上传经过</w:t>
      </w:r>
      <w:r>
        <w:rPr>
          <w:rFonts w:hint="eastAsia" w:ascii="仿宋" w:hAnsi="仿宋" w:eastAsia="仿宋" w:cs="仿宋"/>
          <w:color w:val="auto"/>
          <w:sz w:val="28"/>
          <w:szCs w:val="28"/>
          <w:highlight w:val="none"/>
          <w:lang w:val="en-US" w:eastAsia="zh-CN"/>
        </w:rPr>
        <w:t>CA</w:t>
      </w:r>
      <w:r>
        <w:rPr>
          <w:rFonts w:hint="eastAsia" w:ascii="仿宋" w:hAnsi="仿宋" w:eastAsia="仿宋" w:cs="仿宋"/>
          <w:color w:val="auto"/>
          <w:sz w:val="28"/>
          <w:szCs w:val="28"/>
          <w:highlight w:val="none"/>
        </w:rPr>
        <w:t>签章并加密的</w:t>
      </w:r>
      <w:r>
        <w:rPr>
          <w:rFonts w:hint="eastAsia" w:ascii="仿宋" w:hAnsi="仿宋" w:eastAsia="仿宋" w:cs="仿宋"/>
          <w:color w:val="auto"/>
          <w:sz w:val="28"/>
          <w:szCs w:val="28"/>
          <w:highlight w:val="none"/>
          <w:lang w:eastAsia="zh-CN"/>
        </w:rPr>
        <w:t>响应</w:t>
      </w:r>
      <w:r>
        <w:rPr>
          <w:rFonts w:hint="eastAsia" w:ascii="仿宋" w:hAnsi="仿宋" w:eastAsia="仿宋" w:cs="仿宋"/>
          <w:color w:val="auto"/>
          <w:sz w:val="28"/>
          <w:szCs w:val="28"/>
          <w:highlight w:val="none"/>
        </w:rPr>
        <w:t>文件</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方可视为成功参与响应</w:t>
      </w:r>
      <w:r>
        <w:rPr>
          <w:rFonts w:hint="eastAsia" w:ascii="仿宋" w:hAnsi="仿宋" w:eastAsia="仿宋" w:cs="仿宋"/>
          <w:color w:val="auto"/>
          <w:sz w:val="28"/>
          <w:szCs w:val="28"/>
          <w:highlight w:val="none"/>
        </w:rPr>
        <w:t>（加密和解密须用同一把</w:t>
      </w:r>
      <w:r>
        <w:rPr>
          <w:rFonts w:hint="eastAsia" w:ascii="仿宋" w:hAnsi="仿宋" w:eastAsia="仿宋" w:cs="仿宋"/>
          <w:color w:val="auto"/>
          <w:sz w:val="28"/>
          <w:szCs w:val="28"/>
          <w:highlight w:val="none"/>
          <w:lang w:val="en-US" w:eastAsia="zh-CN"/>
        </w:rPr>
        <w:t>CA</w:t>
      </w:r>
      <w:r>
        <w:rPr>
          <w:rFonts w:hint="eastAsia" w:ascii="仿宋" w:hAnsi="仿宋" w:eastAsia="仿宋" w:cs="仿宋"/>
          <w:color w:val="auto"/>
          <w:sz w:val="28"/>
          <w:szCs w:val="28"/>
          <w:highlight w:val="none"/>
        </w:rPr>
        <w:t>证书）。</w:t>
      </w:r>
    </w:p>
    <w:p w14:paraId="223C3869">
      <w:pPr>
        <w:keepNext w:val="0"/>
        <w:keepLines w:val="0"/>
        <w:pageBreakBefore w:val="0"/>
        <w:widowControl w:val="0"/>
        <w:kinsoku/>
        <w:wordWrap w:val="0"/>
        <w:overflowPunct/>
        <w:topLinePunct w:val="0"/>
        <w:autoSpaceDE/>
        <w:autoSpaceDN/>
        <w:bidi w:val="0"/>
        <w:adjustRightInd/>
        <w:snapToGrid w:val="0"/>
        <w:spacing w:line="360" w:lineRule="auto"/>
        <w:ind w:right="0" w:rightChars="0" w:firstLine="562" w:firstLineChars="200"/>
        <w:jc w:val="both"/>
        <w:textAlignment w:val="auto"/>
        <w:outlineLvl w:val="9"/>
        <w:rPr>
          <w:rFonts w:hint="eastAsia" w:ascii="黑体" w:hAnsi="黑体" w:eastAsia="黑体" w:cs="黑体"/>
          <w:b/>
          <w:bCs/>
          <w:color w:val="auto"/>
          <w:sz w:val="28"/>
          <w:szCs w:val="28"/>
          <w:highlight w:val="none"/>
        </w:rPr>
      </w:pPr>
      <w:r>
        <w:rPr>
          <w:rFonts w:hint="eastAsia" w:ascii="黑体" w:hAnsi="黑体" w:eastAsia="黑体" w:cs="黑体"/>
          <w:b/>
          <w:bCs/>
          <w:color w:val="auto"/>
          <w:sz w:val="28"/>
          <w:szCs w:val="28"/>
          <w:highlight w:val="none"/>
        </w:rPr>
        <w:t>八、凡对本次采购提出询问，请按以下方式联系</w:t>
      </w:r>
    </w:p>
    <w:bookmarkEnd w:id="3"/>
    <w:bookmarkEnd w:id="4"/>
    <w:bookmarkEnd w:id="5"/>
    <w:bookmarkEnd w:id="6"/>
    <w:p w14:paraId="1EBAC57A">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1.采购人信息</w:t>
      </w:r>
    </w:p>
    <w:p w14:paraId="35FF97BC">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名    称：安徽省住房和城乡建设厅</w:t>
      </w:r>
    </w:p>
    <w:p w14:paraId="0995E842">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地    址：安徽省合肥市包河区紫云路996号</w:t>
      </w:r>
    </w:p>
    <w:p w14:paraId="4763E0EF">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联系方式：0551-62871</w:t>
      </w:r>
      <w:r>
        <w:rPr>
          <w:rFonts w:hint="eastAsia" w:ascii="仿宋" w:hAnsi="仿宋" w:eastAsia="仿宋" w:cs="仿宋"/>
          <w:sz w:val="28"/>
          <w:szCs w:val="28"/>
          <w:highlight w:val="none"/>
          <w:lang w:val="en-US" w:eastAsia="zh-CN"/>
        </w:rPr>
        <w:t>272</w:t>
      </w:r>
      <w:r>
        <w:rPr>
          <w:rFonts w:hint="eastAsia" w:ascii="仿宋" w:hAnsi="仿宋" w:eastAsia="仿宋" w:cs="仿宋"/>
          <w:sz w:val="28"/>
          <w:szCs w:val="28"/>
          <w:highlight w:val="none"/>
        </w:rPr>
        <w:t xml:space="preserve"> </w:t>
      </w:r>
    </w:p>
    <w:p w14:paraId="2527C4B7">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2.采购代理机构信息 </w:t>
      </w:r>
    </w:p>
    <w:p w14:paraId="3DFFCE44">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名    称：鼎信数智技术集团股份有限公司　</w:t>
      </w:r>
    </w:p>
    <w:p w14:paraId="25F889D6">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地　　址：合肥市经济技术开发区翡翠路188号港澳广场A座17-20层</w:t>
      </w:r>
    </w:p>
    <w:p w14:paraId="48539C28">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联系方式：</w:t>
      </w:r>
      <w:r>
        <w:rPr>
          <w:rFonts w:ascii="仿宋" w:hAnsi="仿宋" w:eastAsia="仿宋" w:cs="仿宋"/>
          <w:i w:val="0"/>
          <w:iCs w:val="0"/>
          <w:caps w:val="0"/>
          <w:color w:val="000000"/>
          <w:spacing w:val="0"/>
          <w:sz w:val="28"/>
          <w:szCs w:val="28"/>
          <w:shd w:val="clear" w:fill="FFFFFF"/>
        </w:rPr>
        <w:t>0551-63828737-8633，18226628215</w:t>
      </w:r>
    </w:p>
    <w:p w14:paraId="08D8789B">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3.项目联系方式</w:t>
      </w:r>
    </w:p>
    <w:p w14:paraId="679BE0D4">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项目联系人：肖榕</w:t>
      </w:r>
    </w:p>
    <w:p w14:paraId="73D9F5DE">
      <w:pPr>
        <w:keepNext w:val="0"/>
        <w:keepLines w:val="0"/>
        <w:pageBreakBefore w:val="0"/>
        <w:widowControl w:val="0"/>
        <w:kinsoku/>
        <w:wordWrap w:val="0"/>
        <w:overflowPunct/>
        <w:topLinePunct w:val="0"/>
        <w:autoSpaceDE/>
        <w:autoSpaceDN/>
        <w:bidi w:val="0"/>
        <w:adjustRightInd/>
        <w:snapToGrid w:val="0"/>
        <w:spacing w:line="360" w:lineRule="auto"/>
        <w:ind w:firstLine="560" w:firstLineChars="200"/>
        <w:jc w:val="both"/>
        <w:textAlignment w:val="auto"/>
        <w:rPr>
          <w:rFonts w:ascii="宋体" w:hAnsi="宋体" w:eastAsia="宋体"/>
          <w:color w:val="auto"/>
          <w:sz w:val="24"/>
          <w:szCs w:val="18"/>
          <w:highlight w:val="none"/>
        </w:rPr>
      </w:pPr>
      <w:r>
        <w:rPr>
          <w:rFonts w:hint="eastAsia" w:ascii="仿宋" w:hAnsi="仿宋" w:eastAsia="仿宋" w:cs="仿宋"/>
          <w:sz w:val="28"/>
          <w:szCs w:val="28"/>
          <w:highlight w:val="none"/>
        </w:rPr>
        <w:t>电　　 话：</w:t>
      </w:r>
      <w:r>
        <w:rPr>
          <w:rFonts w:ascii="仿宋" w:hAnsi="仿宋" w:eastAsia="仿宋" w:cs="仿宋"/>
          <w:i w:val="0"/>
          <w:iCs w:val="0"/>
          <w:caps w:val="0"/>
          <w:color w:val="000000"/>
          <w:spacing w:val="0"/>
          <w:sz w:val="28"/>
          <w:szCs w:val="28"/>
          <w:shd w:val="clear" w:fill="FFFFFF"/>
        </w:rPr>
        <w:t>0551-63828737-8633，18226628215</w:t>
      </w:r>
      <w:r>
        <w:rPr>
          <w:rFonts w:hint="eastAsia" w:ascii="仿宋" w:hAnsi="仿宋" w:eastAsia="仿宋" w:cs="仿宋"/>
          <w:color w:val="auto"/>
          <w:sz w:val="28"/>
          <w:szCs w:val="28"/>
          <w:highlight w:val="none"/>
        </w:rPr>
        <w:br w:type="page"/>
      </w:r>
    </w:p>
    <w:p w14:paraId="0E3381E1">
      <w:pPr>
        <w:pageBreakBefore w:val="0"/>
        <w:kinsoku/>
        <w:wordWrap w:val="0"/>
        <w:overflowPunct/>
        <w:topLinePunct w:val="0"/>
        <w:bidi w:val="0"/>
        <w:spacing w:line="360" w:lineRule="auto"/>
        <w:jc w:val="center"/>
        <w:textAlignment w:val="auto"/>
        <w:outlineLvl w:val="1"/>
        <w:rPr>
          <w:rFonts w:hint="eastAsia" w:ascii="华文中宋" w:hAnsi="华文中宋" w:eastAsia="华文中宋" w:cs="Times New Roman"/>
          <w:b/>
          <w:bCs/>
          <w:color w:val="auto"/>
          <w:kern w:val="44"/>
          <w:sz w:val="44"/>
          <w:szCs w:val="44"/>
          <w:highlight w:val="none"/>
          <w:lang w:val="en-US" w:eastAsia="zh-CN" w:bidi="ar-SA"/>
        </w:rPr>
      </w:pPr>
      <w:bookmarkStart w:id="11" w:name="_Toc15425"/>
      <w:r>
        <w:rPr>
          <w:rFonts w:hint="eastAsia" w:ascii="华文中宋" w:hAnsi="华文中宋" w:eastAsia="华文中宋" w:cs="Times New Roman"/>
          <w:b/>
          <w:bCs/>
          <w:color w:val="auto"/>
          <w:kern w:val="44"/>
          <w:sz w:val="44"/>
          <w:szCs w:val="44"/>
          <w:highlight w:val="none"/>
          <w:lang w:val="en-US" w:eastAsia="zh-CN" w:bidi="ar-SA"/>
        </w:rPr>
        <w:t>第二章  供应商须知</w:t>
      </w:r>
      <w:bookmarkEnd w:id="11"/>
    </w:p>
    <w:p w14:paraId="3D253D5C">
      <w:pPr>
        <w:keepNext w:val="0"/>
        <w:keepLines w:val="0"/>
        <w:pageBreakBefore w:val="0"/>
        <w:kinsoku/>
        <w:wordWrap w:val="0"/>
        <w:overflowPunct/>
        <w:topLinePunct w:val="0"/>
        <w:bidi w:val="0"/>
        <w:spacing w:line="440" w:lineRule="exact"/>
        <w:jc w:val="center"/>
        <w:textAlignment w:val="auto"/>
        <w:outlineLvl w:val="2"/>
        <w:rPr>
          <w:rFonts w:ascii="宋体" w:hAnsi="宋体" w:eastAsia="宋体"/>
          <w:b/>
          <w:color w:val="auto"/>
          <w:sz w:val="28"/>
          <w:szCs w:val="28"/>
          <w:highlight w:val="none"/>
        </w:rPr>
      </w:pPr>
      <w:r>
        <w:rPr>
          <w:rFonts w:hint="eastAsia" w:ascii="宋体" w:hAnsi="宋体" w:eastAsia="宋体"/>
          <w:b/>
          <w:color w:val="auto"/>
          <w:sz w:val="28"/>
          <w:szCs w:val="28"/>
          <w:highlight w:val="none"/>
        </w:rPr>
        <w:t>一、供应商</w:t>
      </w:r>
      <w:r>
        <w:rPr>
          <w:rFonts w:ascii="宋体" w:hAnsi="宋体" w:eastAsia="宋体"/>
          <w:b/>
          <w:color w:val="auto"/>
          <w:sz w:val="28"/>
          <w:szCs w:val="28"/>
          <w:highlight w:val="none"/>
        </w:rPr>
        <w:t>须知前附表</w:t>
      </w:r>
    </w:p>
    <w:p w14:paraId="072F40DD">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szCs w:val="18"/>
          <w:highlight w:val="none"/>
        </w:rPr>
      </w:pPr>
      <w:r>
        <w:rPr>
          <w:rFonts w:hint="eastAsia" w:ascii="宋体" w:hAnsi="宋体" w:eastAsia="宋体"/>
          <w:b/>
          <w:bCs/>
          <w:color w:val="auto"/>
          <w:sz w:val="24"/>
          <w:szCs w:val="18"/>
          <w:highlight w:val="none"/>
        </w:rPr>
        <w:t>注：</w:t>
      </w:r>
      <w:r>
        <w:rPr>
          <w:rFonts w:hint="eastAsia" w:ascii="宋体" w:hAnsi="宋体" w:eastAsia="宋体"/>
          <w:color w:val="auto"/>
          <w:sz w:val="24"/>
          <w:szCs w:val="18"/>
          <w:highlight w:val="none"/>
        </w:rPr>
        <w:t>本表是本项目的具体要求，是对供应商须知的具体补充和修改，如有不一致，以本表为准。</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1C8EE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0925C6A1">
            <w:pPr>
              <w:pStyle w:val="32"/>
              <w:keepNext w:val="0"/>
              <w:keepLines w:val="0"/>
              <w:pageBreakBefore w:val="0"/>
              <w:widowControl w:val="0"/>
              <w:kinsoku/>
              <w:wordWrap w:val="0"/>
              <w:overflowPunct/>
              <w:topLinePunct w:val="0"/>
              <w:bidi w:val="0"/>
              <w:spacing w:before="0" w:beforeAutospacing="0" w:after="0" w:afterAutospacing="0" w:line="440" w:lineRule="exact"/>
              <w:textAlignment w:val="auto"/>
              <w:rPr>
                <w:rFonts w:hint="eastAsia" w:ascii="宋体" w:hAnsi="宋体" w:eastAsia="宋体" w:cs="宋体"/>
                <w:bCs w:val="0"/>
                <w:color w:val="auto"/>
                <w:kern w:val="2"/>
                <w:sz w:val="24"/>
                <w:szCs w:val="24"/>
                <w:highlight w:val="none"/>
                <w:lang w:val="en-US" w:eastAsia="zh-CN" w:bidi="ar-SA"/>
              </w:rPr>
            </w:pPr>
            <w:r>
              <w:rPr>
                <w:rFonts w:hint="eastAsia" w:ascii="宋体" w:hAnsi="宋体" w:eastAsia="宋体" w:cs="宋体"/>
                <w:bCs w:val="0"/>
                <w:color w:val="auto"/>
                <w:kern w:val="2"/>
                <w:sz w:val="24"/>
                <w:szCs w:val="24"/>
                <w:highlight w:val="none"/>
                <w:lang w:val="en-US" w:eastAsia="zh-CN" w:bidi="ar-SA"/>
              </w:rPr>
              <w:t>条款号</w:t>
            </w:r>
          </w:p>
        </w:tc>
        <w:tc>
          <w:tcPr>
            <w:tcW w:w="2025" w:type="dxa"/>
            <w:noWrap w:val="0"/>
            <w:vAlign w:val="center"/>
          </w:tcPr>
          <w:p w14:paraId="16F0486B">
            <w:pPr>
              <w:pStyle w:val="32"/>
              <w:keepNext w:val="0"/>
              <w:keepLines w:val="0"/>
              <w:pageBreakBefore w:val="0"/>
              <w:widowControl w:val="0"/>
              <w:kinsoku/>
              <w:wordWrap w:val="0"/>
              <w:overflowPunct/>
              <w:topLinePunct w:val="0"/>
              <w:bidi w:val="0"/>
              <w:spacing w:before="0" w:beforeAutospacing="0" w:after="0" w:afterAutospacing="0" w:line="440" w:lineRule="exact"/>
              <w:textAlignment w:val="auto"/>
              <w:rPr>
                <w:rFonts w:hint="eastAsia" w:ascii="宋体" w:hAnsi="宋体" w:eastAsia="宋体" w:cs="宋体"/>
                <w:bCs w:val="0"/>
                <w:color w:val="auto"/>
                <w:kern w:val="2"/>
                <w:sz w:val="24"/>
                <w:szCs w:val="24"/>
                <w:highlight w:val="none"/>
                <w:lang w:val="en-US" w:eastAsia="zh-CN" w:bidi="ar-SA"/>
              </w:rPr>
            </w:pPr>
            <w:r>
              <w:rPr>
                <w:rFonts w:hint="eastAsia" w:ascii="宋体" w:hAnsi="宋体" w:eastAsia="宋体" w:cs="宋体"/>
                <w:bCs w:val="0"/>
                <w:color w:val="auto"/>
                <w:kern w:val="2"/>
                <w:sz w:val="24"/>
                <w:szCs w:val="24"/>
                <w:highlight w:val="none"/>
                <w:lang w:val="en-US" w:eastAsia="zh-CN" w:bidi="ar-SA"/>
              </w:rPr>
              <w:t>条款名称</w:t>
            </w:r>
          </w:p>
        </w:tc>
        <w:tc>
          <w:tcPr>
            <w:tcW w:w="5466" w:type="dxa"/>
            <w:noWrap w:val="0"/>
            <w:vAlign w:val="center"/>
          </w:tcPr>
          <w:p w14:paraId="2546F0D1">
            <w:pPr>
              <w:pStyle w:val="32"/>
              <w:keepNext w:val="0"/>
              <w:keepLines w:val="0"/>
              <w:pageBreakBefore w:val="0"/>
              <w:widowControl w:val="0"/>
              <w:kinsoku/>
              <w:wordWrap w:val="0"/>
              <w:overflowPunct/>
              <w:topLinePunct w:val="0"/>
              <w:bidi w:val="0"/>
              <w:spacing w:before="0" w:beforeAutospacing="0" w:after="0" w:afterAutospacing="0" w:line="440" w:lineRule="exact"/>
              <w:textAlignment w:val="auto"/>
              <w:rPr>
                <w:rFonts w:hint="eastAsia" w:ascii="宋体" w:hAnsi="宋体" w:eastAsia="宋体" w:cs="宋体"/>
                <w:bCs w:val="0"/>
                <w:color w:val="auto"/>
                <w:kern w:val="2"/>
                <w:sz w:val="24"/>
                <w:szCs w:val="24"/>
                <w:highlight w:val="none"/>
                <w:lang w:val="en-US" w:eastAsia="zh-CN" w:bidi="ar-SA"/>
              </w:rPr>
            </w:pPr>
            <w:r>
              <w:rPr>
                <w:rFonts w:hint="eastAsia" w:ascii="宋体" w:hAnsi="宋体" w:eastAsia="宋体" w:cs="宋体"/>
                <w:bCs w:val="0"/>
                <w:color w:val="auto"/>
                <w:kern w:val="2"/>
                <w:sz w:val="24"/>
                <w:szCs w:val="24"/>
                <w:highlight w:val="none"/>
                <w:lang w:val="en-US" w:eastAsia="zh-CN" w:bidi="ar-SA"/>
              </w:rPr>
              <w:t>内容、说明与要求</w:t>
            </w:r>
          </w:p>
        </w:tc>
      </w:tr>
      <w:tr w14:paraId="25E37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44A015EC">
            <w:pPr>
              <w:pStyle w:val="33"/>
              <w:keepNext w:val="0"/>
              <w:keepLines w:val="0"/>
              <w:pageBreakBefore w:val="0"/>
              <w:widowControl w:val="0"/>
              <w:pBdr>
                <w:bottom w:val="none" w:color="auto" w:sz="0" w:space="0"/>
              </w:pBdr>
              <w:tabs>
                <w:tab w:val="left" w:pos="0"/>
                <w:tab w:val="clear" w:pos="4153"/>
                <w:tab w:val="clear" w:pos="8306"/>
              </w:tabs>
              <w:kinsoku/>
              <w:wordWrap w:val="0"/>
              <w:overflowPunct/>
              <w:topLinePunct w:val="0"/>
              <w:bidi w:val="0"/>
              <w:adjustRightInd/>
              <w:spacing w:line="440" w:lineRule="exact"/>
              <w:jc w:val="center"/>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3.1</w:t>
            </w:r>
          </w:p>
        </w:tc>
        <w:tc>
          <w:tcPr>
            <w:tcW w:w="2025" w:type="dxa"/>
            <w:noWrap w:val="0"/>
            <w:vAlign w:val="center"/>
          </w:tcPr>
          <w:p w14:paraId="47BE8728">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bCs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采购人</w:t>
            </w:r>
          </w:p>
        </w:tc>
        <w:tc>
          <w:tcPr>
            <w:tcW w:w="5466" w:type="dxa"/>
            <w:noWrap w:val="0"/>
            <w:vAlign w:val="center"/>
          </w:tcPr>
          <w:p w14:paraId="6CBD9CA0">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sz w:val="24"/>
                <w:szCs w:val="24"/>
                <w:highlight w:val="none"/>
                <w:u w:val="single"/>
                <w:lang w:val="en-US" w:eastAsia="zh-CN" w:bidi="ar-SA"/>
              </w:rPr>
              <w:t>安徽省住房和城乡建设厅</w:t>
            </w:r>
          </w:p>
        </w:tc>
      </w:tr>
      <w:tr w14:paraId="05C06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72AC29C">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3.2</w:t>
            </w:r>
          </w:p>
        </w:tc>
        <w:tc>
          <w:tcPr>
            <w:tcW w:w="2025" w:type="dxa"/>
            <w:noWrap w:val="0"/>
            <w:vAlign w:val="center"/>
          </w:tcPr>
          <w:p w14:paraId="384230A3">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bCs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采购代理机构</w:t>
            </w:r>
          </w:p>
        </w:tc>
        <w:tc>
          <w:tcPr>
            <w:tcW w:w="5466" w:type="dxa"/>
            <w:noWrap w:val="0"/>
            <w:vAlign w:val="center"/>
          </w:tcPr>
          <w:p w14:paraId="1F80F994">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val="0"/>
                <w:color w:val="auto"/>
                <w:sz w:val="24"/>
                <w:szCs w:val="24"/>
                <w:highlight w:val="none"/>
                <w:lang w:val="en-US" w:eastAsia="zh-CN" w:bidi="ar-SA"/>
              </w:rPr>
            </w:pPr>
            <w:r>
              <w:rPr>
                <w:rFonts w:hint="eastAsia" w:ascii="宋体" w:hAnsi="宋体" w:eastAsia="宋体" w:cs="宋体"/>
                <w:b w:val="0"/>
                <w:bCs w:val="0"/>
                <w:color w:val="auto"/>
                <w:sz w:val="24"/>
                <w:szCs w:val="24"/>
                <w:highlight w:val="none"/>
                <w:u w:val="single"/>
                <w:lang w:val="en-US" w:eastAsia="zh-CN" w:bidi="ar-SA"/>
              </w:rPr>
              <w:t>鼎信数智技术集团股份有限公司</w:t>
            </w:r>
          </w:p>
        </w:tc>
      </w:tr>
      <w:tr w14:paraId="1131E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7EBFDECE">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3.3</w:t>
            </w:r>
          </w:p>
        </w:tc>
        <w:tc>
          <w:tcPr>
            <w:tcW w:w="2025" w:type="dxa"/>
            <w:noWrap w:val="0"/>
            <w:vAlign w:val="center"/>
          </w:tcPr>
          <w:p w14:paraId="138B3363">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bCs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采购监督管理部门</w:t>
            </w:r>
          </w:p>
        </w:tc>
        <w:tc>
          <w:tcPr>
            <w:tcW w:w="5466" w:type="dxa"/>
            <w:noWrap w:val="0"/>
            <w:vAlign w:val="center"/>
          </w:tcPr>
          <w:p w14:paraId="7604FD07">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val="0"/>
                <w:color w:val="auto"/>
                <w:sz w:val="24"/>
                <w:szCs w:val="24"/>
                <w:highlight w:val="none"/>
                <w:u w:val="single"/>
                <w:lang w:val="en-US" w:eastAsia="zh-CN" w:bidi="ar-SA"/>
              </w:rPr>
            </w:pPr>
            <w:r>
              <w:rPr>
                <w:rFonts w:hint="eastAsia" w:ascii="宋体" w:hAnsi="宋体" w:eastAsia="宋体" w:cs="宋体"/>
                <w:b w:val="0"/>
                <w:bCs w:val="0"/>
                <w:color w:val="auto"/>
                <w:sz w:val="24"/>
                <w:szCs w:val="24"/>
                <w:highlight w:val="none"/>
                <w:u w:val="single"/>
                <w:lang w:val="en-US" w:eastAsia="zh-CN" w:bidi="ar-SA"/>
              </w:rPr>
              <w:t xml:space="preserve">   /   </w:t>
            </w:r>
          </w:p>
        </w:tc>
      </w:tr>
      <w:tr w14:paraId="50C52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293C2267">
            <w:pPr>
              <w:pStyle w:val="33"/>
              <w:keepNext w:val="0"/>
              <w:keepLines w:val="0"/>
              <w:pageBreakBefore w:val="0"/>
              <w:widowControl w:val="0"/>
              <w:numPr>
                <w:ilvl w:val="0"/>
                <w:numId w:val="0"/>
              </w:numPr>
              <w:pBdr>
                <w:bottom w:val="none" w:color="auto" w:sz="0" w:space="0"/>
              </w:pBdr>
              <w:tabs>
                <w:tab w:val="left" w:pos="0"/>
                <w:tab w:val="clear" w:pos="4153"/>
                <w:tab w:val="clear" w:pos="8306"/>
              </w:tabs>
              <w:kinsoku/>
              <w:wordWrap w:val="0"/>
              <w:overflowPunct/>
              <w:topLinePunct w:val="0"/>
              <w:bidi w:val="0"/>
              <w:adjustRightInd/>
              <w:spacing w:line="440" w:lineRule="exact"/>
              <w:ind w:left="0" w:leftChars="0" w:firstLine="0" w:firstLineChars="0"/>
              <w:jc w:val="center"/>
              <w:textAlignment w:val="auto"/>
              <w:rPr>
                <w:rFonts w:hint="eastAsia" w:ascii="宋体" w:hAnsi="宋体" w:eastAsia="宋体" w:cs="宋体"/>
                <w:bCs/>
                <w:color w:val="auto"/>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3.5</w:t>
            </w:r>
          </w:p>
        </w:tc>
        <w:tc>
          <w:tcPr>
            <w:tcW w:w="2025" w:type="dxa"/>
            <w:noWrap w:val="0"/>
            <w:vAlign w:val="center"/>
          </w:tcPr>
          <w:p w14:paraId="421710DC">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bCs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是否允许联合体参加磋商</w:t>
            </w:r>
          </w:p>
        </w:tc>
        <w:tc>
          <w:tcPr>
            <w:tcW w:w="5466" w:type="dxa"/>
            <w:noWrap w:val="0"/>
            <w:vAlign w:val="center"/>
          </w:tcPr>
          <w:p w14:paraId="5ADDEAA5">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val="0"/>
                <w:color w:val="auto"/>
                <w:sz w:val="24"/>
                <w:szCs w:val="24"/>
                <w:highlight w:val="none"/>
                <w:u w:val="single"/>
                <w:lang w:val="en-US" w:eastAsia="zh-CN" w:bidi="ar-SA"/>
              </w:rPr>
            </w:pPr>
            <w:r>
              <w:rPr>
                <w:rFonts w:hint="eastAsia" w:ascii="宋体" w:hAnsi="宋体" w:eastAsia="宋体" w:cs="宋体"/>
                <w:b w:val="0"/>
                <w:color w:val="auto"/>
                <w:sz w:val="24"/>
                <w:szCs w:val="24"/>
                <w:highlight w:val="none"/>
                <w:lang w:val="en-US" w:eastAsia="zh-CN" w:bidi="ar-SA"/>
              </w:rPr>
              <w:t xml:space="preserve">□是  </w:t>
            </w:r>
            <w:r>
              <w:rPr>
                <w:rFonts w:hint="eastAsia" w:ascii="宋体" w:hAnsi="宋体" w:eastAsia="宋体" w:cs="宋体"/>
                <w:b w:val="0"/>
                <w:bCs w:val="0"/>
                <w:color w:val="auto"/>
                <w:sz w:val="24"/>
                <w:szCs w:val="24"/>
                <w:highlight w:val="none"/>
                <w:lang w:val="en-US" w:eastAsia="zh-CN" w:bidi="ar-SA"/>
              </w:rPr>
              <w:t>☑</w:t>
            </w:r>
            <w:r>
              <w:rPr>
                <w:rFonts w:hint="eastAsia" w:ascii="宋体" w:hAnsi="宋体" w:eastAsia="宋体" w:cs="宋体"/>
                <w:b w:val="0"/>
                <w:color w:val="auto"/>
                <w:sz w:val="24"/>
                <w:szCs w:val="24"/>
                <w:highlight w:val="none"/>
                <w:lang w:val="en-US" w:eastAsia="zh-CN" w:bidi="ar-SA"/>
              </w:rPr>
              <w:t>否</w:t>
            </w:r>
          </w:p>
        </w:tc>
      </w:tr>
      <w:tr w14:paraId="504FC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E7067CE">
            <w:pPr>
              <w:pStyle w:val="33"/>
              <w:keepNext w:val="0"/>
              <w:keepLines w:val="0"/>
              <w:pageBreakBefore w:val="0"/>
              <w:widowControl w:val="0"/>
              <w:numPr>
                <w:ilvl w:val="0"/>
                <w:numId w:val="0"/>
              </w:numPr>
              <w:pBdr>
                <w:bottom w:val="none" w:color="auto" w:sz="0" w:space="0"/>
              </w:pBdr>
              <w:tabs>
                <w:tab w:val="left" w:pos="0"/>
                <w:tab w:val="clear" w:pos="4153"/>
                <w:tab w:val="clear" w:pos="8306"/>
              </w:tabs>
              <w:kinsoku/>
              <w:wordWrap w:val="0"/>
              <w:overflowPunct/>
              <w:topLinePunct w:val="0"/>
              <w:bidi w:val="0"/>
              <w:adjustRightInd/>
              <w:spacing w:line="440" w:lineRule="exact"/>
              <w:ind w:left="0" w:leftChars="0" w:firstLine="0" w:firstLineChars="0"/>
              <w:jc w:val="center"/>
              <w:textAlignment w:val="auto"/>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3.6</w:t>
            </w:r>
          </w:p>
        </w:tc>
        <w:tc>
          <w:tcPr>
            <w:tcW w:w="2025" w:type="dxa"/>
            <w:noWrap w:val="0"/>
            <w:vAlign w:val="center"/>
          </w:tcPr>
          <w:p w14:paraId="3A919B0C">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是否专门面向中小企业</w:t>
            </w:r>
          </w:p>
        </w:tc>
        <w:tc>
          <w:tcPr>
            <w:tcW w:w="5466" w:type="dxa"/>
            <w:noWrap w:val="0"/>
            <w:vAlign w:val="center"/>
          </w:tcPr>
          <w:p w14:paraId="58DFF8A3">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val="0"/>
                <w:color w:val="auto"/>
                <w:kern w:val="0"/>
                <w:sz w:val="24"/>
                <w:szCs w:val="24"/>
                <w:highlight w:val="none"/>
                <w:u w:val="single"/>
                <w:lang w:val="en-US" w:eastAsia="zh-CN" w:bidi="ar-SA"/>
              </w:rPr>
            </w:pPr>
            <w:r>
              <w:rPr>
                <w:rFonts w:hint="eastAsia" w:ascii="宋体" w:hAnsi="宋体" w:eastAsia="宋体" w:cs="宋体"/>
                <w:b w:val="0"/>
                <w:color w:val="auto"/>
                <w:sz w:val="24"/>
                <w:szCs w:val="24"/>
                <w:highlight w:val="none"/>
                <w:lang w:val="en-US" w:eastAsia="zh-CN" w:bidi="ar-SA"/>
              </w:rPr>
              <w:t xml:space="preserve">□是  </w:t>
            </w:r>
            <w:r>
              <w:rPr>
                <w:rFonts w:hint="eastAsia" w:ascii="宋体" w:hAnsi="宋体" w:eastAsia="宋体" w:cs="宋体"/>
                <w:b w:val="0"/>
                <w:bCs w:val="0"/>
                <w:color w:val="auto"/>
                <w:sz w:val="24"/>
                <w:szCs w:val="24"/>
                <w:highlight w:val="none"/>
                <w:lang w:val="en-US" w:eastAsia="zh-CN" w:bidi="ar-SA"/>
              </w:rPr>
              <w:t>☑</w:t>
            </w:r>
            <w:r>
              <w:rPr>
                <w:rFonts w:hint="eastAsia" w:ascii="宋体" w:hAnsi="宋体" w:eastAsia="宋体" w:cs="宋体"/>
                <w:b w:val="0"/>
                <w:color w:val="auto"/>
                <w:sz w:val="24"/>
                <w:szCs w:val="24"/>
                <w:highlight w:val="none"/>
                <w:lang w:val="en-US" w:eastAsia="zh-CN" w:bidi="ar-SA"/>
              </w:rPr>
              <w:t>否</w:t>
            </w:r>
          </w:p>
        </w:tc>
      </w:tr>
      <w:tr w14:paraId="7D126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431284C2">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7.3</w:t>
            </w:r>
          </w:p>
        </w:tc>
        <w:tc>
          <w:tcPr>
            <w:tcW w:w="2025" w:type="dxa"/>
            <w:noWrap w:val="0"/>
            <w:vAlign w:val="center"/>
          </w:tcPr>
          <w:p w14:paraId="165ECED8">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现场考察</w:t>
            </w:r>
          </w:p>
        </w:tc>
        <w:tc>
          <w:tcPr>
            <w:tcW w:w="5466" w:type="dxa"/>
            <w:noWrap w:val="0"/>
            <w:vAlign w:val="center"/>
          </w:tcPr>
          <w:p w14:paraId="52C5AF86">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eastAsia="zh-CN"/>
              </w:rPr>
              <w:t>☑</w:t>
            </w:r>
            <w:r>
              <w:rPr>
                <w:rFonts w:hint="eastAsia" w:ascii="宋体" w:hAnsi="宋体" w:eastAsia="宋体" w:cs="宋体"/>
                <w:color w:val="auto"/>
                <w:sz w:val="24"/>
                <w:szCs w:val="24"/>
                <w:highlight w:val="none"/>
              </w:rPr>
              <w:t>不组织，供应商</w:t>
            </w:r>
            <w:r>
              <w:rPr>
                <w:rFonts w:hint="eastAsia" w:ascii="宋体" w:hAnsi="宋体" w:eastAsia="宋体" w:cs="宋体"/>
                <w:bCs/>
                <w:color w:val="auto"/>
                <w:sz w:val="24"/>
                <w:szCs w:val="24"/>
                <w:highlight w:val="none"/>
              </w:rPr>
              <w:t>自行考察</w:t>
            </w:r>
          </w:p>
          <w:p w14:paraId="0F0B3B47">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统一组织</w:t>
            </w:r>
          </w:p>
        </w:tc>
      </w:tr>
      <w:tr w14:paraId="07E38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03731A5">
            <w:pPr>
              <w:pStyle w:val="33"/>
              <w:keepNext w:val="0"/>
              <w:keepLines w:val="0"/>
              <w:pageBreakBefore w:val="0"/>
              <w:widowControl w:val="0"/>
              <w:pBdr>
                <w:bottom w:val="none" w:color="auto" w:sz="0" w:space="0"/>
              </w:pBdr>
              <w:kinsoku/>
              <w:wordWrap w:val="0"/>
              <w:overflowPunct/>
              <w:topLinePunct w:val="0"/>
              <w:bidi w:val="0"/>
              <w:adjustRightInd/>
              <w:spacing w:line="440" w:lineRule="exact"/>
              <w:jc w:val="center"/>
              <w:textAlignment w:val="auto"/>
              <w:rPr>
                <w:rFonts w:hint="eastAsia" w:ascii="宋体" w:hAnsi="宋体" w:eastAsia="宋体" w:cs="宋体"/>
                <w:bCs/>
                <w:color w:val="auto"/>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8.1</w:t>
            </w:r>
          </w:p>
        </w:tc>
        <w:tc>
          <w:tcPr>
            <w:tcW w:w="2025" w:type="dxa"/>
            <w:noWrap w:val="0"/>
            <w:vAlign w:val="center"/>
          </w:tcPr>
          <w:p w14:paraId="09B45AED">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询问截止时间</w:t>
            </w:r>
          </w:p>
        </w:tc>
        <w:tc>
          <w:tcPr>
            <w:tcW w:w="5466" w:type="dxa"/>
            <w:noWrap w:val="0"/>
            <w:vAlign w:val="center"/>
          </w:tcPr>
          <w:p w14:paraId="28D79EAF">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Cs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递交响应文件前5日，供应商如对磋商文件内容有疑问，应在询问截止时间前以书面提问形式提交给采购代理机构（电子邮箱地址：450640644@qq.com）</w:t>
            </w:r>
          </w:p>
        </w:tc>
      </w:tr>
      <w:tr w14:paraId="55FF5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1004" w:type="dxa"/>
            <w:noWrap w:val="0"/>
            <w:vAlign w:val="center"/>
          </w:tcPr>
          <w:p w14:paraId="5B973287">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9.1</w:t>
            </w:r>
          </w:p>
        </w:tc>
        <w:tc>
          <w:tcPr>
            <w:tcW w:w="2025" w:type="dxa"/>
            <w:noWrap w:val="0"/>
            <w:vAlign w:val="center"/>
          </w:tcPr>
          <w:p w14:paraId="5A2872F1">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包别划分</w:t>
            </w:r>
          </w:p>
        </w:tc>
        <w:tc>
          <w:tcPr>
            <w:tcW w:w="5466" w:type="dxa"/>
            <w:noWrap w:val="0"/>
            <w:vAlign w:val="center"/>
          </w:tcPr>
          <w:p w14:paraId="75207F3C">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w:t>
            </w:r>
            <w:r>
              <w:rPr>
                <w:rFonts w:hint="eastAsia" w:ascii="宋体" w:hAnsi="宋体" w:eastAsia="宋体" w:cs="宋体"/>
                <w:b w:val="0"/>
                <w:color w:val="auto"/>
                <w:sz w:val="24"/>
                <w:szCs w:val="24"/>
                <w:highlight w:val="none"/>
                <w:lang w:val="en-US" w:eastAsia="zh-CN" w:bidi="ar-SA"/>
              </w:rPr>
              <w:t>不分包     □分为</w:t>
            </w:r>
            <w:r>
              <w:rPr>
                <w:rFonts w:hint="eastAsia" w:ascii="宋体" w:hAnsi="宋体" w:eastAsia="宋体" w:cs="宋体"/>
                <w:b w:val="0"/>
                <w:color w:val="auto"/>
                <w:sz w:val="24"/>
                <w:szCs w:val="24"/>
                <w:highlight w:val="none"/>
                <w:u w:val="single"/>
                <w:lang w:val="en-US" w:eastAsia="zh-CN" w:bidi="ar-SA"/>
              </w:rPr>
              <w:t xml:space="preserve">  </w:t>
            </w:r>
            <w:r>
              <w:rPr>
                <w:rFonts w:hint="eastAsia" w:ascii="宋体" w:hAnsi="宋体" w:eastAsia="宋体" w:cs="宋体"/>
                <w:b w:val="0"/>
                <w:color w:val="auto"/>
                <w:sz w:val="24"/>
                <w:szCs w:val="24"/>
                <w:highlight w:val="none"/>
                <w:lang w:val="en-US" w:eastAsia="zh-CN" w:bidi="ar-SA"/>
              </w:rPr>
              <w:t>个包</w:t>
            </w:r>
          </w:p>
          <w:p w14:paraId="5ECDC01C">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供应商参加多个包磋商的响应文件制作、提交要求：按包别分别制作响应文件，分别提交（上传）。</w:t>
            </w:r>
          </w:p>
          <w:p w14:paraId="02231964">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供应商参加多个包磋商的成交包数规定：</w:t>
            </w:r>
            <w:r>
              <w:rPr>
                <w:rFonts w:hint="eastAsia" w:ascii="宋体" w:hAnsi="宋体" w:eastAsia="宋体" w:cs="宋体"/>
                <w:b w:val="0"/>
                <w:bCs w:val="0"/>
                <w:color w:val="auto"/>
                <w:sz w:val="24"/>
                <w:szCs w:val="24"/>
                <w:highlight w:val="none"/>
                <w:u w:val="single"/>
                <w:lang w:val="en-US" w:eastAsia="zh-CN" w:bidi="ar-SA"/>
              </w:rPr>
              <w:t xml:space="preserve">  /  </w:t>
            </w:r>
          </w:p>
        </w:tc>
      </w:tr>
      <w:tr w14:paraId="7A044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jc w:val="center"/>
        </w:trPr>
        <w:tc>
          <w:tcPr>
            <w:tcW w:w="1004" w:type="dxa"/>
            <w:noWrap w:val="0"/>
            <w:vAlign w:val="center"/>
          </w:tcPr>
          <w:p w14:paraId="0643E22F">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13.1</w:t>
            </w:r>
          </w:p>
        </w:tc>
        <w:tc>
          <w:tcPr>
            <w:tcW w:w="2025" w:type="dxa"/>
            <w:noWrap w:val="0"/>
            <w:vAlign w:val="center"/>
          </w:tcPr>
          <w:p w14:paraId="54BED7CF">
            <w:pPr>
              <w:pStyle w:val="32"/>
              <w:keepNext w:val="0"/>
              <w:keepLines w:val="0"/>
              <w:pageBreakBefore w:val="0"/>
              <w:widowControl w:val="0"/>
              <w:kinsoku/>
              <w:wordWrap w:val="0"/>
              <w:overflowPunct/>
              <w:topLinePunct w:val="0"/>
              <w:autoSpaceDE/>
              <w:autoSpaceDN/>
              <w:bidi w:val="0"/>
              <w:adjustRightInd/>
              <w:snapToGrid/>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磋商保证金</w:t>
            </w:r>
          </w:p>
        </w:tc>
        <w:tc>
          <w:tcPr>
            <w:tcW w:w="5466" w:type="dxa"/>
            <w:noWrap w:val="0"/>
            <w:vAlign w:val="center"/>
          </w:tcPr>
          <w:p w14:paraId="0DD9E931">
            <w:pPr>
              <w:keepNext w:val="0"/>
              <w:keepLines w:val="0"/>
              <w:pageBreakBefore w:val="0"/>
              <w:kinsoku/>
              <w:wordWrap w:val="0"/>
              <w:overflowPunct/>
              <w:topLinePunct w:val="0"/>
              <w:autoSpaceDE/>
              <w:autoSpaceDN/>
              <w:bidi w:val="0"/>
              <w:adjustRightInd/>
              <w:snapToGrid/>
              <w:spacing w:line="440" w:lineRule="exact"/>
              <w:jc w:val="left"/>
              <w:textAlignment w:val="auto"/>
              <w:rPr>
                <w:rFonts w:hint="eastAsia" w:ascii="宋体" w:hAnsi="宋体" w:eastAsia="宋体" w:cs="宋体"/>
                <w:b/>
                <w:color w:val="auto"/>
                <w:sz w:val="24"/>
                <w:szCs w:val="24"/>
                <w:highlight w:val="none"/>
              </w:rPr>
            </w:pPr>
            <w:r>
              <w:rPr>
                <w:rFonts w:hint="eastAsia" w:ascii="宋体" w:hAnsi="宋体" w:eastAsia="宋体"/>
                <w:b w:val="0"/>
                <w:bCs w:val="0"/>
                <w:color w:val="auto"/>
                <w:sz w:val="24"/>
                <w:szCs w:val="24"/>
                <w:highlight w:val="none"/>
              </w:rPr>
              <w:t>免收</w:t>
            </w:r>
          </w:p>
        </w:tc>
      </w:tr>
      <w:tr w14:paraId="39676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jc w:val="center"/>
        </w:trPr>
        <w:tc>
          <w:tcPr>
            <w:tcW w:w="1004" w:type="dxa"/>
            <w:noWrap w:val="0"/>
            <w:vAlign w:val="center"/>
          </w:tcPr>
          <w:p w14:paraId="4D7CF42B">
            <w:pPr>
              <w:keepNext w:val="0"/>
              <w:keepLines w:val="0"/>
              <w:pageBreakBefore w:val="0"/>
              <w:tabs>
                <w:tab w:val="left" w:pos="0"/>
              </w:tabs>
              <w:kinsoku/>
              <w:wordWrap w:val="0"/>
              <w:overflowPunct/>
              <w:topLinePunct w:val="0"/>
              <w:bidi w:val="0"/>
              <w:spacing w:line="440" w:lineRule="exac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13.7</w:t>
            </w:r>
          </w:p>
        </w:tc>
        <w:tc>
          <w:tcPr>
            <w:tcW w:w="2025" w:type="dxa"/>
            <w:noWrap w:val="0"/>
            <w:vAlign w:val="center"/>
          </w:tcPr>
          <w:p w14:paraId="73B8B9FD">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其他不予退还磋商保证金的情形</w:t>
            </w:r>
          </w:p>
        </w:tc>
        <w:tc>
          <w:tcPr>
            <w:tcW w:w="5466" w:type="dxa"/>
            <w:noWrap w:val="0"/>
            <w:vAlign w:val="center"/>
          </w:tcPr>
          <w:p w14:paraId="0C66D430">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val="0"/>
                <w:color w:val="auto"/>
                <w:sz w:val="24"/>
                <w:szCs w:val="24"/>
                <w:highlight w:val="none"/>
                <w:lang w:val="en-US" w:eastAsia="zh-CN" w:bidi="ar-SA"/>
              </w:rPr>
            </w:pPr>
            <w:r>
              <w:rPr>
                <w:rFonts w:hint="eastAsia" w:ascii="宋体" w:hAnsi="宋体" w:eastAsia="宋体" w:cs="@仿宋_GB2312"/>
                <w:b w:val="0"/>
                <w:bCs w:val="0"/>
                <w:color w:val="auto"/>
                <w:sz w:val="24"/>
                <w:szCs w:val="24"/>
                <w:highlight w:val="none"/>
                <w:lang w:val="en-US" w:eastAsia="zh-CN" w:bidi="ar-SA"/>
              </w:rPr>
              <w:t>除因不可抗力或磋商文件认可的情形以外，成交供应商放弃成交资格的</w:t>
            </w:r>
            <w:r>
              <w:rPr>
                <w:rFonts w:hint="eastAsia" w:ascii="宋体" w:hAnsi="宋体" w:eastAsia="宋体" w:cs="宋体"/>
                <w:b w:val="0"/>
                <w:bCs w:val="0"/>
                <w:color w:val="auto"/>
                <w:sz w:val="24"/>
                <w:szCs w:val="24"/>
                <w:highlight w:val="none"/>
                <w:u w:val="none"/>
                <w:lang w:val="en-US" w:eastAsia="zh-CN" w:bidi="ar-SA"/>
              </w:rPr>
              <w:t>。</w:t>
            </w:r>
          </w:p>
        </w:tc>
      </w:tr>
      <w:tr w14:paraId="1D06B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28CF2AE">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14.1</w:t>
            </w:r>
          </w:p>
        </w:tc>
        <w:tc>
          <w:tcPr>
            <w:tcW w:w="2025" w:type="dxa"/>
            <w:noWrap w:val="0"/>
            <w:vAlign w:val="center"/>
          </w:tcPr>
          <w:p w14:paraId="5DBA7F84">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磋商有效期</w:t>
            </w:r>
          </w:p>
        </w:tc>
        <w:tc>
          <w:tcPr>
            <w:tcW w:w="5466" w:type="dxa"/>
            <w:noWrap w:val="0"/>
            <w:vAlign w:val="center"/>
          </w:tcPr>
          <w:p w14:paraId="5E5BA3D9">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u w:val="single"/>
                <w:lang w:val="en-US" w:eastAsia="zh-CN" w:bidi="ar-SA"/>
              </w:rPr>
              <w:t xml:space="preserve"> 120 </w:t>
            </w:r>
            <w:r>
              <w:rPr>
                <w:rFonts w:hint="eastAsia" w:ascii="宋体" w:hAnsi="宋体" w:eastAsia="宋体" w:cs="宋体"/>
                <w:b w:val="0"/>
                <w:color w:val="auto"/>
                <w:sz w:val="24"/>
                <w:szCs w:val="24"/>
                <w:highlight w:val="none"/>
                <w:lang w:val="en-US" w:eastAsia="zh-CN" w:bidi="ar-SA"/>
              </w:rPr>
              <w:t>日历日</w:t>
            </w:r>
          </w:p>
        </w:tc>
      </w:tr>
      <w:tr w14:paraId="7D648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865D320">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15.1</w:t>
            </w:r>
          </w:p>
        </w:tc>
        <w:tc>
          <w:tcPr>
            <w:tcW w:w="2025" w:type="dxa"/>
            <w:noWrap w:val="0"/>
            <w:vAlign w:val="center"/>
          </w:tcPr>
          <w:p w14:paraId="1E43BF53">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响应文件要求</w:t>
            </w:r>
          </w:p>
        </w:tc>
        <w:tc>
          <w:tcPr>
            <w:tcW w:w="5466" w:type="dxa"/>
            <w:noWrap w:val="0"/>
            <w:vAlign w:val="center"/>
          </w:tcPr>
          <w:p w14:paraId="35280EA0">
            <w:pPr>
              <w:wordWrap w:val="0"/>
              <w:spacing w:line="440" w:lineRule="exact"/>
              <w:jc w:val="left"/>
              <w:rPr>
                <w:rFonts w:hint="eastAsia" w:ascii="宋体" w:hAnsi="宋体" w:eastAsia="宋体" w:cs="宋体"/>
                <w:bCs/>
                <w:color w:val="auto"/>
                <w:kern w:val="0"/>
                <w:sz w:val="24"/>
                <w:szCs w:val="24"/>
                <w:highlight w:val="none"/>
              </w:rPr>
            </w:pPr>
            <w:r>
              <w:rPr>
                <w:rFonts w:hint="eastAsia" w:ascii="宋体" w:hAnsi="宋体" w:eastAsia="宋体" w:cs="宋体"/>
                <w:b/>
                <w:color w:val="auto"/>
                <w:kern w:val="0"/>
                <w:sz w:val="24"/>
                <w:szCs w:val="24"/>
                <w:highlight w:val="none"/>
              </w:rPr>
              <w:t>1.加密的电子响应文件</w:t>
            </w:r>
            <w:r>
              <w:rPr>
                <w:rFonts w:hint="eastAsia" w:ascii="宋体" w:hAnsi="宋体" w:eastAsia="宋体" w:cs="宋体"/>
                <w:bCs/>
                <w:color w:val="auto"/>
                <w:kern w:val="0"/>
                <w:sz w:val="24"/>
                <w:szCs w:val="24"/>
                <w:highlight w:val="none"/>
              </w:rPr>
              <w:t>：</w:t>
            </w:r>
          </w:p>
          <w:p w14:paraId="4174C3BB">
            <w:pPr>
              <w:wordWrap w:val="0"/>
              <w:spacing w:line="440" w:lineRule="exact"/>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使用安招采平台“投标文件制作工具”制作生成的加密电子响应文件(azc_zb格式)，应在响应文件提交截止时间前通过安招采平台投标供应商系统上传。</w:t>
            </w:r>
          </w:p>
          <w:p w14:paraId="4FC4C8B3">
            <w:pPr>
              <w:widowControl/>
              <w:wordWrap w:val="0"/>
              <w:spacing w:line="440" w:lineRule="exact"/>
              <w:jc w:val="left"/>
              <w:rPr>
                <w:rFonts w:hint="eastAsia" w:ascii="宋体" w:hAnsi="宋体" w:eastAsia="宋体" w:cs="宋体"/>
                <w:bCs/>
                <w:color w:val="auto"/>
                <w:kern w:val="0"/>
                <w:sz w:val="24"/>
                <w:szCs w:val="24"/>
                <w:highlight w:val="none"/>
              </w:rPr>
            </w:pPr>
            <w:r>
              <w:rPr>
                <w:rFonts w:hint="eastAsia" w:ascii="宋体" w:hAnsi="宋体" w:eastAsia="宋体" w:cs="宋体"/>
                <w:b/>
                <w:color w:val="auto"/>
                <w:kern w:val="0"/>
                <w:sz w:val="24"/>
                <w:szCs w:val="24"/>
                <w:highlight w:val="none"/>
              </w:rPr>
              <w:t>2.未加密的电子响应文件</w:t>
            </w:r>
            <w:r>
              <w:rPr>
                <w:rFonts w:hint="eastAsia" w:ascii="宋体" w:hAnsi="宋体" w:eastAsia="宋体" w:cs="宋体"/>
                <w:bCs/>
                <w:color w:val="auto"/>
                <w:kern w:val="0"/>
                <w:sz w:val="24"/>
                <w:szCs w:val="24"/>
                <w:highlight w:val="none"/>
              </w:rPr>
              <w:t>：</w:t>
            </w:r>
          </w:p>
          <w:p w14:paraId="4D30C3A3">
            <w:pPr>
              <w:wordWrap w:val="0"/>
              <w:spacing w:line="440" w:lineRule="exact"/>
              <w:jc w:val="left"/>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无需提交。</w:t>
            </w:r>
          </w:p>
          <w:p w14:paraId="05966AC8">
            <w:pPr>
              <w:wordWrap w:val="0"/>
              <w:spacing w:line="440" w:lineRule="exact"/>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非供应商原因导致的解密失败，允许供应商以未加密的电子响应文件作为补救。</w:t>
            </w:r>
          </w:p>
          <w:p w14:paraId="0898B73B">
            <w:pPr>
              <w:widowControl/>
              <w:wordWrap w:val="0"/>
              <w:spacing w:line="440" w:lineRule="exact"/>
              <w:jc w:val="left"/>
              <w:rPr>
                <w:rFonts w:hint="eastAsia" w:ascii="宋体" w:hAnsi="宋体" w:eastAsia="宋体" w:cs="宋体"/>
                <w:bCs/>
                <w:color w:val="auto"/>
                <w:kern w:val="0"/>
                <w:sz w:val="24"/>
                <w:szCs w:val="24"/>
                <w:highlight w:val="none"/>
              </w:rPr>
            </w:pPr>
            <w:r>
              <w:rPr>
                <w:rFonts w:hint="eastAsia" w:ascii="宋体" w:hAnsi="宋体" w:eastAsia="宋体" w:cs="宋体"/>
                <w:b/>
                <w:color w:val="auto"/>
                <w:kern w:val="0"/>
                <w:sz w:val="24"/>
                <w:szCs w:val="24"/>
                <w:highlight w:val="none"/>
              </w:rPr>
              <w:t>3.纸质响应文件</w:t>
            </w:r>
            <w:r>
              <w:rPr>
                <w:rFonts w:hint="eastAsia" w:ascii="宋体" w:hAnsi="宋体" w:eastAsia="宋体" w:cs="宋体"/>
                <w:bCs/>
                <w:color w:val="auto"/>
                <w:kern w:val="0"/>
                <w:sz w:val="24"/>
                <w:szCs w:val="24"/>
                <w:highlight w:val="none"/>
              </w:rPr>
              <w:t>：</w:t>
            </w:r>
          </w:p>
          <w:p w14:paraId="6A02FC1A">
            <w:pPr>
              <w:pStyle w:val="32"/>
              <w:widowControl w:val="0"/>
              <w:spacing w:before="0" w:beforeAutospacing="0" w:after="0" w:afterAutospacing="0" w:line="360" w:lineRule="auto"/>
              <w:jc w:val="left"/>
              <w:rPr>
                <w:rFonts w:hint="eastAsia" w:ascii="宋体" w:hAnsi="宋体" w:eastAsia="宋体" w:cs="宋体"/>
                <w:b w:val="0"/>
                <w:bCs w:val="0"/>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磋商现场无需提交</w:t>
            </w:r>
            <w:r>
              <w:rPr>
                <w:rFonts w:hint="eastAsia" w:ascii="宋体" w:hAnsi="宋体" w:eastAsia="宋体" w:cs="宋体"/>
                <w:b w:val="0"/>
                <w:bCs w:val="0"/>
                <w:color w:val="auto"/>
                <w:sz w:val="24"/>
                <w:szCs w:val="24"/>
                <w:highlight w:val="none"/>
                <w:lang w:val="en-US" w:eastAsia="zh-CN" w:bidi="ar"/>
              </w:rPr>
              <w:t>。</w:t>
            </w:r>
          </w:p>
          <w:p w14:paraId="1AF4DDC8">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u w:val="single"/>
                <w:lang w:bidi="ar"/>
              </w:rPr>
              <w:t>成交供应商在领取成交通知书时，按采购人要求提交两套纸质响应文件。</w:t>
            </w:r>
            <w:r>
              <w:rPr>
                <w:rFonts w:hint="eastAsia" w:ascii="宋体" w:hAnsi="宋体" w:eastAsia="宋体" w:cs="宋体"/>
                <w:color w:val="auto"/>
                <w:sz w:val="24"/>
                <w:szCs w:val="24"/>
                <w:highlight w:val="none"/>
                <w:u w:val="single"/>
              </w:rPr>
              <w:t>纸质响应文件为加密电子响应文件的打印版。</w:t>
            </w:r>
          </w:p>
        </w:tc>
      </w:tr>
      <w:tr w14:paraId="7E520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C4F8795">
            <w:pPr>
              <w:pStyle w:val="33"/>
              <w:keepNext w:val="0"/>
              <w:keepLines w:val="0"/>
              <w:pageBreakBefore w:val="0"/>
              <w:widowControl w:val="0"/>
              <w:pBdr>
                <w:bottom w:val="none" w:color="auto" w:sz="0" w:space="0"/>
              </w:pBdr>
              <w:tabs>
                <w:tab w:val="left" w:pos="0"/>
                <w:tab w:val="clear" w:pos="4153"/>
                <w:tab w:val="clear" w:pos="8306"/>
              </w:tabs>
              <w:kinsoku/>
              <w:wordWrap w:val="0"/>
              <w:overflowPunct/>
              <w:topLinePunct w:val="0"/>
              <w:bidi w:val="0"/>
              <w:adjustRightInd/>
              <w:spacing w:line="440" w:lineRule="exact"/>
              <w:jc w:val="center"/>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15.3</w:t>
            </w:r>
          </w:p>
        </w:tc>
        <w:tc>
          <w:tcPr>
            <w:tcW w:w="2025" w:type="dxa"/>
            <w:noWrap w:val="0"/>
            <w:vAlign w:val="center"/>
          </w:tcPr>
          <w:p w14:paraId="2CE744E7">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磋商现场提交的其他材料要求</w:t>
            </w:r>
          </w:p>
        </w:tc>
        <w:tc>
          <w:tcPr>
            <w:tcW w:w="5466" w:type="dxa"/>
            <w:noWrap w:val="0"/>
            <w:vAlign w:val="center"/>
          </w:tcPr>
          <w:p w14:paraId="32DE5A66">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u w:val="single"/>
                <w:lang w:val="en-US" w:eastAsia="zh-CN" w:bidi="ar-SA"/>
              </w:rPr>
            </w:pPr>
            <w:r>
              <w:rPr>
                <w:rFonts w:hint="eastAsia" w:ascii="宋体" w:hAnsi="宋体" w:eastAsia="宋体" w:cs="宋体"/>
                <w:b w:val="0"/>
                <w:bCs w:val="0"/>
                <w:color w:val="auto"/>
                <w:sz w:val="24"/>
                <w:szCs w:val="24"/>
                <w:highlight w:val="none"/>
                <w:u w:val="single"/>
                <w:lang w:val="en-US" w:eastAsia="zh-CN" w:bidi="ar-SA"/>
              </w:rPr>
              <w:t xml:space="preserve">   /   </w:t>
            </w:r>
          </w:p>
        </w:tc>
      </w:tr>
      <w:tr w14:paraId="37363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4E490E40">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16.1</w:t>
            </w:r>
          </w:p>
        </w:tc>
        <w:tc>
          <w:tcPr>
            <w:tcW w:w="2025" w:type="dxa"/>
            <w:noWrap w:val="0"/>
            <w:vAlign w:val="center"/>
          </w:tcPr>
          <w:p w14:paraId="17D15125">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响应文件提交截止时间和地点</w:t>
            </w:r>
          </w:p>
        </w:tc>
        <w:tc>
          <w:tcPr>
            <w:tcW w:w="5466" w:type="dxa"/>
            <w:noWrap w:val="0"/>
            <w:vAlign w:val="center"/>
          </w:tcPr>
          <w:p w14:paraId="4D929652">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u w:val="single"/>
                <w:lang w:val="en-US" w:eastAsia="zh-CN" w:bidi="ar-SA"/>
              </w:rPr>
              <w:t>详见磋商公告</w:t>
            </w:r>
          </w:p>
        </w:tc>
      </w:tr>
      <w:tr w14:paraId="24BEB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9A545DE">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17.3</w:t>
            </w:r>
          </w:p>
        </w:tc>
        <w:tc>
          <w:tcPr>
            <w:tcW w:w="2025" w:type="dxa"/>
            <w:noWrap w:val="0"/>
            <w:vAlign w:val="center"/>
          </w:tcPr>
          <w:p w14:paraId="126CB37C">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加密电子响应文件解密时间</w:t>
            </w:r>
          </w:p>
        </w:tc>
        <w:tc>
          <w:tcPr>
            <w:tcW w:w="5466" w:type="dxa"/>
            <w:noWrap w:val="0"/>
            <w:vAlign w:val="center"/>
          </w:tcPr>
          <w:p w14:paraId="3C30E78D">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u w:val="single"/>
                <w:lang w:val="en-US" w:eastAsia="zh-CN" w:bidi="ar-SA"/>
              </w:rPr>
            </w:pPr>
            <w:r>
              <w:rPr>
                <w:rFonts w:hint="eastAsia" w:ascii="宋体" w:hAnsi="宋体" w:eastAsia="宋体" w:cs="宋体"/>
                <w:b w:val="0"/>
                <w:color w:val="auto"/>
                <w:sz w:val="24"/>
                <w:szCs w:val="24"/>
                <w:highlight w:val="none"/>
                <w:u w:val="single"/>
                <w:lang w:val="en-US" w:eastAsia="zh-CN" w:bidi="ar-SA"/>
              </w:rPr>
              <w:t>响应文件提交截止时间后30分钟内（</w:t>
            </w:r>
            <w:r>
              <w:rPr>
                <w:rFonts w:hint="eastAsia" w:ascii="宋体" w:hAnsi="宋体" w:eastAsia="宋体" w:cs="宋体"/>
                <w:b w:val="0"/>
                <w:bCs/>
                <w:color w:val="auto"/>
                <w:sz w:val="24"/>
                <w:szCs w:val="24"/>
                <w:highlight w:val="none"/>
                <w:u w:val="single"/>
                <w:lang w:val="en-US" w:eastAsia="zh-CN" w:bidi="ar-SA"/>
              </w:rPr>
              <w:t>以安招采平台解密倒计时</w:t>
            </w:r>
            <w:r>
              <w:rPr>
                <w:rFonts w:hint="eastAsia" w:ascii="宋体" w:hAnsi="宋体" w:eastAsia="宋体" w:cs="宋体"/>
                <w:b w:val="0"/>
                <w:color w:val="auto"/>
                <w:sz w:val="24"/>
                <w:szCs w:val="24"/>
                <w:highlight w:val="none"/>
                <w:u w:val="single"/>
                <w:lang w:val="en-US" w:eastAsia="zh-CN" w:bidi="ar-SA"/>
              </w:rPr>
              <w:t>为准）</w:t>
            </w:r>
          </w:p>
        </w:tc>
      </w:tr>
      <w:tr w14:paraId="33215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Merge w:val="restart"/>
            <w:noWrap w:val="0"/>
            <w:vAlign w:val="center"/>
          </w:tcPr>
          <w:p w14:paraId="4092F750">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19.1</w:t>
            </w:r>
          </w:p>
        </w:tc>
        <w:tc>
          <w:tcPr>
            <w:tcW w:w="2025" w:type="dxa"/>
            <w:noWrap w:val="0"/>
            <w:vAlign w:val="center"/>
          </w:tcPr>
          <w:p w14:paraId="22B8ADA4">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磋商时间</w:t>
            </w:r>
          </w:p>
        </w:tc>
        <w:tc>
          <w:tcPr>
            <w:tcW w:w="5466" w:type="dxa"/>
            <w:noWrap w:val="0"/>
            <w:vAlign w:val="center"/>
          </w:tcPr>
          <w:p w14:paraId="3E92EC01">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u w:val="single"/>
                <w:lang w:val="en-US" w:eastAsia="zh-CN" w:bidi="ar-SA"/>
              </w:rPr>
              <w:t>同响应文件开启时间</w:t>
            </w:r>
          </w:p>
        </w:tc>
      </w:tr>
      <w:tr w14:paraId="43C32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Merge w:val="continue"/>
            <w:noWrap w:val="0"/>
            <w:vAlign w:val="center"/>
          </w:tcPr>
          <w:p w14:paraId="765E467F">
            <w:pPr>
              <w:pStyle w:val="33"/>
              <w:keepNext w:val="0"/>
              <w:keepLines w:val="0"/>
              <w:pageBreakBefore w:val="0"/>
              <w:widowControl w:val="0"/>
              <w:pBdr>
                <w:bottom w:val="none" w:color="auto" w:sz="0" w:space="0"/>
              </w:pBdr>
              <w:tabs>
                <w:tab w:val="clear" w:pos="4153"/>
                <w:tab w:val="clear" w:pos="8306"/>
              </w:tabs>
              <w:kinsoku/>
              <w:wordWrap w:val="0"/>
              <w:overflowPunct/>
              <w:topLinePunct w:val="0"/>
              <w:bidi w:val="0"/>
              <w:adjustRightInd/>
              <w:spacing w:line="440" w:lineRule="exact"/>
              <w:jc w:val="center"/>
              <w:textAlignment w:val="auto"/>
              <w:rPr>
                <w:rFonts w:hint="eastAsia" w:ascii="宋体" w:hAnsi="宋体" w:eastAsia="宋体" w:cs="宋体"/>
                <w:bCs/>
                <w:color w:val="auto"/>
                <w:kern w:val="2"/>
                <w:sz w:val="24"/>
                <w:szCs w:val="24"/>
                <w:highlight w:val="none"/>
                <w:lang w:val="en-US" w:eastAsia="zh-CN" w:bidi="ar-SA"/>
              </w:rPr>
            </w:pPr>
          </w:p>
        </w:tc>
        <w:tc>
          <w:tcPr>
            <w:tcW w:w="2025" w:type="dxa"/>
            <w:noWrap w:val="0"/>
            <w:vAlign w:val="center"/>
          </w:tcPr>
          <w:p w14:paraId="019289EA">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磋商地点</w:t>
            </w:r>
          </w:p>
        </w:tc>
        <w:tc>
          <w:tcPr>
            <w:tcW w:w="5466" w:type="dxa"/>
            <w:noWrap w:val="0"/>
            <w:vAlign w:val="center"/>
          </w:tcPr>
          <w:p w14:paraId="171B2F7C">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u w:val="single"/>
                <w:lang w:val="en-US" w:eastAsia="zh-CN" w:bidi="ar-SA"/>
              </w:rPr>
              <w:t>同响应文件开启地点</w:t>
            </w:r>
          </w:p>
        </w:tc>
      </w:tr>
      <w:tr w14:paraId="29759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4FE800A">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19.</w:t>
            </w:r>
            <w:r>
              <w:rPr>
                <w:rFonts w:hint="eastAsia" w:ascii="宋体" w:hAnsi="宋体" w:eastAsia="宋体" w:cs="宋体"/>
                <w:bCs/>
                <w:color w:val="auto"/>
                <w:sz w:val="24"/>
                <w:szCs w:val="24"/>
                <w:highlight w:val="none"/>
                <w:lang w:val="en-US" w:eastAsia="zh-CN"/>
              </w:rPr>
              <w:t>2</w:t>
            </w:r>
          </w:p>
        </w:tc>
        <w:tc>
          <w:tcPr>
            <w:tcW w:w="2025" w:type="dxa"/>
            <w:noWrap w:val="0"/>
            <w:vAlign w:val="center"/>
          </w:tcPr>
          <w:p w14:paraId="34148838">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评审方法</w:t>
            </w:r>
          </w:p>
        </w:tc>
        <w:tc>
          <w:tcPr>
            <w:tcW w:w="5466" w:type="dxa"/>
            <w:noWrap w:val="0"/>
            <w:vAlign w:val="center"/>
          </w:tcPr>
          <w:p w14:paraId="3B79B83D">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u w:val="none"/>
                <w:lang w:val="en-US" w:eastAsia="zh-CN" w:bidi="ar-SA"/>
              </w:rPr>
              <w:t>综合评分法</w:t>
            </w:r>
          </w:p>
        </w:tc>
      </w:tr>
      <w:tr w14:paraId="315F7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0074EDCE">
            <w:pPr>
              <w:tabs>
                <w:tab w:val="left" w:pos="0"/>
              </w:tabs>
              <w:spacing w:line="400" w:lineRule="exact"/>
              <w:jc w:val="center"/>
              <w:rPr>
                <w:rFonts w:hint="eastAsia" w:ascii="宋体" w:hAnsi="宋体" w:eastAsia="宋体" w:cs="宋体"/>
                <w:bCs/>
                <w:color w:val="auto"/>
                <w:sz w:val="24"/>
                <w:szCs w:val="24"/>
                <w:highlight w:val="none"/>
              </w:rPr>
            </w:pPr>
            <w:r>
              <w:rPr>
                <w:rFonts w:hint="eastAsia" w:ascii="宋体" w:hAnsi="宋体" w:eastAsia="宋体"/>
                <w:bCs/>
                <w:color w:val="auto"/>
                <w:highlight w:val="none"/>
              </w:rPr>
              <w:t>22.</w:t>
            </w:r>
            <w:r>
              <w:rPr>
                <w:rFonts w:hint="eastAsia" w:ascii="宋体" w:hAnsi="宋体" w:eastAsia="宋体"/>
                <w:bCs/>
                <w:color w:val="auto"/>
                <w:highlight w:val="none"/>
                <w:lang w:val="en-US" w:eastAsia="zh-CN"/>
              </w:rPr>
              <w:t>5</w:t>
            </w:r>
          </w:p>
        </w:tc>
        <w:tc>
          <w:tcPr>
            <w:tcW w:w="2025" w:type="dxa"/>
            <w:noWrap w:val="0"/>
            <w:vAlign w:val="center"/>
          </w:tcPr>
          <w:p w14:paraId="0464670C">
            <w:pPr>
              <w:pStyle w:val="32"/>
              <w:widowControl w:val="0"/>
              <w:spacing w:before="0" w:beforeAutospacing="0" w:after="0" w:afterAutospacing="0" w:line="360" w:lineRule="auto"/>
              <w:jc w:val="center"/>
              <w:rPr>
                <w:rFonts w:hint="eastAsia" w:ascii="宋体" w:hAnsi="宋体" w:eastAsia="宋体" w:cs="@仿宋_GB2312"/>
                <w:b w:val="0"/>
                <w:color w:val="auto"/>
                <w:sz w:val="24"/>
                <w:highlight w:val="none"/>
                <w:lang w:val="en-US" w:eastAsia="zh-CN" w:bidi="ar-SA"/>
              </w:rPr>
            </w:pPr>
            <w:r>
              <w:rPr>
                <w:rFonts w:hint="eastAsia" w:ascii="宋体" w:hAnsi="宋体" w:eastAsia="宋体" w:cs="@仿宋_GB2312"/>
                <w:b w:val="0"/>
                <w:color w:val="auto"/>
                <w:sz w:val="24"/>
                <w:highlight w:val="none"/>
                <w:lang w:val="en-US" w:eastAsia="zh-CN" w:bidi="ar-SA"/>
              </w:rPr>
              <w:t>最后报价扣除</w:t>
            </w:r>
          </w:p>
          <w:p w14:paraId="40936C49">
            <w:pPr>
              <w:pStyle w:val="32"/>
              <w:widowControl w:val="0"/>
              <w:spacing w:before="0" w:beforeAutospacing="0" w:after="0" w:afterAutospacing="0" w:line="360" w:lineRule="auto"/>
              <w:jc w:val="center"/>
              <w:rPr>
                <w:rFonts w:hint="eastAsia" w:ascii="宋体" w:hAnsi="宋体" w:eastAsia="宋体" w:cs="宋体"/>
                <w:b w:val="0"/>
                <w:color w:val="auto"/>
                <w:sz w:val="24"/>
                <w:szCs w:val="24"/>
                <w:highlight w:val="none"/>
                <w:lang w:val="en-US" w:eastAsia="zh-CN" w:bidi="ar-SA"/>
              </w:rPr>
            </w:pPr>
            <w:r>
              <w:rPr>
                <w:rFonts w:hint="eastAsia" w:ascii="宋体" w:hAnsi="宋体" w:eastAsia="宋体" w:cs="@仿宋_GB2312"/>
                <w:b w:val="0"/>
                <w:i/>
                <w:color w:val="auto"/>
                <w:sz w:val="24"/>
                <w:highlight w:val="none"/>
                <w:lang w:val="en-US" w:eastAsia="zh-CN" w:bidi="ar-SA"/>
              </w:rPr>
              <w:t>（非专门面向中小企业采购项目适用）</w:t>
            </w:r>
          </w:p>
        </w:tc>
        <w:tc>
          <w:tcPr>
            <w:tcW w:w="5466" w:type="dxa"/>
            <w:noWrap w:val="0"/>
            <w:vAlign w:val="center"/>
          </w:tcPr>
          <w:p w14:paraId="06C218D2">
            <w:pPr>
              <w:spacing w:line="360" w:lineRule="auto"/>
              <w:jc w:val="left"/>
              <w:rPr>
                <w:rFonts w:ascii="宋体" w:hAnsi="宋体" w:eastAsia="宋体"/>
                <w:bCs/>
                <w:color w:val="auto"/>
                <w:kern w:val="0"/>
                <w:sz w:val="24"/>
                <w:szCs w:val="28"/>
                <w:highlight w:val="none"/>
              </w:rPr>
            </w:pPr>
            <w:r>
              <w:rPr>
                <w:rFonts w:hint="eastAsia" w:ascii="宋体" w:hAnsi="宋体" w:eastAsia="宋体"/>
                <w:bCs/>
                <w:color w:val="auto"/>
                <w:kern w:val="0"/>
                <w:sz w:val="24"/>
                <w:szCs w:val="28"/>
                <w:highlight w:val="none"/>
                <w:lang w:val="en-US" w:eastAsia="zh-CN"/>
              </w:rPr>
              <w:t>1.</w:t>
            </w:r>
            <w:r>
              <w:rPr>
                <w:rFonts w:ascii="宋体" w:hAnsi="宋体" w:eastAsia="宋体"/>
                <w:bCs/>
                <w:color w:val="auto"/>
                <w:kern w:val="0"/>
                <w:sz w:val="24"/>
                <w:szCs w:val="28"/>
                <w:highlight w:val="none"/>
              </w:rPr>
              <w:t>小型和微型</w:t>
            </w:r>
            <w:r>
              <w:rPr>
                <w:rFonts w:hint="eastAsia" w:ascii="宋体" w:hAnsi="宋体" w:eastAsia="宋体"/>
                <w:bCs/>
                <w:color w:val="auto"/>
                <w:kern w:val="0"/>
                <w:sz w:val="24"/>
                <w:szCs w:val="28"/>
                <w:highlight w:val="none"/>
              </w:rPr>
              <w:t>企业价格扣除：</w:t>
            </w:r>
            <w:r>
              <w:rPr>
                <w:rFonts w:hint="eastAsia" w:ascii="宋体" w:hAnsi="宋体" w:eastAsia="宋体"/>
                <w:bCs/>
                <w:color w:val="auto"/>
                <w:kern w:val="0"/>
                <w:sz w:val="24"/>
                <w:szCs w:val="28"/>
                <w:highlight w:val="none"/>
                <w:u w:val="single"/>
                <w:lang w:val="en-US" w:eastAsia="zh-CN"/>
              </w:rPr>
              <w:t>10</w:t>
            </w:r>
            <w:r>
              <w:rPr>
                <w:rFonts w:ascii="宋体" w:hAnsi="宋体" w:eastAsia="宋体"/>
                <w:bCs/>
                <w:color w:val="auto"/>
                <w:kern w:val="0"/>
                <w:sz w:val="24"/>
                <w:szCs w:val="28"/>
                <w:highlight w:val="none"/>
              </w:rPr>
              <w:t>%</w:t>
            </w:r>
            <w:r>
              <w:rPr>
                <w:rFonts w:hint="eastAsia" w:ascii="宋体" w:hAnsi="宋体" w:eastAsia="宋体"/>
                <w:bCs/>
                <w:color w:val="auto"/>
                <w:kern w:val="0"/>
                <w:sz w:val="24"/>
                <w:szCs w:val="28"/>
                <w:highlight w:val="none"/>
              </w:rPr>
              <w:t>。</w:t>
            </w:r>
          </w:p>
          <w:p w14:paraId="3C7E2417">
            <w:pPr>
              <w:spacing w:line="360" w:lineRule="auto"/>
              <w:jc w:val="left"/>
              <w:rPr>
                <w:rFonts w:ascii="宋体" w:hAnsi="宋体" w:eastAsia="宋体"/>
                <w:bCs/>
                <w:color w:val="auto"/>
                <w:kern w:val="0"/>
                <w:sz w:val="24"/>
                <w:szCs w:val="28"/>
                <w:highlight w:val="none"/>
              </w:rPr>
            </w:pPr>
            <w:r>
              <w:rPr>
                <w:rFonts w:hint="eastAsia" w:ascii="宋体" w:hAnsi="宋体" w:eastAsia="宋体"/>
                <w:bCs/>
                <w:color w:val="auto"/>
                <w:kern w:val="0"/>
                <w:sz w:val="24"/>
                <w:szCs w:val="28"/>
                <w:highlight w:val="none"/>
                <w:lang w:val="en-US" w:eastAsia="zh-CN"/>
              </w:rPr>
              <w:t>2.</w:t>
            </w:r>
            <w:r>
              <w:rPr>
                <w:rFonts w:hint="eastAsia" w:ascii="宋体" w:hAnsi="宋体" w:eastAsia="宋体"/>
                <w:bCs/>
                <w:color w:val="auto"/>
                <w:kern w:val="0"/>
                <w:sz w:val="24"/>
                <w:szCs w:val="28"/>
                <w:highlight w:val="none"/>
              </w:rPr>
              <w:t>监狱企业价格扣除：</w:t>
            </w:r>
            <w:r>
              <w:rPr>
                <w:rFonts w:hint="eastAsia" w:ascii="宋体" w:hAnsi="宋体" w:eastAsia="宋体"/>
                <w:bCs/>
                <w:color w:val="auto"/>
                <w:kern w:val="0"/>
                <w:sz w:val="24"/>
                <w:szCs w:val="28"/>
                <w:highlight w:val="none"/>
                <w:u w:val="single"/>
              </w:rPr>
              <w:t>同</w:t>
            </w:r>
            <w:r>
              <w:rPr>
                <w:rFonts w:ascii="宋体" w:hAnsi="宋体" w:eastAsia="宋体"/>
                <w:bCs/>
                <w:color w:val="auto"/>
                <w:kern w:val="0"/>
                <w:sz w:val="24"/>
                <w:szCs w:val="28"/>
                <w:highlight w:val="none"/>
                <w:u w:val="single"/>
              </w:rPr>
              <w:t>小型和微型企业</w:t>
            </w:r>
            <w:r>
              <w:rPr>
                <w:rFonts w:hint="eastAsia" w:ascii="宋体" w:hAnsi="宋体" w:eastAsia="宋体"/>
                <w:bCs/>
                <w:color w:val="auto"/>
                <w:kern w:val="0"/>
                <w:sz w:val="24"/>
                <w:szCs w:val="28"/>
                <w:highlight w:val="none"/>
              </w:rPr>
              <w:t>。</w:t>
            </w:r>
          </w:p>
          <w:p w14:paraId="6678C8D5">
            <w:pPr>
              <w:spacing w:line="360" w:lineRule="auto"/>
              <w:jc w:val="left"/>
              <w:rPr>
                <w:rFonts w:ascii="宋体" w:hAnsi="宋体" w:eastAsia="宋体"/>
                <w:bCs/>
                <w:color w:val="auto"/>
                <w:kern w:val="0"/>
                <w:sz w:val="24"/>
                <w:szCs w:val="28"/>
                <w:highlight w:val="none"/>
              </w:rPr>
            </w:pPr>
            <w:r>
              <w:rPr>
                <w:rFonts w:hint="eastAsia" w:ascii="宋体" w:hAnsi="宋体" w:eastAsia="宋体"/>
                <w:bCs/>
                <w:color w:val="auto"/>
                <w:kern w:val="0"/>
                <w:sz w:val="24"/>
                <w:szCs w:val="28"/>
                <w:highlight w:val="none"/>
                <w:lang w:val="en-US" w:eastAsia="zh-CN"/>
              </w:rPr>
              <w:t>3.</w:t>
            </w:r>
            <w:r>
              <w:rPr>
                <w:rFonts w:hint="eastAsia" w:ascii="宋体" w:hAnsi="宋体" w:eastAsia="宋体"/>
                <w:bCs/>
                <w:color w:val="auto"/>
                <w:kern w:val="0"/>
                <w:sz w:val="24"/>
                <w:szCs w:val="28"/>
                <w:highlight w:val="none"/>
              </w:rPr>
              <w:t>残疾人福利性单位价格扣除：</w:t>
            </w:r>
            <w:r>
              <w:rPr>
                <w:rFonts w:hint="eastAsia" w:ascii="宋体" w:hAnsi="宋体" w:eastAsia="宋体"/>
                <w:bCs/>
                <w:color w:val="auto"/>
                <w:kern w:val="0"/>
                <w:sz w:val="24"/>
                <w:szCs w:val="28"/>
                <w:highlight w:val="none"/>
                <w:u w:val="single"/>
              </w:rPr>
              <w:t>同</w:t>
            </w:r>
            <w:r>
              <w:rPr>
                <w:rFonts w:ascii="宋体" w:hAnsi="宋体" w:eastAsia="宋体"/>
                <w:bCs/>
                <w:color w:val="auto"/>
                <w:kern w:val="0"/>
                <w:sz w:val="24"/>
                <w:szCs w:val="28"/>
                <w:highlight w:val="none"/>
                <w:u w:val="single"/>
              </w:rPr>
              <w:t>小型和微型企业</w:t>
            </w:r>
            <w:r>
              <w:rPr>
                <w:rFonts w:hint="eastAsia" w:ascii="宋体" w:hAnsi="宋体" w:eastAsia="宋体"/>
                <w:bCs/>
                <w:color w:val="auto"/>
                <w:kern w:val="0"/>
                <w:sz w:val="24"/>
                <w:szCs w:val="28"/>
                <w:highlight w:val="none"/>
              </w:rPr>
              <w:t>。</w:t>
            </w:r>
          </w:p>
          <w:p w14:paraId="044B40D4">
            <w:pPr>
              <w:spacing w:line="360" w:lineRule="auto"/>
              <w:jc w:val="left"/>
              <w:rPr>
                <w:rFonts w:ascii="宋体" w:hAnsi="宋体" w:eastAsia="宋体"/>
                <w:bCs/>
                <w:color w:val="auto"/>
                <w:kern w:val="0"/>
                <w:sz w:val="24"/>
                <w:szCs w:val="28"/>
                <w:highlight w:val="none"/>
              </w:rPr>
            </w:pPr>
            <w:r>
              <w:rPr>
                <w:rFonts w:hint="eastAsia" w:ascii="宋体" w:hAnsi="宋体" w:eastAsia="宋体"/>
                <w:bCs/>
                <w:color w:val="auto"/>
                <w:kern w:val="0"/>
                <w:sz w:val="24"/>
                <w:szCs w:val="28"/>
                <w:highlight w:val="none"/>
                <w:lang w:val="en-US" w:eastAsia="zh-CN"/>
              </w:rPr>
              <w:t>4.</w:t>
            </w:r>
            <w:r>
              <w:rPr>
                <w:rFonts w:hint="eastAsia" w:ascii="宋体" w:hAnsi="宋体" w:eastAsia="宋体"/>
                <w:bCs/>
                <w:color w:val="auto"/>
                <w:kern w:val="0"/>
                <w:sz w:val="24"/>
                <w:szCs w:val="28"/>
                <w:highlight w:val="none"/>
              </w:rPr>
              <w:t>符合条件的联合体价格扣除：</w:t>
            </w:r>
            <w:r>
              <w:rPr>
                <w:rFonts w:hint="eastAsia" w:ascii="宋体" w:hAnsi="宋体" w:eastAsia="宋体"/>
                <w:bCs/>
                <w:color w:val="auto"/>
                <w:kern w:val="0"/>
                <w:sz w:val="24"/>
                <w:szCs w:val="28"/>
                <w:highlight w:val="none"/>
                <w:u w:val="single"/>
              </w:rPr>
              <w:t xml:space="preserve"> </w:t>
            </w:r>
            <w:r>
              <w:rPr>
                <w:rFonts w:hint="eastAsia" w:ascii="宋体" w:hAnsi="宋体" w:eastAsia="宋体"/>
                <w:bCs/>
                <w:color w:val="auto"/>
                <w:kern w:val="0"/>
                <w:sz w:val="24"/>
                <w:szCs w:val="28"/>
                <w:highlight w:val="none"/>
                <w:u w:val="single"/>
                <w:lang w:val="en-US" w:eastAsia="zh-CN"/>
              </w:rPr>
              <w:t>4</w:t>
            </w:r>
            <w:r>
              <w:rPr>
                <w:rFonts w:hint="eastAsia" w:ascii="宋体" w:hAnsi="宋体" w:eastAsia="宋体"/>
                <w:bCs/>
                <w:color w:val="auto"/>
                <w:kern w:val="0"/>
                <w:sz w:val="24"/>
                <w:szCs w:val="28"/>
                <w:highlight w:val="none"/>
                <w:u w:val="single"/>
              </w:rPr>
              <w:t xml:space="preserve"> </w:t>
            </w:r>
            <w:r>
              <w:rPr>
                <w:rFonts w:ascii="宋体" w:hAnsi="宋体" w:eastAsia="宋体"/>
                <w:bCs/>
                <w:color w:val="auto"/>
                <w:kern w:val="0"/>
                <w:sz w:val="24"/>
                <w:szCs w:val="28"/>
                <w:highlight w:val="none"/>
              </w:rPr>
              <w:t>%</w:t>
            </w:r>
            <w:r>
              <w:rPr>
                <w:rFonts w:hint="eastAsia" w:ascii="宋体" w:hAnsi="宋体" w:eastAsia="宋体"/>
                <w:bCs/>
                <w:color w:val="auto"/>
                <w:kern w:val="0"/>
                <w:sz w:val="24"/>
                <w:szCs w:val="28"/>
                <w:highlight w:val="none"/>
              </w:rPr>
              <w:t>。</w:t>
            </w:r>
            <w:r>
              <w:rPr>
                <w:rFonts w:hint="eastAsia" w:ascii="宋体" w:hAnsi="宋体" w:eastAsia="宋体"/>
                <w:b w:val="0"/>
                <w:bCs w:val="0"/>
                <w:i/>
                <w:color w:val="auto"/>
                <w:kern w:val="2"/>
                <w:sz w:val="24"/>
                <w:szCs w:val="20"/>
                <w:highlight w:val="none"/>
              </w:rPr>
              <w:t>（</w:t>
            </w:r>
            <w:r>
              <w:rPr>
                <w:rFonts w:hint="eastAsia" w:ascii="宋体" w:hAnsi="宋体" w:eastAsia="宋体"/>
                <w:b w:val="0"/>
                <w:bCs w:val="0"/>
                <w:i/>
                <w:color w:val="auto"/>
                <w:kern w:val="2"/>
                <w:sz w:val="24"/>
                <w:szCs w:val="20"/>
                <w:highlight w:val="none"/>
                <w:lang w:val="en-US" w:eastAsia="zh-CN"/>
              </w:rPr>
              <w:t>接受</w:t>
            </w:r>
            <w:r>
              <w:rPr>
                <w:rFonts w:hint="eastAsia" w:ascii="宋体" w:hAnsi="宋体" w:eastAsia="宋体"/>
                <w:b w:val="0"/>
                <w:bCs w:val="0"/>
                <w:i/>
                <w:color w:val="auto"/>
                <w:kern w:val="2"/>
                <w:sz w:val="24"/>
                <w:szCs w:val="20"/>
                <w:highlight w:val="none"/>
              </w:rPr>
              <w:t>大中型企业</w:t>
            </w:r>
            <w:r>
              <w:rPr>
                <w:rFonts w:hint="eastAsia" w:ascii="宋体" w:hAnsi="宋体" w:eastAsia="宋体"/>
                <w:b w:val="0"/>
                <w:bCs w:val="0"/>
                <w:i/>
                <w:color w:val="auto"/>
                <w:kern w:val="2"/>
                <w:sz w:val="24"/>
                <w:szCs w:val="20"/>
                <w:highlight w:val="none"/>
                <w:lang w:val="en-US" w:eastAsia="zh-CN"/>
              </w:rPr>
              <w:t>与</w:t>
            </w:r>
            <w:r>
              <w:rPr>
                <w:rFonts w:hint="eastAsia" w:ascii="宋体" w:hAnsi="宋体" w:eastAsia="宋体"/>
                <w:b w:val="0"/>
                <w:bCs w:val="0"/>
                <w:i/>
                <w:color w:val="auto"/>
                <w:kern w:val="2"/>
                <w:sz w:val="24"/>
                <w:szCs w:val="20"/>
                <w:highlight w:val="none"/>
              </w:rPr>
              <w:t>小微企业</w:t>
            </w:r>
            <w:r>
              <w:rPr>
                <w:rFonts w:hint="eastAsia" w:ascii="宋体" w:hAnsi="宋体" w:eastAsia="宋体"/>
                <w:b w:val="0"/>
                <w:bCs w:val="0"/>
                <w:i/>
                <w:color w:val="auto"/>
                <w:kern w:val="2"/>
                <w:sz w:val="24"/>
                <w:szCs w:val="20"/>
                <w:highlight w:val="none"/>
                <w:lang w:val="en-US" w:eastAsia="zh-CN"/>
              </w:rPr>
              <w:t>组成联合体</w:t>
            </w:r>
            <w:r>
              <w:rPr>
                <w:rFonts w:hint="eastAsia" w:ascii="宋体" w:hAnsi="宋体" w:eastAsia="宋体"/>
                <w:b w:val="0"/>
                <w:bCs w:val="0"/>
                <w:i/>
                <w:color w:val="auto"/>
                <w:kern w:val="2"/>
                <w:sz w:val="24"/>
                <w:szCs w:val="20"/>
                <w:highlight w:val="none"/>
              </w:rPr>
              <w:t>的项目适用）</w:t>
            </w:r>
          </w:p>
          <w:p w14:paraId="6B6DC361">
            <w:pPr>
              <w:pStyle w:val="32"/>
              <w:widowControl w:val="0"/>
              <w:spacing w:before="0" w:beforeAutospacing="0" w:after="0" w:afterAutospacing="0" w:line="360" w:lineRule="auto"/>
              <w:jc w:val="left"/>
              <w:rPr>
                <w:rFonts w:hint="eastAsia" w:ascii="宋体" w:hAnsi="宋体" w:eastAsia="宋体" w:cs="宋体"/>
                <w:b w:val="0"/>
                <w:color w:val="auto"/>
                <w:sz w:val="24"/>
                <w:szCs w:val="24"/>
                <w:highlight w:val="none"/>
                <w:u w:val="none"/>
                <w:lang w:val="en-US" w:eastAsia="zh-CN" w:bidi="ar-SA"/>
              </w:rPr>
            </w:pPr>
            <w:r>
              <w:rPr>
                <w:rFonts w:hint="eastAsia" w:ascii="宋体" w:hAnsi="宋体" w:eastAsia="宋体" w:cs="@仿宋_GB2312"/>
                <w:b w:val="0"/>
                <w:bCs w:val="0"/>
                <w:color w:val="auto"/>
                <w:kern w:val="2"/>
                <w:sz w:val="24"/>
                <w:szCs w:val="20"/>
                <w:highlight w:val="none"/>
                <w:lang w:val="en-US" w:eastAsia="zh-CN" w:bidi="ar-SA"/>
              </w:rPr>
              <w:t>5.符合条件的向小微企业分包的大中型企业价格扣除：</w:t>
            </w:r>
            <w:r>
              <w:rPr>
                <w:rFonts w:hint="eastAsia" w:ascii="宋体" w:hAnsi="宋体" w:eastAsia="宋体" w:cs="@仿宋_GB2312"/>
                <w:b w:val="0"/>
                <w:bCs w:val="0"/>
                <w:color w:val="auto"/>
                <w:kern w:val="2"/>
                <w:sz w:val="24"/>
                <w:szCs w:val="20"/>
                <w:highlight w:val="none"/>
                <w:u w:val="single"/>
                <w:lang w:val="en-US" w:eastAsia="zh-CN" w:bidi="ar-SA"/>
              </w:rPr>
              <w:t xml:space="preserve">4 </w:t>
            </w:r>
            <w:r>
              <w:rPr>
                <w:rFonts w:ascii="宋体" w:hAnsi="宋体" w:eastAsia="宋体" w:cs="@仿宋_GB2312"/>
                <w:b w:val="0"/>
                <w:bCs w:val="0"/>
                <w:color w:val="auto"/>
                <w:kern w:val="2"/>
                <w:sz w:val="24"/>
                <w:szCs w:val="20"/>
                <w:highlight w:val="none"/>
                <w:lang w:val="en-US" w:eastAsia="zh-CN" w:bidi="ar-SA"/>
              </w:rPr>
              <w:t>%</w:t>
            </w:r>
            <w:r>
              <w:rPr>
                <w:rFonts w:hint="eastAsia" w:ascii="宋体" w:hAnsi="宋体" w:eastAsia="宋体" w:cs="@仿宋_GB2312"/>
                <w:b w:val="0"/>
                <w:bCs w:val="0"/>
                <w:color w:val="auto"/>
                <w:kern w:val="2"/>
                <w:sz w:val="24"/>
                <w:szCs w:val="20"/>
                <w:highlight w:val="none"/>
                <w:lang w:val="en-US" w:eastAsia="zh-CN" w:bidi="ar-SA"/>
              </w:rPr>
              <w:t>。</w:t>
            </w:r>
            <w:r>
              <w:rPr>
                <w:rFonts w:hint="eastAsia" w:ascii="宋体" w:hAnsi="宋体" w:eastAsia="宋体" w:cs="@仿宋_GB2312"/>
                <w:b w:val="0"/>
                <w:bCs w:val="0"/>
                <w:i/>
                <w:color w:val="auto"/>
                <w:kern w:val="2"/>
                <w:sz w:val="24"/>
                <w:szCs w:val="20"/>
                <w:highlight w:val="none"/>
                <w:lang w:val="en-US" w:eastAsia="zh-CN" w:bidi="ar-SA"/>
              </w:rPr>
              <w:t>（允许大中型企业向小微企业分包的项目适用）</w:t>
            </w:r>
          </w:p>
        </w:tc>
      </w:tr>
      <w:tr w14:paraId="61927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Merge w:val="restart"/>
            <w:noWrap w:val="0"/>
            <w:vAlign w:val="center"/>
          </w:tcPr>
          <w:p w14:paraId="690DC9D1">
            <w:pPr>
              <w:pStyle w:val="33"/>
              <w:keepNext w:val="0"/>
              <w:keepLines w:val="0"/>
              <w:pageBreakBefore w:val="0"/>
              <w:widowControl w:val="0"/>
              <w:pBdr>
                <w:bottom w:val="none" w:color="auto" w:sz="0" w:space="0"/>
              </w:pBdr>
              <w:tabs>
                <w:tab w:val="left" w:pos="0"/>
                <w:tab w:val="clear" w:pos="4153"/>
                <w:tab w:val="clear" w:pos="8306"/>
              </w:tabs>
              <w:kinsoku/>
              <w:wordWrap w:val="0"/>
              <w:overflowPunct/>
              <w:topLinePunct w:val="0"/>
              <w:bidi w:val="0"/>
              <w:adjustRightInd/>
              <w:spacing w:line="440" w:lineRule="exact"/>
              <w:jc w:val="center"/>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24.1</w:t>
            </w:r>
          </w:p>
        </w:tc>
        <w:tc>
          <w:tcPr>
            <w:tcW w:w="2025" w:type="dxa"/>
            <w:vMerge w:val="restart"/>
            <w:noWrap w:val="0"/>
            <w:vAlign w:val="center"/>
          </w:tcPr>
          <w:p w14:paraId="612CFE94">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确定成交候选供应商和成交供应商</w:t>
            </w:r>
          </w:p>
        </w:tc>
        <w:tc>
          <w:tcPr>
            <w:tcW w:w="5466" w:type="dxa"/>
            <w:noWrap w:val="0"/>
            <w:vAlign w:val="center"/>
          </w:tcPr>
          <w:p w14:paraId="4891C4A7">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u w:val="single"/>
                <w:lang w:val="en-US" w:eastAsia="zh-CN" w:bidi="ar-SA"/>
              </w:rPr>
            </w:pPr>
            <w:r>
              <w:rPr>
                <w:rFonts w:hint="eastAsia" w:ascii="宋体" w:hAnsi="宋体" w:eastAsia="宋体" w:cs="宋体"/>
                <w:b w:val="0"/>
                <w:color w:val="auto"/>
                <w:sz w:val="24"/>
                <w:szCs w:val="24"/>
                <w:highlight w:val="none"/>
                <w:lang w:val="en-US" w:eastAsia="zh-CN" w:bidi="ar-SA"/>
              </w:rPr>
              <w:t xml:space="preserve">磋商小组推荐成交候选供应商的数量：1-3家 </w:t>
            </w:r>
          </w:p>
        </w:tc>
      </w:tr>
      <w:tr w14:paraId="4BB68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Merge w:val="continue"/>
            <w:noWrap w:val="0"/>
            <w:vAlign w:val="center"/>
          </w:tcPr>
          <w:p w14:paraId="36EA242D">
            <w:pPr>
              <w:pStyle w:val="33"/>
              <w:keepNext w:val="0"/>
              <w:keepLines w:val="0"/>
              <w:pageBreakBefore w:val="0"/>
              <w:widowControl w:val="0"/>
              <w:pBdr>
                <w:bottom w:val="none" w:color="auto" w:sz="0" w:space="0"/>
              </w:pBdr>
              <w:tabs>
                <w:tab w:val="clear" w:pos="4153"/>
                <w:tab w:val="clear" w:pos="8306"/>
              </w:tabs>
              <w:kinsoku/>
              <w:wordWrap w:val="0"/>
              <w:overflowPunct/>
              <w:topLinePunct w:val="0"/>
              <w:bidi w:val="0"/>
              <w:adjustRightInd/>
              <w:spacing w:line="440" w:lineRule="exact"/>
              <w:jc w:val="center"/>
              <w:textAlignment w:val="auto"/>
              <w:rPr>
                <w:rFonts w:hint="eastAsia" w:ascii="宋体" w:hAnsi="宋体" w:eastAsia="宋体" w:cs="宋体"/>
                <w:bCs/>
                <w:color w:val="auto"/>
                <w:kern w:val="2"/>
                <w:sz w:val="24"/>
                <w:szCs w:val="24"/>
                <w:highlight w:val="none"/>
                <w:lang w:val="en-US" w:eastAsia="zh-CN" w:bidi="ar-SA"/>
              </w:rPr>
            </w:pPr>
          </w:p>
        </w:tc>
        <w:tc>
          <w:tcPr>
            <w:tcW w:w="2025" w:type="dxa"/>
            <w:vMerge w:val="continue"/>
            <w:noWrap w:val="0"/>
            <w:vAlign w:val="center"/>
          </w:tcPr>
          <w:p w14:paraId="343BFB33">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p>
        </w:tc>
        <w:tc>
          <w:tcPr>
            <w:tcW w:w="5466" w:type="dxa"/>
            <w:noWrap w:val="0"/>
            <w:vAlign w:val="center"/>
          </w:tcPr>
          <w:p w14:paraId="44170E11">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确定成交供应商：</w:t>
            </w:r>
          </w:p>
          <w:p w14:paraId="227AD032">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w:t>
            </w:r>
            <w:r>
              <w:rPr>
                <w:rFonts w:hint="eastAsia" w:ascii="宋体" w:hAnsi="宋体" w:eastAsia="宋体" w:cs="宋体"/>
                <w:b w:val="0"/>
                <w:color w:val="auto"/>
                <w:sz w:val="24"/>
                <w:szCs w:val="24"/>
                <w:highlight w:val="none"/>
                <w:lang w:val="en-US" w:eastAsia="zh-CN" w:bidi="ar-SA"/>
              </w:rPr>
              <w:t>采购人委托磋商小组确定     □采购人确定</w:t>
            </w:r>
          </w:p>
        </w:tc>
      </w:tr>
      <w:tr w14:paraId="03B77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39E25784">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27.2</w:t>
            </w:r>
          </w:p>
        </w:tc>
        <w:tc>
          <w:tcPr>
            <w:tcW w:w="2025" w:type="dxa"/>
            <w:noWrap w:val="0"/>
            <w:vAlign w:val="center"/>
          </w:tcPr>
          <w:p w14:paraId="3E835E58">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随成交结果公告同时公告的内容</w:t>
            </w:r>
          </w:p>
        </w:tc>
        <w:tc>
          <w:tcPr>
            <w:tcW w:w="5466" w:type="dxa"/>
            <w:noWrap w:val="0"/>
            <w:vAlign w:val="center"/>
          </w:tcPr>
          <w:p w14:paraId="4C59EAEB">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（1）无重大违法记录声明函、无不良信用记录声明函；</w:t>
            </w:r>
          </w:p>
          <w:p w14:paraId="12EAA485">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（2）主要成交标的承诺函；</w:t>
            </w:r>
          </w:p>
          <w:p w14:paraId="6C19D7E5">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（3）磋商业绩承诺函；（如有）</w:t>
            </w:r>
          </w:p>
          <w:p w14:paraId="6BF96043">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（4）中小企业声明函；（如有）</w:t>
            </w:r>
          </w:p>
          <w:p w14:paraId="30BB69FC">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（5）残疾人福利性单位声明函；（如有）</w:t>
            </w:r>
          </w:p>
          <w:p w14:paraId="03337A08">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val="0"/>
                <w:color w:val="auto"/>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bidi="ar-SA"/>
              </w:rPr>
              <w:t>（6）磋商文件中规定进行公示的其他内容。（如有）</w:t>
            </w:r>
          </w:p>
        </w:tc>
      </w:tr>
      <w:tr w14:paraId="3B7AB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097D3CD4">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30.1</w:t>
            </w:r>
          </w:p>
        </w:tc>
        <w:tc>
          <w:tcPr>
            <w:tcW w:w="2025" w:type="dxa"/>
            <w:noWrap w:val="0"/>
            <w:vAlign w:val="center"/>
          </w:tcPr>
          <w:p w14:paraId="5990016C">
            <w:pPr>
              <w:pStyle w:val="32"/>
              <w:keepNext w:val="0"/>
              <w:keepLines w:val="0"/>
              <w:pageBreakBefore w:val="0"/>
              <w:widowControl w:val="0"/>
              <w:kinsoku/>
              <w:wordWrap w:val="0"/>
              <w:overflowPunct/>
              <w:topLinePunct w:val="0"/>
              <w:autoSpaceDE/>
              <w:autoSpaceDN/>
              <w:bidi w:val="0"/>
              <w:adjustRightInd/>
              <w:spacing w:before="0" w:beforeAutospacing="0" w:after="0" w:afterAutospacing="0" w:line="440" w:lineRule="exact"/>
              <w:ind w:firstLine="0" w:firstLineChars="0"/>
              <w:jc w:val="both"/>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履约保证金</w:t>
            </w:r>
          </w:p>
        </w:tc>
        <w:tc>
          <w:tcPr>
            <w:tcW w:w="5466" w:type="dxa"/>
            <w:noWrap w:val="0"/>
            <w:vAlign w:val="center"/>
          </w:tcPr>
          <w:p w14:paraId="1D2FAE0D">
            <w:pPr>
              <w:pStyle w:val="32"/>
              <w:keepNext w:val="0"/>
              <w:keepLines w:val="0"/>
              <w:pageBreakBefore w:val="0"/>
              <w:widowControl w:val="0"/>
              <w:kinsoku/>
              <w:wordWrap w:val="0"/>
              <w:overflowPunct/>
              <w:topLinePunct w:val="0"/>
              <w:autoSpaceDE/>
              <w:autoSpaceDN/>
              <w:bidi w:val="0"/>
              <w:adjustRightInd/>
              <w:spacing w:before="0" w:beforeAutospacing="0" w:after="0" w:afterAutospacing="0" w:line="440" w:lineRule="exact"/>
              <w:ind w:firstLine="0" w:firstLineChars="0"/>
              <w:jc w:val="both"/>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免收</w:t>
            </w:r>
          </w:p>
        </w:tc>
      </w:tr>
      <w:tr w14:paraId="5F5D4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7464B844">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31.1</w:t>
            </w:r>
          </w:p>
        </w:tc>
        <w:tc>
          <w:tcPr>
            <w:tcW w:w="2025" w:type="dxa"/>
            <w:noWrap w:val="0"/>
            <w:vAlign w:val="center"/>
          </w:tcPr>
          <w:p w14:paraId="0534F5A3">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采购代理服务费</w:t>
            </w:r>
          </w:p>
        </w:tc>
        <w:tc>
          <w:tcPr>
            <w:tcW w:w="5466" w:type="dxa"/>
            <w:noWrap w:val="0"/>
            <w:vAlign w:val="center"/>
          </w:tcPr>
          <w:p w14:paraId="20FF2F6C">
            <w:pPr>
              <w:pStyle w:val="32"/>
              <w:widowControl w:val="0"/>
              <w:spacing w:before="0" w:beforeAutospacing="0" w:after="0" w:afterAutospacing="0" w:line="360" w:lineRule="auto"/>
              <w:jc w:val="both"/>
              <w:rPr>
                <w:rFonts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成交服务费由成交供应商支付。（1）项目中标金额≤10万元，固定金额收取3000元；（2）项目中标金额＞10万元且中标金额≤30万元，固定金额收取4000元；（3）项目中标金额＞30万，按计价格【2002】1980号文件相应项目类型收费标准收取</w:t>
            </w:r>
          </w:p>
          <w:p w14:paraId="6EE891CB">
            <w:pPr>
              <w:pStyle w:val="32"/>
              <w:widowControl w:val="0"/>
              <w:spacing w:before="0" w:beforeAutospacing="0" w:after="0" w:afterAutospacing="0" w:line="360" w:lineRule="auto"/>
              <w:jc w:val="both"/>
              <w:rPr>
                <w:rFonts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采购代理服务费收取账户信息如下：</w:t>
            </w:r>
          </w:p>
          <w:p w14:paraId="7FE8E0E0">
            <w:pPr>
              <w:pStyle w:val="32"/>
              <w:widowControl w:val="0"/>
              <w:spacing w:before="0" w:beforeAutospacing="0" w:after="0" w:afterAutospacing="0" w:line="360" w:lineRule="auto"/>
              <w:jc w:val="both"/>
              <w:rPr>
                <w:rFonts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账户名称：鼎信数智技术集团股份有限公司</w:t>
            </w:r>
          </w:p>
          <w:p w14:paraId="77D0A182">
            <w:pPr>
              <w:pStyle w:val="32"/>
              <w:widowControl w:val="0"/>
              <w:spacing w:before="0" w:beforeAutospacing="0" w:after="0" w:afterAutospacing="0" w:line="360" w:lineRule="auto"/>
              <w:jc w:val="both"/>
              <w:rPr>
                <w:rFonts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银行账号：1302010519200219520</w:t>
            </w:r>
          </w:p>
          <w:p w14:paraId="5BB5B9E3">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val="0"/>
                <w:color w:val="auto"/>
                <w:sz w:val="24"/>
                <w:szCs w:val="24"/>
                <w:highlight w:val="none"/>
              </w:rPr>
              <w:t>开户行：</w:t>
            </w:r>
            <w:r>
              <w:rPr>
                <w:rFonts w:hint="eastAsia" w:ascii="宋体" w:hAnsi="宋体" w:eastAsia="宋体" w:cs="宋体"/>
                <w:snapToGrid/>
                <w:color w:val="auto"/>
                <w:kern w:val="0"/>
                <w:sz w:val="24"/>
                <w:szCs w:val="24"/>
                <w:highlight w:val="none"/>
                <w:lang w:val="en-US" w:eastAsia="zh-CN" w:bidi="ar-SA"/>
              </w:rPr>
              <w:t>中国工商银行股份有限公司合肥包河支行</w:t>
            </w:r>
          </w:p>
        </w:tc>
      </w:tr>
      <w:tr w14:paraId="677D2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3A688FE1">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34.2</w:t>
            </w:r>
          </w:p>
        </w:tc>
        <w:tc>
          <w:tcPr>
            <w:tcW w:w="2025" w:type="dxa"/>
            <w:noWrap w:val="0"/>
            <w:vAlign w:val="center"/>
          </w:tcPr>
          <w:p w14:paraId="3B7F8AA2">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质疑期</w:t>
            </w:r>
          </w:p>
        </w:tc>
        <w:tc>
          <w:tcPr>
            <w:tcW w:w="5466" w:type="dxa"/>
            <w:noWrap w:val="0"/>
            <w:vAlign w:val="center"/>
          </w:tcPr>
          <w:p w14:paraId="34E1B71B">
            <w:pPr>
              <w:pStyle w:val="32"/>
              <w:keepNext w:val="0"/>
              <w:keepLines w:val="0"/>
              <w:pageBreakBefore w:val="0"/>
              <w:widowControl w:val="0"/>
              <w:numPr>
                <w:ilvl w:val="0"/>
                <w:numId w:val="0"/>
              </w:numPr>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1.对磋商文件的质疑：获取磋商文件时间内；</w:t>
            </w:r>
          </w:p>
          <w:p w14:paraId="39991831">
            <w:pPr>
              <w:pStyle w:val="32"/>
              <w:keepNext w:val="0"/>
              <w:keepLines w:val="0"/>
              <w:pageBreakBefore w:val="0"/>
              <w:widowControl w:val="0"/>
              <w:numPr>
                <w:ilvl w:val="0"/>
                <w:numId w:val="0"/>
              </w:numPr>
              <w:kinsoku/>
              <w:wordWrap w:val="0"/>
              <w:overflowPunct/>
              <w:topLinePunct w:val="0"/>
              <w:bidi w:val="0"/>
              <w:spacing w:before="0" w:beforeAutospacing="0" w:after="0" w:afterAutospacing="0" w:line="440" w:lineRule="exact"/>
              <w:jc w:val="left"/>
              <w:textAlignment w:val="auto"/>
              <w:rPr>
                <w:rFonts w:hint="default" w:ascii="Arial" w:hAnsi="Arial" w:eastAsia="宋体" w:cs="Arial"/>
                <w:b w:val="0"/>
                <w:color w:val="auto"/>
                <w:sz w:val="24"/>
                <w:highlight w:val="none"/>
                <w:lang w:val="en-US" w:eastAsia="zh-CN" w:bidi="ar-SA"/>
              </w:rPr>
            </w:pPr>
            <w:r>
              <w:rPr>
                <w:rFonts w:hint="eastAsia" w:ascii="Arial" w:hAnsi="Arial" w:eastAsia="宋体" w:cs="Arial"/>
                <w:b w:val="0"/>
                <w:color w:val="auto"/>
                <w:sz w:val="24"/>
                <w:highlight w:val="none"/>
                <w:lang w:val="en-US" w:eastAsia="zh-CN" w:bidi="ar-SA"/>
              </w:rPr>
              <w:t>2.对采购过程的质疑：相应采购程序环节结束之日起3日内；</w:t>
            </w:r>
          </w:p>
          <w:p w14:paraId="69C2E3ED">
            <w:pPr>
              <w:pStyle w:val="32"/>
              <w:keepNext w:val="0"/>
              <w:keepLines w:val="0"/>
              <w:pageBreakBefore w:val="0"/>
              <w:widowControl w:val="0"/>
              <w:numPr>
                <w:ilvl w:val="0"/>
                <w:numId w:val="0"/>
              </w:numPr>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3.对成交结果的质疑：成交结果公告发出之日起3日内。</w:t>
            </w:r>
          </w:p>
        </w:tc>
      </w:tr>
      <w:tr w14:paraId="5CB37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28241E8F">
            <w:pPr>
              <w:pStyle w:val="33"/>
              <w:keepNext w:val="0"/>
              <w:keepLines w:val="0"/>
              <w:pageBreakBefore w:val="0"/>
              <w:widowControl w:val="0"/>
              <w:pBdr>
                <w:bottom w:val="none" w:color="auto" w:sz="0" w:space="0"/>
              </w:pBdr>
              <w:tabs>
                <w:tab w:val="left" w:pos="0"/>
                <w:tab w:val="clear" w:pos="4153"/>
                <w:tab w:val="clear" w:pos="8306"/>
              </w:tabs>
              <w:kinsoku/>
              <w:wordWrap w:val="0"/>
              <w:overflowPunct/>
              <w:topLinePunct w:val="0"/>
              <w:bidi w:val="0"/>
              <w:adjustRightInd/>
              <w:spacing w:line="440" w:lineRule="exact"/>
              <w:jc w:val="center"/>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34.3</w:t>
            </w:r>
          </w:p>
        </w:tc>
        <w:tc>
          <w:tcPr>
            <w:tcW w:w="2025" w:type="dxa"/>
            <w:noWrap w:val="0"/>
            <w:vAlign w:val="center"/>
          </w:tcPr>
          <w:p w14:paraId="53CDAB08">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质疑函提交方式、接收部门、联系电话和通讯地址</w:t>
            </w:r>
          </w:p>
        </w:tc>
        <w:tc>
          <w:tcPr>
            <w:tcW w:w="5466" w:type="dxa"/>
            <w:noWrap w:val="0"/>
            <w:vAlign w:val="center"/>
          </w:tcPr>
          <w:p w14:paraId="59D9AF32">
            <w:pPr>
              <w:pStyle w:val="32"/>
              <w:widowControl w:val="0"/>
              <w:spacing w:before="0" w:beforeAutospacing="0" w:after="0" w:afterAutospacing="0" w:line="360" w:lineRule="auto"/>
              <w:jc w:val="left"/>
              <w:rPr>
                <w:rFonts w:ascii="宋体" w:hAnsi="宋体" w:eastAsia="宋体" w:cs="@仿宋_GB2312"/>
                <w:b w:val="0"/>
                <w:color w:val="auto"/>
                <w:sz w:val="24"/>
                <w:highlight w:val="none"/>
                <w:lang w:val="en-US" w:eastAsia="zh-CN" w:bidi="ar-SA"/>
              </w:rPr>
            </w:pPr>
            <w:r>
              <w:rPr>
                <w:rFonts w:hint="eastAsia" w:ascii="宋体" w:hAnsi="宋体" w:eastAsia="宋体" w:cs="@仿宋_GB2312"/>
                <w:b w:val="0"/>
                <w:color w:val="auto"/>
                <w:sz w:val="24"/>
                <w:highlight w:val="none"/>
                <w:lang w:val="en-US" w:eastAsia="zh-CN" w:bidi="ar-SA"/>
              </w:rPr>
              <w:t>提交方式：</w:t>
            </w:r>
            <w:r>
              <w:rPr>
                <w:rFonts w:hint="eastAsia" w:ascii="宋体" w:hAnsi="宋体" w:eastAsia="宋体" w:cs="@仿宋_GB2312"/>
                <w:b w:val="0"/>
                <w:color w:val="auto"/>
                <w:sz w:val="24"/>
                <w:highlight w:val="none"/>
                <w:u w:val="single"/>
                <w:lang w:val="en-US" w:eastAsia="zh-CN" w:bidi="ar-SA"/>
              </w:rPr>
              <w:t>书面形式</w:t>
            </w:r>
          </w:p>
          <w:p w14:paraId="4ACD9792">
            <w:pPr>
              <w:pStyle w:val="32"/>
              <w:widowControl w:val="0"/>
              <w:spacing w:before="0" w:beforeAutospacing="0" w:after="0" w:afterAutospacing="0" w:line="360" w:lineRule="auto"/>
              <w:jc w:val="left"/>
              <w:rPr>
                <w:rFonts w:hint="eastAsia" w:ascii="宋体" w:hAnsi="宋体" w:eastAsia="宋体" w:cs="宋体"/>
                <w:b w:val="0"/>
                <w:bCs w:val="0"/>
                <w:color w:val="auto"/>
                <w:sz w:val="24"/>
                <w:szCs w:val="18"/>
                <w:highlight w:val="none"/>
                <w:u w:val="single"/>
                <w:lang w:val="en-US" w:eastAsia="zh-CN" w:bidi="ar-SA"/>
              </w:rPr>
            </w:pPr>
            <w:r>
              <w:rPr>
                <w:rFonts w:hint="eastAsia" w:ascii="宋体" w:hAnsi="宋体" w:eastAsia="宋体" w:cs="@仿宋_GB2312"/>
                <w:b w:val="0"/>
                <w:color w:val="auto"/>
                <w:sz w:val="24"/>
                <w:highlight w:val="none"/>
                <w:lang w:val="en-US" w:eastAsia="zh-CN" w:bidi="ar-SA"/>
              </w:rPr>
              <w:t>接收部门：</w:t>
            </w:r>
            <w:r>
              <w:rPr>
                <w:rFonts w:hint="eastAsia" w:ascii="宋体" w:hAnsi="宋体" w:eastAsia="宋体" w:cs="@仿宋_GB2312"/>
                <w:b w:val="0"/>
                <w:bCs w:val="0"/>
                <w:color w:val="auto"/>
                <w:sz w:val="24"/>
                <w:szCs w:val="18"/>
                <w:highlight w:val="none"/>
                <w:u w:val="single"/>
                <w:lang w:val="en-US" w:eastAsia="zh-CN" w:bidi="ar-SA"/>
              </w:rPr>
              <w:t xml:space="preserve"> </w:t>
            </w:r>
            <w:r>
              <w:rPr>
                <w:rFonts w:hint="eastAsia" w:ascii="宋体" w:hAnsi="宋体" w:eastAsia="宋体" w:cs="宋体"/>
                <w:b w:val="0"/>
                <w:color w:val="auto"/>
                <w:sz w:val="24"/>
                <w:highlight w:val="none"/>
                <w:u w:val="single"/>
                <w:lang w:val="en-US" w:eastAsia="zh-CN" w:bidi="ar-SA"/>
              </w:rPr>
              <w:t>鼎信数智技术集团股份有限公司</w:t>
            </w:r>
            <w:r>
              <w:rPr>
                <w:rFonts w:hint="eastAsia" w:ascii="宋体" w:hAnsi="宋体" w:eastAsia="宋体" w:cs="宋体"/>
                <w:b w:val="0"/>
                <w:bCs w:val="0"/>
                <w:color w:val="auto"/>
                <w:sz w:val="24"/>
                <w:szCs w:val="18"/>
                <w:highlight w:val="none"/>
                <w:u w:val="single"/>
                <w:lang w:val="en-US" w:eastAsia="zh-CN" w:bidi="ar-SA"/>
              </w:rPr>
              <w:t xml:space="preserve"> </w:t>
            </w:r>
          </w:p>
          <w:p w14:paraId="74EB65B9">
            <w:pPr>
              <w:pStyle w:val="32"/>
              <w:widowControl w:val="0"/>
              <w:spacing w:before="0" w:beforeAutospacing="0" w:after="0" w:afterAutospacing="0" w:line="360" w:lineRule="auto"/>
              <w:jc w:val="left"/>
              <w:rPr>
                <w:rFonts w:hint="eastAsia" w:ascii="宋体" w:hAnsi="宋体" w:eastAsia="宋体" w:cs="宋体"/>
                <w:b w:val="0"/>
                <w:bCs w:val="0"/>
                <w:color w:val="auto"/>
                <w:sz w:val="24"/>
                <w:szCs w:val="18"/>
                <w:highlight w:val="none"/>
                <w:u w:val="single"/>
                <w:lang w:val="en-US" w:eastAsia="zh-CN" w:bidi="ar-SA"/>
              </w:rPr>
            </w:pPr>
            <w:r>
              <w:rPr>
                <w:rFonts w:hint="eastAsia" w:ascii="宋体" w:hAnsi="宋体" w:eastAsia="宋体" w:cs="宋体"/>
                <w:b w:val="0"/>
                <w:color w:val="auto"/>
                <w:sz w:val="24"/>
                <w:highlight w:val="none"/>
                <w:lang w:val="en-US" w:eastAsia="zh-CN" w:bidi="ar-SA"/>
              </w:rPr>
              <w:t>联系电话：</w:t>
            </w:r>
            <w:r>
              <w:rPr>
                <w:rFonts w:hint="eastAsia" w:ascii="宋体" w:hAnsi="宋体" w:eastAsia="宋体" w:cs="宋体"/>
                <w:b w:val="0"/>
                <w:color w:val="auto"/>
                <w:sz w:val="24"/>
                <w:highlight w:val="none"/>
                <w:u w:val="single"/>
                <w:lang w:val="en-US" w:eastAsia="zh-CN" w:bidi="ar-SA"/>
              </w:rPr>
              <w:t>18226628215</w:t>
            </w:r>
          </w:p>
          <w:p w14:paraId="73F06DA6">
            <w:pPr>
              <w:pStyle w:val="32"/>
              <w:widowControl w:val="0"/>
              <w:spacing w:before="0" w:beforeAutospacing="0" w:after="0" w:afterAutospacing="0" w:line="360" w:lineRule="auto"/>
              <w:jc w:val="left"/>
              <w:rPr>
                <w:rFonts w:hint="eastAsia" w:ascii="宋体" w:hAnsi="宋体" w:eastAsia="宋体" w:cs="宋体"/>
                <w:b w:val="0"/>
                <w:color w:val="auto"/>
                <w:sz w:val="24"/>
                <w:highlight w:val="none"/>
                <w:lang w:val="en-US" w:eastAsia="zh-CN" w:bidi="ar-SA"/>
              </w:rPr>
            </w:pPr>
            <w:r>
              <w:rPr>
                <w:rFonts w:hint="eastAsia" w:ascii="宋体" w:hAnsi="宋体" w:eastAsia="宋体" w:cs="宋体"/>
                <w:b w:val="0"/>
                <w:color w:val="auto"/>
                <w:sz w:val="24"/>
                <w:highlight w:val="none"/>
                <w:lang w:val="en-US" w:eastAsia="zh-CN" w:bidi="ar-SA"/>
              </w:rPr>
              <w:t>电子邮箱：</w:t>
            </w:r>
            <w:r>
              <w:rPr>
                <w:rFonts w:hint="eastAsia" w:ascii="宋体" w:hAnsi="宋体" w:eastAsia="宋体" w:cs="宋体"/>
                <w:b w:val="0"/>
                <w:bCs w:val="0"/>
                <w:color w:val="auto"/>
                <w:sz w:val="24"/>
                <w:szCs w:val="18"/>
                <w:highlight w:val="none"/>
                <w:u w:val="single"/>
                <w:lang w:val="en-US" w:eastAsia="zh-CN" w:bidi="ar-SA"/>
              </w:rPr>
              <w:t xml:space="preserve"> 450640644@qq.com  </w:t>
            </w:r>
          </w:p>
          <w:p w14:paraId="2F53D5C1">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highlight w:val="none"/>
                <w:lang w:val="en-US" w:eastAsia="zh-CN" w:bidi="ar-SA"/>
              </w:rPr>
              <w:t>通讯地址：</w:t>
            </w:r>
            <w:r>
              <w:rPr>
                <w:rFonts w:hint="eastAsia" w:ascii="宋体" w:hAnsi="宋体" w:eastAsia="宋体" w:cs="宋体"/>
                <w:b w:val="0"/>
                <w:bCs w:val="0"/>
                <w:color w:val="auto"/>
                <w:sz w:val="24"/>
                <w:szCs w:val="18"/>
                <w:highlight w:val="none"/>
                <w:u w:val="single"/>
                <w:lang w:val="en-US" w:eastAsia="zh-CN" w:bidi="ar-SA"/>
              </w:rPr>
              <w:t xml:space="preserve"> </w:t>
            </w:r>
            <w:r>
              <w:rPr>
                <w:rFonts w:hint="eastAsia" w:ascii="宋体" w:hAnsi="宋体" w:eastAsia="宋体" w:cs="宋体"/>
                <w:b w:val="0"/>
                <w:color w:val="auto"/>
                <w:sz w:val="24"/>
                <w:highlight w:val="none"/>
                <w:u w:val="single"/>
                <w:lang w:val="en-US" w:eastAsia="zh-CN" w:bidi="ar-SA"/>
              </w:rPr>
              <w:t>合肥市经济技术开发区翡翠路188号港澳广场A座18层1802 室</w:t>
            </w:r>
            <w:r>
              <w:rPr>
                <w:rFonts w:ascii="宋体" w:hAnsi="宋体" w:eastAsia="宋体" w:cs="@仿宋_GB2312"/>
                <w:b w:val="0"/>
                <w:bCs w:val="0"/>
                <w:color w:val="auto"/>
                <w:sz w:val="24"/>
                <w:szCs w:val="18"/>
                <w:highlight w:val="none"/>
                <w:u w:val="single"/>
                <w:lang w:val="en-US" w:eastAsia="zh-CN" w:bidi="ar-SA"/>
              </w:rPr>
              <w:t xml:space="preserve"> </w:t>
            </w:r>
            <w:r>
              <w:rPr>
                <w:rFonts w:hint="eastAsia" w:ascii="宋体" w:hAnsi="宋体" w:eastAsia="宋体" w:cs="宋体"/>
                <w:b w:val="0"/>
                <w:bCs w:val="0"/>
                <w:color w:val="auto"/>
                <w:sz w:val="24"/>
                <w:szCs w:val="24"/>
                <w:highlight w:val="none"/>
                <w:u w:val="single"/>
                <w:lang w:val="en-US" w:eastAsia="zh-CN" w:bidi="ar-SA"/>
              </w:rPr>
              <w:t xml:space="preserve"> </w:t>
            </w:r>
          </w:p>
        </w:tc>
      </w:tr>
      <w:tr w14:paraId="45277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3EC85469">
            <w:pPr>
              <w:pStyle w:val="33"/>
              <w:keepNext w:val="0"/>
              <w:keepLines w:val="0"/>
              <w:pageBreakBefore w:val="0"/>
              <w:widowControl w:val="0"/>
              <w:pBdr>
                <w:bottom w:val="none" w:color="auto" w:sz="0" w:space="0"/>
              </w:pBdr>
              <w:tabs>
                <w:tab w:val="left" w:pos="0"/>
                <w:tab w:val="clear" w:pos="4153"/>
                <w:tab w:val="clear" w:pos="8306"/>
              </w:tabs>
              <w:kinsoku/>
              <w:wordWrap w:val="0"/>
              <w:overflowPunct/>
              <w:topLinePunct w:val="0"/>
              <w:bidi w:val="0"/>
              <w:adjustRightInd/>
              <w:spacing w:line="440" w:lineRule="exact"/>
              <w:jc w:val="center"/>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35</w:t>
            </w:r>
          </w:p>
        </w:tc>
        <w:tc>
          <w:tcPr>
            <w:tcW w:w="2025" w:type="dxa"/>
            <w:noWrap w:val="0"/>
            <w:vAlign w:val="center"/>
          </w:tcPr>
          <w:p w14:paraId="1F806402">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其他内容</w:t>
            </w:r>
          </w:p>
        </w:tc>
        <w:tc>
          <w:tcPr>
            <w:tcW w:w="5466" w:type="dxa"/>
            <w:noWrap w:val="0"/>
            <w:vAlign w:val="center"/>
          </w:tcPr>
          <w:p w14:paraId="0C7AE9C7">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p>
        </w:tc>
      </w:tr>
      <w:tr w14:paraId="6C70F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377D8941">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35.1</w:t>
            </w:r>
          </w:p>
        </w:tc>
        <w:tc>
          <w:tcPr>
            <w:tcW w:w="2025" w:type="dxa"/>
            <w:noWrap w:val="0"/>
            <w:vAlign w:val="center"/>
          </w:tcPr>
          <w:p w14:paraId="161A89A8">
            <w:pPr>
              <w:pStyle w:val="32"/>
              <w:keepNext w:val="0"/>
              <w:keepLines w:val="0"/>
              <w:pageBreakBefore w:val="0"/>
              <w:widowControl w:val="0"/>
              <w:kinsoku/>
              <w:wordWrap w:val="0"/>
              <w:overflowPunct/>
              <w:topLinePunct w:val="0"/>
              <w:autoSpaceDE/>
              <w:autoSpaceDN/>
              <w:bidi w:val="0"/>
              <w:adjustRightInd/>
              <w:snapToGrid/>
              <w:spacing w:before="0" w:beforeAutospacing="0" w:after="0" w:afterAutospacing="0" w:line="440" w:lineRule="exact"/>
              <w:jc w:val="center"/>
              <w:textAlignment w:val="auto"/>
              <w:rPr>
                <w:rFonts w:hint="eastAsia" w:ascii="宋体" w:hAnsi="宋体" w:eastAsia="宋体" w:cs="@仿宋_GB2312"/>
                <w:b w:val="0"/>
                <w:color w:val="auto"/>
                <w:sz w:val="24"/>
                <w:highlight w:val="none"/>
                <w:lang w:val="en-US" w:eastAsia="zh-CN" w:bidi="ar-SA"/>
              </w:rPr>
            </w:pPr>
            <w:r>
              <w:rPr>
                <w:rFonts w:hint="eastAsia" w:ascii="宋体" w:hAnsi="宋体" w:eastAsia="宋体" w:cs="@仿宋_GB2312"/>
                <w:b w:val="0"/>
                <w:color w:val="auto"/>
                <w:sz w:val="24"/>
                <w:highlight w:val="none"/>
                <w:lang w:val="en-US" w:eastAsia="zh-CN" w:bidi="ar-SA"/>
              </w:rPr>
              <w:t>关于联合体参加磋商的相关约定</w:t>
            </w:r>
          </w:p>
          <w:p w14:paraId="5CA5A151">
            <w:pPr>
              <w:pStyle w:val="32"/>
              <w:keepNext w:val="0"/>
              <w:keepLines w:val="0"/>
              <w:pageBreakBefore w:val="0"/>
              <w:widowControl w:val="0"/>
              <w:kinsoku/>
              <w:wordWrap w:val="0"/>
              <w:overflowPunct/>
              <w:topLinePunct w:val="0"/>
              <w:autoSpaceDE/>
              <w:autoSpaceDN/>
              <w:bidi w:val="0"/>
              <w:adjustRightInd/>
              <w:snapToGrid/>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仿宋_GB2312"/>
                <w:b w:val="0"/>
                <w:i w:val="0"/>
                <w:iCs w:val="0"/>
                <w:color w:val="auto"/>
                <w:sz w:val="24"/>
                <w:highlight w:val="none"/>
                <w:lang w:val="en-US" w:eastAsia="zh-CN" w:bidi="ar-SA"/>
              </w:rPr>
              <w:t>（如有）</w:t>
            </w:r>
          </w:p>
        </w:tc>
        <w:tc>
          <w:tcPr>
            <w:tcW w:w="5466" w:type="dxa"/>
            <w:noWrap w:val="0"/>
            <w:vAlign w:val="center"/>
          </w:tcPr>
          <w:p w14:paraId="64293C6B">
            <w:pPr>
              <w:pStyle w:val="32"/>
              <w:keepNext w:val="0"/>
              <w:keepLines w:val="0"/>
              <w:pageBreakBefore w:val="0"/>
              <w:widowControl w:val="0"/>
              <w:kinsoku/>
              <w:wordWrap w:val="0"/>
              <w:overflowPunct/>
              <w:topLinePunct w:val="0"/>
              <w:autoSpaceDE/>
              <w:autoSpaceDN/>
              <w:bidi w:val="0"/>
              <w:adjustRightInd/>
              <w:snapToGrid/>
              <w:spacing w:before="0" w:beforeAutospacing="0" w:after="0" w:afterAutospacing="0" w:line="440" w:lineRule="exact"/>
              <w:jc w:val="left"/>
              <w:textAlignment w:val="auto"/>
              <w:rPr>
                <w:rFonts w:ascii="宋体" w:hAnsi="宋体" w:eastAsia="宋体" w:cs="@仿宋_GB2312"/>
                <w:b w:val="0"/>
                <w:color w:val="auto"/>
                <w:sz w:val="24"/>
                <w:highlight w:val="none"/>
                <w:lang w:val="en-US" w:eastAsia="zh-CN" w:bidi="ar-SA"/>
              </w:rPr>
            </w:pPr>
            <w:r>
              <w:rPr>
                <w:rFonts w:hint="eastAsia" w:ascii="宋体" w:hAnsi="宋体" w:eastAsia="宋体" w:cs="@仿宋_GB2312"/>
                <w:b w:val="0"/>
                <w:color w:val="auto"/>
                <w:sz w:val="24"/>
                <w:highlight w:val="none"/>
                <w:lang w:val="en-US" w:eastAsia="zh-CN" w:bidi="ar-SA"/>
              </w:rPr>
              <w:t>1.</w:t>
            </w:r>
            <w:r>
              <w:rPr>
                <w:rFonts w:ascii="宋体" w:hAnsi="宋体" w:eastAsia="宋体" w:cs="@仿宋_GB2312"/>
                <w:b w:val="0"/>
                <w:color w:val="auto"/>
                <w:sz w:val="24"/>
                <w:highlight w:val="none"/>
                <w:lang w:val="en-US" w:eastAsia="zh-CN" w:bidi="ar-SA"/>
              </w:rPr>
              <w:t>联合体参加磋商的须提供</w:t>
            </w:r>
            <w:r>
              <w:rPr>
                <w:rFonts w:hint="eastAsia" w:ascii="宋体" w:hAnsi="宋体" w:eastAsia="宋体" w:cs="@仿宋_GB2312"/>
                <w:b w:val="0"/>
                <w:color w:val="auto"/>
                <w:sz w:val="24"/>
                <w:highlight w:val="none"/>
                <w:lang w:val="en-US" w:eastAsia="zh-CN" w:bidi="ar-SA"/>
              </w:rPr>
              <w:t>联合协议，相关</w:t>
            </w:r>
            <w:r>
              <w:rPr>
                <w:rFonts w:ascii="宋体" w:hAnsi="宋体" w:eastAsia="宋体" w:cs="@仿宋_GB2312"/>
                <w:b w:val="0"/>
                <w:color w:val="auto"/>
                <w:sz w:val="24"/>
                <w:highlight w:val="none"/>
                <w:lang w:val="en-US" w:eastAsia="zh-CN" w:bidi="ar-SA"/>
              </w:rPr>
              <w:t>证明材料</w:t>
            </w:r>
            <w:r>
              <w:rPr>
                <w:rFonts w:hint="eastAsia" w:ascii="宋体" w:hAnsi="宋体" w:eastAsia="宋体" w:cs="@仿宋_GB2312"/>
                <w:b w:val="0"/>
                <w:color w:val="auto"/>
                <w:sz w:val="24"/>
                <w:highlight w:val="none"/>
                <w:lang w:val="en-US" w:eastAsia="zh-CN" w:bidi="ar-SA"/>
              </w:rPr>
              <w:t>由供应商</w:t>
            </w:r>
            <w:r>
              <w:rPr>
                <w:rFonts w:ascii="宋体" w:hAnsi="宋体" w:eastAsia="宋体" w:cs="@仿宋_GB2312"/>
                <w:b w:val="0"/>
                <w:color w:val="auto"/>
                <w:sz w:val="24"/>
                <w:highlight w:val="none"/>
                <w:lang w:val="en-US" w:eastAsia="zh-CN" w:bidi="ar-SA"/>
              </w:rPr>
              <w:t>根据</w:t>
            </w:r>
            <w:r>
              <w:rPr>
                <w:rFonts w:hint="eastAsia" w:ascii="宋体" w:hAnsi="宋体" w:eastAsia="宋体" w:cs="@仿宋_GB2312"/>
                <w:b w:val="0"/>
                <w:color w:val="auto"/>
                <w:sz w:val="24"/>
                <w:highlight w:val="none"/>
                <w:lang w:val="en-US" w:eastAsia="zh-CN" w:bidi="ar-SA"/>
              </w:rPr>
              <w:t>联合协议</w:t>
            </w:r>
            <w:r>
              <w:rPr>
                <w:rFonts w:ascii="宋体" w:hAnsi="宋体" w:eastAsia="宋体" w:cs="@仿宋_GB2312"/>
                <w:b w:val="0"/>
                <w:color w:val="auto"/>
                <w:sz w:val="24"/>
                <w:highlight w:val="none"/>
                <w:lang w:val="en-US" w:eastAsia="zh-CN" w:bidi="ar-SA"/>
              </w:rPr>
              <w:t>分工情况及</w:t>
            </w:r>
            <w:r>
              <w:rPr>
                <w:rFonts w:hint="eastAsia" w:ascii="宋体" w:hAnsi="宋体" w:eastAsia="宋体" w:cs="@仿宋_GB2312"/>
                <w:b w:val="0"/>
                <w:color w:val="auto"/>
                <w:sz w:val="24"/>
                <w:highlight w:val="none"/>
                <w:lang w:val="en-US" w:eastAsia="zh-CN" w:bidi="ar-SA"/>
              </w:rPr>
              <w:t>磋商</w:t>
            </w:r>
            <w:r>
              <w:rPr>
                <w:rFonts w:ascii="宋体" w:hAnsi="宋体" w:eastAsia="宋体" w:cs="@仿宋_GB2312"/>
                <w:b w:val="0"/>
                <w:color w:val="auto"/>
                <w:sz w:val="24"/>
                <w:highlight w:val="none"/>
                <w:lang w:val="en-US" w:eastAsia="zh-CN" w:bidi="ar-SA"/>
              </w:rPr>
              <w:t>文件要求提供。</w:t>
            </w:r>
          </w:p>
          <w:p w14:paraId="1B9264D3">
            <w:pPr>
              <w:pStyle w:val="32"/>
              <w:keepNext w:val="0"/>
              <w:keepLines w:val="0"/>
              <w:pageBreakBefore w:val="0"/>
              <w:widowControl w:val="0"/>
              <w:kinsoku/>
              <w:wordWrap w:val="0"/>
              <w:overflowPunct/>
              <w:topLinePunct w:val="0"/>
              <w:autoSpaceDE/>
              <w:autoSpaceDN/>
              <w:bidi w:val="0"/>
              <w:adjustRightInd/>
              <w:snapToGrid/>
              <w:spacing w:before="0" w:beforeAutospacing="0" w:after="0" w:afterAutospacing="0" w:line="440" w:lineRule="exact"/>
              <w:jc w:val="left"/>
              <w:textAlignment w:val="auto"/>
              <w:rPr>
                <w:rFonts w:ascii="宋体" w:hAnsi="宋体" w:eastAsia="宋体" w:cs="@仿宋_GB2312"/>
                <w:b w:val="0"/>
                <w:color w:val="auto"/>
                <w:sz w:val="24"/>
                <w:highlight w:val="none"/>
                <w:lang w:val="en-US" w:eastAsia="zh-CN" w:bidi="ar-SA"/>
              </w:rPr>
            </w:pPr>
            <w:r>
              <w:rPr>
                <w:rFonts w:hint="eastAsia" w:ascii="宋体" w:hAnsi="宋体" w:eastAsia="宋体" w:cs="@仿宋_GB2312"/>
                <w:b w:val="0"/>
                <w:color w:val="auto"/>
                <w:sz w:val="24"/>
                <w:highlight w:val="none"/>
                <w:lang w:val="en-US" w:eastAsia="zh-CN" w:bidi="ar-SA"/>
              </w:rPr>
              <w:t>2.</w:t>
            </w:r>
            <w:r>
              <w:rPr>
                <w:rFonts w:ascii="宋体" w:hAnsi="宋体" w:eastAsia="宋体" w:cs="@仿宋_GB2312"/>
                <w:b w:val="0"/>
                <w:color w:val="auto"/>
                <w:sz w:val="24"/>
                <w:highlight w:val="none"/>
                <w:lang w:val="en-US" w:eastAsia="zh-CN" w:bidi="ar-SA"/>
              </w:rPr>
              <w:t>联合体各</w:t>
            </w:r>
            <w:r>
              <w:rPr>
                <w:rFonts w:hint="eastAsia" w:ascii="宋体" w:hAnsi="宋体" w:eastAsia="宋体" w:cs="@仿宋_GB2312"/>
                <w:b w:val="0"/>
                <w:color w:val="auto"/>
                <w:sz w:val="24"/>
                <w:highlight w:val="none"/>
                <w:lang w:val="en-US" w:eastAsia="zh-CN" w:bidi="ar-SA"/>
              </w:rPr>
              <w:t>成员单位</w:t>
            </w:r>
            <w:r>
              <w:rPr>
                <w:rFonts w:ascii="宋体" w:hAnsi="宋体" w:eastAsia="宋体" w:cs="@仿宋_GB2312"/>
                <w:b w:val="0"/>
                <w:color w:val="auto"/>
                <w:sz w:val="24"/>
                <w:highlight w:val="none"/>
                <w:lang w:val="en-US" w:eastAsia="zh-CN" w:bidi="ar-SA"/>
              </w:rPr>
              <w:t>均须提供营业执照</w:t>
            </w:r>
            <w:r>
              <w:rPr>
                <w:rFonts w:hint="eastAsia" w:ascii="宋体" w:hAnsi="宋体" w:eastAsia="宋体" w:cs="@仿宋_GB2312"/>
                <w:b w:val="0"/>
                <w:color w:val="auto"/>
                <w:sz w:val="24"/>
                <w:highlight w:val="none"/>
                <w:lang w:val="en-US" w:eastAsia="zh-CN" w:bidi="ar-SA"/>
              </w:rPr>
              <w:t>（或事业单位法人登记证书）和磋商有效性声明。</w:t>
            </w:r>
          </w:p>
          <w:p w14:paraId="7D24F920">
            <w:pPr>
              <w:pStyle w:val="32"/>
              <w:keepNext w:val="0"/>
              <w:keepLines w:val="0"/>
              <w:pageBreakBefore w:val="0"/>
              <w:widowControl w:val="0"/>
              <w:kinsoku/>
              <w:wordWrap w:val="0"/>
              <w:overflowPunct/>
              <w:topLinePunct w:val="0"/>
              <w:autoSpaceDE/>
              <w:autoSpaceDN/>
              <w:bidi w:val="0"/>
              <w:adjustRightInd/>
              <w:snapToGrid/>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3.联合体参加磋商的，磋商文件获取、磋商保证金缴纳（如有）等建议由联合体牵头单位办理。</w:t>
            </w:r>
          </w:p>
        </w:tc>
      </w:tr>
      <w:tr w14:paraId="70091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E9C0893">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35.</w:t>
            </w:r>
            <w:r>
              <w:rPr>
                <w:rFonts w:hint="eastAsia" w:ascii="宋体" w:hAnsi="宋体" w:eastAsia="宋体" w:cs="宋体"/>
                <w:bCs/>
                <w:color w:val="auto"/>
                <w:sz w:val="24"/>
                <w:szCs w:val="24"/>
                <w:highlight w:val="none"/>
                <w:lang w:val="en-US" w:eastAsia="zh-CN"/>
              </w:rPr>
              <w:t>2</w:t>
            </w:r>
          </w:p>
        </w:tc>
        <w:tc>
          <w:tcPr>
            <w:tcW w:w="2025" w:type="dxa"/>
            <w:noWrap w:val="0"/>
            <w:vAlign w:val="center"/>
          </w:tcPr>
          <w:p w14:paraId="04D0285B">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社保证明材料</w:t>
            </w:r>
          </w:p>
          <w:p w14:paraId="0A37D945">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iCs/>
                <w:color w:val="auto"/>
                <w:sz w:val="24"/>
                <w:szCs w:val="24"/>
                <w:highlight w:val="none"/>
                <w:lang w:val="en-US" w:eastAsia="zh-CN" w:bidi="ar-SA"/>
              </w:rPr>
              <w:t>（如有）</w:t>
            </w:r>
          </w:p>
        </w:tc>
        <w:tc>
          <w:tcPr>
            <w:tcW w:w="5466" w:type="dxa"/>
            <w:noWrap w:val="0"/>
            <w:vAlign w:val="center"/>
          </w:tcPr>
          <w:p w14:paraId="7C82EC91">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本项目磋商文件中要求提供的社保证明材料为下述形式之一（响应文件中须提供扫描件）：</w:t>
            </w:r>
          </w:p>
          <w:p w14:paraId="6A6A682E">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1.社保局官方网站查询的缴费记录截图；</w:t>
            </w:r>
          </w:p>
          <w:p w14:paraId="20D914AD">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2.社保局的书面证明材料；</w:t>
            </w:r>
          </w:p>
          <w:p w14:paraId="05EA533E">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3.经供应商委托的第三方人力资源服务机构或与供应商有直接隶属关系的机构可以代缴社保，但须提供有关证明材料并经磋商小组确认。</w:t>
            </w:r>
          </w:p>
          <w:p w14:paraId="756C7F8F">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4.参与磋商的院校，社保证明可以用以下任意一种：</w:t>
            </w:r>
          </w:p>
          <w:p w14:paraId="703ED4CA">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（1）加盖供应商公章的教师证（须为本单位人员）；</w:t>
            </w:r>
          </w:p>
          <w:p w14:paraId="46B3163D">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（2）医保证明材料。</w:t>
            </w:r>
          </w:p>
          <w:p w14:paraId="30E220A2">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5.其他经磋商小组认可的证明材料。</w:t>
            </w:r>
          </w:p>
          <w:p w14:paraId="37C7CCDF">
            <w:pPr>
              <w:pStyle w:val="32"/>
              <w:keepNext w:val="0"/>
              <w:keepLines w:val="0"/>
              <w:pageBreakBefore w:val="0"/>
              <w:widowControl w:val="0"/>
              <w:kinsoku/>
              <w:wordWrap w:val="0"/>
              <w:overflowPunct/>
              <w:topLinePunct w:val="0"/>
              <w:bidi w:val="0"/>
              <w:spacing w:before="0" w:beforeAutospacing="0" w:after="0" w:afterAutospacing="0" w:line="440" w:lineRule="exact"/>
              <w:jc w:val="left"/>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6.法定代表人参与项目的，无需提供社保证明材料，提供身份证明材料即可。</w:t>
            </w:r>
          </w:p>
        </w:tc>
      </w:tr>
      <w:tr w14:paraId="4EAFB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3AE12E37">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35.</w:t>
            </w:r>
            <w:r>
              <w:rPr>
                <w:rFonts w:hint="eastAsia" w:ascii="宋体" w:hAnsi="宋体" w:eastAsia="宋体" w:cs="宋体"/>
                <w:bCs/>
                <w:color w:val="auto"/>
                <w:sz w:val="24"/>
                <w:szCs w:val="24"/>
                <w:highlight w:val="none"/>
                <w:lang w:val="en-US" w:eastAsia="zh-CN"/>
              </w:rPr>
              <w:t>3</w:t>
            </w:r>
          </w:p>
        </w:tc>
        <w:tc>
          <w:tcPr>
            <w:tcW w:w="2025" w:type="dxa"/>
            <w:noWrap w:val="0"/>
            <w:vAlign w:val="center"/>
          </w:tcPr>
          <w:p w14:paraId="37E0F15C">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本项目提供除电子版磋商文件以外的其他资料</w:t>
            </w:r>
          </w:p>
        </w:tc>
        <w:tc>
          <w:tcPr>
            <w:tcW w:w="5466" w:type="dxa"/>
            <w:noWrap w:val="0"/>
            <w:vAlign w:val="center"/>
          </w:tcPr>
          <w:p w14:paraId="748B615D">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bCs/>
                <w:color w:val="auto"/>
                <w:sz w:val="24"/>
                <w:szCs w:val="24"/>
                <w:highlight w:val="none"/>
                <w:lang w:eastAsia="zh-CN"/>
              </w:rPr>
              <w:t>☑</w:t>
            </w:r>
            <w:r>
              <w:rPr>
                <w:rFonts w:hint="eastAsia" w:ascii="宋体" w:hAnsi="宋体" w:eastAsia="宋体" w:cs="宋体"/>
                <w:color w:val="auto"/>
                <w:sz w:val="24"/>
                <w:szCs w:val="24"/>
                <w:highlight w:val="none"/>
              </w:rPr>
              <w:t>无   □图纸   □光盘   □</w:t>
            </w:r>
            <w:r>
              <w:rPr>
                <w:rFonts w:hint="eastAsia" w:ascii="宋体" w:hAnsi="宋体" w:eastAsia="宋体" w:cs="宋体"/>
                <w:color w:val="auto"/>
                <w:sz w:val="24"/>
                <w:szCs w:val="24"/>
                <w:highlight w:val="none"/>
                <w:u w:val="single"/>
              </w:rPr>
              <w:t xml:space="preserve">  </w:t>
            </w:r>
          </w:p>
          <w:p w14:paraId="46380392">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获取方式：</w:t>
            </w:r>
          </w:p>
          <w:p w14:paraId="428EAC52">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i/>
                <w:color w:val="auto"/>
                <w:sz w:val="24"/>
                <w:szCs w:val="24"/>
                <w:highlight w:val="none"/>
              </w:rPr>
            </w:pPr>
            <w:r>
              <w:rPr>
                <w:rFonts w:hint="eastAsia" w:ascii="宋体" w:hAnsi="宋体" w:eastAsia="宋体" w:cs="宋体"/>
                <w:bCs/>
                <w:color w:val="auto"/>
                <w:sz w:val="24"/>
                <w:szCs w:val="24"/>
                <w:highlight w:val="none"/>
              </w:rPr>
              <w:t>上述资料请供应商在获取磋商文件的同时下载本项目附件。</w:t>
            </w:r>
          </w:p>
        </w:tc>
      </w:tr>
      <w:tr w14:paraId="4BC60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715DE70F">
            <w:pPr>
              <w:keepNext w:val="0"/>
              <w:keepLines w:val="0"/>
              <w:pageBreakBefore w:val="0"/>
              <w:tabs>
                <w:tab w:val="left" w:pos="0"/>
              </w:tabs>
              <w:kinsoku/>
              <w:wordWrap w:val="0"/>
              <w:overflowPunct/>
              <w:topLinePunct w:val="0"/>
              <w:bidi w:val="0"/>
              <w:spacing w:line="440" w:lineRule="exact"/>
              <w:jc w:val="center"/>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35.</w:t>
            </w:r>
            <w:r>
              <w:rPr>
                <w:rFonts w:hint="eastAsia" w:ascii="宋体" w:hAnsi="宋体" w:eastAsia="宋体" w:cs="宋体"/>
                <w:bCs/>
                <w:color w:val="auto"/>
                <w:sz w:val="24"/>
                <w:szCs w:val="24"/>
                <w:highlight w:val="none"/>
                <w:lang w:val="en-US" w:eastAsia="zh-CN"/>
              </w:rPr>
              <w:t>4</w:t>
            </w:r>
          </w:p>
        </w:tc>
        <w:tc>
          <w:tcPr>
            <w:tcW w:w="2025" w:type="dxa"/>
            <w:noWrap w:val="0"/>
            <w:vAlign w:val="center"/>
          </w:tcPr>
          <w:p w14:paraId="4A8B0238">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重要提示</w:t>
            </w:r>
          </w:p>
        </w:tc>
        <w:tc>
          <w:tcPr>
            <w:tcW w:w="5466" w:type="dxa"/>
            <w:noWrap w:val="0"/>
            <w:vAlign w:val="center"/>
          </w:tcPr>
          <w:p w14:paraId="1D357F16">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1.</w:t>
            </w:r>
            <w:r>
              <w:rPr>
                <w:rFonts w:hint="eastAsia" w:ascii="宋体" w:hAnsi="宋体" w:eastAsia="宋体" w:cs="宋体"/>
                <w:bCs/>
                <w:color w:val="auto"/>
                <w:sz w:val="24"/>
                <w:szCs w:val="24"/>
                <w:highlight w:val="none"/>
              </w:rPr>
              <w:t>成交供应商应在规定期限内领取《成交通知书》，若成交供应商未在规定期限内领取《成交通知书》，采购人有权取消成交供应商成交资格；</w:t>
            </w:r>
          </w:p>
          <w:p w14:paraId="2F6DD659">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2.</w:t>
            </w:r>
            <w:r>
              <w:rPr>
                <w:rFonts w:hint="eastAsia" w:ascii="宋体" w:hAnsi="宋体" w:eastAsia="宋体" w:cs="宋体"/>
                <w:bCs/>
                <w:color w:val="auto"/>
                <w:sz w:val="24"/>
                <w:szCs w:val="24"/>
                <w:highlight w:val="none"/>
              </w:rPr>
              <w:t>成交供应商应在规定期限内提交履约担保并与采购人签订合同，若成交供应商未能在规定期限内提交履约担保或签订合同，采购人有权取消成交供应商成交资格；</w:t>
            </w:r>
          </w:p>
          <w:p w14:paraId="5E4B95D9">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3.</w:t>
            </w:r>
            <w:r>
              <w:rPr>
                <w:rFonts w:hint="eastAsia" w:ascii="宋体" w:hAnsi="宋体" w:eastAsia="宋体" w:cs="宋体"/>
                <w:bCs/>
                <w:color w:val="auto"/>
                <w:sz w:val="24"/>
                <w:szCs w:val="24"/>
                <w:highlight w:val="none"/>
              </w:rPr>
              <w:t>合同签订后，成交供应商存在规定时间内不组织人员进场开工，不履行供货、安装或服务义务等情况，采购人有权解除合同，并追究违约责任；</w:t>
            </w:r>
          </w:p>
          <w:p w14:paraId="29C2596D">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4.</w:t>
            </w:r>
            <w:r>
              <w:rPr>
                <w:rFonts w:hint="eastAsia" w:ascii="宋体" w:hAnsi="宋体" w:eastAsia="宋体" w:cs="宋体"/>
                <w:bCs/>
                <w:color w:val="auto"/>
                <w:sz w:val="24"/>
                <w:szCs w:val="24"/>
                <w:highlight w:val="none"/>
              </w:rPr>
              <w:t>成交供应商成交后被查实存在违法行为，不满足成交条件的，由采购人取消成交资格，并做好项目后续工作；</w:t>
            </w:r>
          </w:p>
          <w:p w14:paraId="5C849077">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5.</w:t>
            </w:r>
            <w:r>
              <w:rPr>
                <w:rFonts w:hint="eastAsia" w:ascii="宋体" w:hAnsi="宋体" w:eastAsia="宋体" w:cs="宋体"/>
                <w:bCs/>
                <w:color w:val="auto"/>
                <w:sz w:val="24"/>
                <w:szCs w:val="24"/>
                <w:highlight w:val="none"/>
              </w:rPr>
              <w:t>成交供应商在成交项目发生投诉、信访举报案件、履约存在争议时，拒绝协助配合执法部门调查案件的，采购人可以取消其成交资格或解除合同，并追究其违约责任。</w:t>
            </w:r>
          </w:p>
        </w:tc>
      </w:tr>
      <w:tr w14:paraId="35BAA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488634CD">
            <w:pPr>
              <w:pStyle w:val="33"/>
              <w:keepNext w:val="0"/>
              <w:keepLines w:val="0"/>
              <w:pageBreakBefore w:val="0"/>
              <w:widowControl w:val="0"/>
              <w:pBdr>
                <w:bottom w:val="none" w:color="auto" w:sz="0" w:space="0"/>
              </w:pBdr>
              <w:tabs>
                <w:tab w:val="left" w:pos="0"/>
                <w:tab w:val="clear" w:pos="4153"/>
                <w:tab w:val="clear" w:pos="8306"/>
              </w:tabs>
              <w:kinsoku/>
              <w:wordWrap w:val="0"/>
              <w:overflowPunct/>
              <w:topLinePunct w:val="0"/>
              <w:bidi w:val="0"/>
              <w:adjustRightInd/>
              <w:spacing w:line="440" w:lineRule="exact"/>
              <w:jc w:val="center"/>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35.5</w:t>
            </w:r>
          </w:p>
        </w:tc>
        <w:tc>
          <w:tcPr>
            <w:tcW w:w="2025" w:type="dxa"/>
            <w:noWrap w:val="0"/>
            <w:vAlign w:val="center"/>
          </w:tcPr>
          <w:p w14:paraId="5E58F519">
            <w:pPr>
              <w:pStyle w:val="32"/>
              <w:keepNext w:val="0"/>
              <w:keepLines w:val="0"/>
              <w:pageBreakBefore w:val="0"/>
              <w:widowControl w:val="0"/>
              <w:kinsoku/>
              <w:wordWrap w:val="0"/>
              <w:overflowPunct/>
              <w:topLinePunct w:val="0"/>
              <w:bidi w:val="0"/>
              <w:spacing w:before="0" w:beforeAutospacing="0" w:after="0" w:afterAutospacing="0" w:line="440" w:lineRule="exact"/>
              <w:jc w:val="center"/>
              <w:textAlignment w:val="auto"/>
              <w:rPr>
                <w:rFonts w:hint="eastAsia" w:ascii="宋体" w:hAnsi="宋体" w:eastAsia="宋体" w:cs="宋体"/>
                <w:b w:val="0"/>
                <w:color w:val="auto"/>
                <w:sz w:val="24"/>
                <w:szCs w:val="24"/>
                <w:highlight w:val="none"/>
                <w:lang w:val="en-US" w:eastAsia="zh-CN" w:bidi="ar-SA"/>
              </w:rPr>
            </w:pPr>
            <w:r>
              <w:rPr>
                <w:rFonts w:hint="eastAsia" w:ascii="宋体" w:hAnsi="宋体" w:eastAsia="宋体" w:cs="宋体"/>
                <w:b w:val="0"/>
                <w:color w:val="auto"/>
                <w:sz w:val="24"/>
                <w:szCs w:val="24"/>
                <w:highlight w:val="none"/>
                <w:lang w:val="en-US" w:eastAsia="zh-CN" w:bidi="ar-SA"/>
              </w:rPr>
              <w:t>解释权</w:t>
            </w:r>
          </w:p>
        </w:tc>
        <w:tc>
          <w:tcPr>
            <w:tcW w:w="5466" w:type="dxa"/>
            <w:noWrap w:val="0"/>
            <w:vAlign w:val="center"/>
          </w:tcPr>
          <w:p w14:paraId="4EAF72A6">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1.</w:t>
            </w:r>
            <w:r>
              <w:rPr>
                <w:rFonts w:hint="eastAsia" w:ascii="宋体" w:hAnsi="宋体" w:eastAsia="宋体" w:cs="宋体"/>
                <w:bCs/>
                <w:color w:val="auto"/>
                <w:sz w:val="24"/>
                <w:szCs w:val="24"/>
                <w:highlight w:val="none"/>
              </w:rPr>
              <w:t>构成本磋商文件的各个组成文件应互为解释，互为说明；</w:t>
            </w:r>
          </w:p>
          <w:p w14:paraId="663EF3AC">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2.</w:t>
            </w:r>
            <w:r>
              <w:rPr>
                <w:rFonts w:hint="eastAsia" w:ascii="宋体" w:hAnsi="宋体" w:eastAsia="宋体" w:cs="宋体"/>
                <w:bCs/>
                <w:color w:val="auto"/>
                <w:sz w:val="24"/>
                <w:szCs w:val="24"/>
                <w:highlight w:val="none"/>
              </w:rPr>
              <w:t>同一组成文件中就同一事项的规定或约定不一致的，</w:t>
            </w:r>
            <w:r>
              <w:rPr>
                <w:rFonts w:hint="eastAsia" w:ascii="宋体" w:hAnsi="宋体" w:eastAsia="宋体" w:cs="宋体"/>
                <w:bCs/>
                <w:color w:val="auto"/>
                <w:sz w:val="24"/>
                <w:szCs w:val="24"/>
                <w:highlight w:val="none"/>
                <w:lang w:eastAsia="zh-CN"/>
              </w:rPr>
              <w:t>除磋商文件另有规定外，</w:t>
            </w:r>
            <w:r>
              <w:rPr>
                <w:rFonts w:hint="eastAsia" w:ascii="宋体" w:hAnsi="宋体" w:eastAsia="宋体" w:cs="宋体"/>
                <w:bCs/>
                <w:color w:val="auto"/>
                <w:sz w:val="24"/>
                <w:szCs w:val="24"/>
                <w:highlight w:val="none"/>
              </w:rPr>
              <w:t>以编排顺序在后者为准；</w:t>
            </w:r>
          </w:p>
          <w:p w14:paraId="094861A6">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3.</w:t>
            </w:r>
            <w:r>
              <w:rPr>
                <w:rFonts w:hint="eastAsia" w:ascii="宋体" w:hAnsi="宋体" w:eastAsia="宋体" w:cs="宋体"/>
                <w:bCs/>
                <w:color w:val="auto"/>
                <w:sz w:val="24"/>
                <w:szCs w:val="24"/>
                <w:highlight w:val="none"/>
              </w:rPr>
              <w:t>如有不明确或不一致，构成合同文件组成内容的，以合同文件约定内容为准，且以专用合同条款约定的合同文件优先顺序解释；</w:t>
            </w:r>
          </w:p>
          <w:p w14:paraId="5B200BDE">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4.</w:t>
            </w:r>
            <w:r>
              <w:rPr>
                <w:rFonts w:hint="eastAsia" w:ascii="宋体" w:hAnsi="宋体" w:eastAsia="宋体" w:cs="宋体"/>
                <w:bCs/>
                <w:color w:val="auto"/>
                <w:sz w:val="24"/>
                <w:szCs w:val="24"/>
                <w:highlight w:val="none"/>
              </w:rPr>
              <w:t>除磋商文件中有特别规定外，仅适用于磋商及响应文件提交阶段的规定，按</w:t>
            </w:r>
            <w:r>
              <w:rPr>
                <w:rFonts w:hint="eastAsia" w:ascii="宋体" w:hAnsi="宋体" w:eastAsia="宋体" w:cs="宋体"/>
                <w:bCs/>
                <w:color w:val="auto"/>
                <w:sz w:val="24"/>
                <w:szCs w:val="24"/>
                <w:highlight w:val="none"/>
                <w:lang w:val="en-US" w:eastAsia="zh-CN"/>
              </w:rPr>
              <w:t>磋商公告</w:t>
            </w:r>
            <w:r>
              <w:rPr>
                <w:rFonts w:hint="eastAsia" w:ascii="宋体" w:hAnsi="宋体" w:eastAsia="宋体" w:cs="宋体"/>
                <w:bCs/>
                <w:color w:val="auto"/>
                <w:sz w:val="24"/>
                <w:szCs w:val="24"/>
                <w:highlight w:val="none"/>
              </w:rPr>
              <w:t>、供应商须知、评审方法和标准、响应文件格式的先后顺序解释；</w:t>
            </w:r>
          </w:p>
          <w:p w14:paraId="32497992">
            <w:pPr>
              <w:keepNext w:val="0"/>
              <w:keepLines w:val="0"/>
              <w:pageBreakBefore w:val="0"/>
              <w:kinsoku/>
              <w:wordWrap w:val="0"/>
              <w:overflowPunct/>
              <w:topLinePunct w:val="0"/>
              <w:bidi w:val="0"/>
              <w:spacing w:line="440" w:lineRule="exact"/>
              <w:jc w:val="left"/>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5.</w:t>
            </w:r>
            <w:r>
              <w:rPr>
                <w:rFonts w:hint="eastAsia" w:ascii="宋体" w:hAnsi="宋体" w:eastAsia="宋体" w:cs="宋体"/>
                <w:bCs/>
                <w:color w:val="auto"/>
                <w:sz w:val="24"/>
                <w:szCs w:val="24"/>
                <w:highlight w:val="none"/>
              </w:rPr>
              <w:t>按本款前述规定仍不能形成结论的，由采购人负责解释。</w:t>
            </w:r>
          </w:p>
        </w:tc>
      </w:tr>
    </w:tbl>
    <w:p w14:paraId="571DC6B7">
      <w:pPr>
        <w:keepNext w:val="0"/>
        <w:keepLines w:val="0"/>
        <w:pageBreakBefore w:val="0"/>
        <w:kinsoku/>
        <w:wordWrap w:val="0"/>
        <w:overflowPunct/>
        <w:topLinePunct w:val="0"/>
        <w:bidi w:val="0"/>
        <w:spacing w:line="440" w:lineRule="exact"/>
        <w:jc w:val="center"/>
        <w:textAlignment w:val="auto"/>
        <w:outlineLvl w:val="2"/>
        <w:rPr>
          <w:rFonts w:ascii="宋体" w:hAnsi="宋体" w:eastAsia="宋体"/>
          <w:b/>
          <w:color w:val="auto"/>
          <w:sz w:val="28"/>
          <w:szCs w:val="28"/>
          <w:highlight w:val="none"/>
        </w:rPr>
      </w:pPr>
      <w:r>
        <w:rPr>
          <w:rFonts w:ascii="宋体" w:hAnsi="宋体" w:eastAsia="宋体"/>
          <w:b/>
          <w:color w:val="auto"/>
          <w:sz w:val="28"/>
          <w:highlight w:val="none"/>
        </w:rPr>
        <w:br w:type="page"/>
      </w:r>
      <w:r>
        <w:rPr>
          <w:rFonts w:hint="eastAsia" w:ascii="宋体" w:hAnsi="宋体" w:eastAsia="宋体"/>
          <w:b/>
          <w:color w:val="auto"/>
          <w:sz w:val="28"/>
          <w:szCs w:val="28"/>
          <w:highlight w:val="none"/>
        </w:rPr>
        <w:t>二、供应商</w:t>
      </w:r>
      <w:r>
        <w:rPr>
          <w:rFonts w:ascii="宋体" w:hAnsi="宋体" w:eastAsia="宋体"/>
          <w:b/>
          <w:color w:val="auto"/>
          <w:sz w:val="28"/>
          <w:szCs w:val="28"/>
          <w:highlight w:val="none"/>
        </w:rPr>
        <w:t>须知</w:t>
      </w:r>
      <w:r>
        <w:rPr>
          <w:rFonts w:hint="eastAsia" w:ascii="宋体" w:hAnsi="宋体" w:eastAsia="宋体"/>
          <w:b/>
          <w:color w:val="auto"/>
          <w:sz w:val="28"/>
          <w:szCs w:val="28"/>
          <w:highlight w:val="none"/>
        </w:rPr>
        <w:t>正文</w:t>
      </w:r>
    </w:p>
    <w:p w14:paraId="18FA58E6">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w:t>
      </w:r>
      <w:r>
        <w:rPr>
          <w:rFonts w:hint="eastAsia" w:ascii="宋体" w:hAnsi="宋体" w:eastAsia="宋体"/>
          <w:b/>
          <w:color w:val="auto"/>
          <w:sz w:val="24"/>
          <w:highlight w:val="none"/>
        </w:rPr>
        <w:t>适用范围</w:t>
      </w:r>
    </w:p>
    <w:p w14:paraId="6DD1F978">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1.1</w:t>
      </w:r>
      <w:r>
        <w:rPr>
          <w:rFonts w:hint="eastAsia" w:ascii="宋体" w:hAnsi="宋体" w:eastAsia="宋体"/>
          <w:color w:val="auto"/>
          <w:sz w:val="24"/>
          <w:highlight w:val="none"/>
        </w:rPr>
        <w:t>本磋商文件仅适用于本次磋商所述的服务项目采购。</w:t>
      </w:r>
    </w:p>
    <w:p w14:paraId="09C1A1CB">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2</w:t>
      </w:r>
      <w:r>
        <w:rPr>
          <w:rFonts w:ascii="宋体" w:hAnsi="宋体" w:eastAsia="宋体"/>
          <w:b/>
          <w:color w:val="auto"/>
          <w:sz w:val="24"/>
          <w:highlight w:val="none"/>
        </w:rPr>
        <w:t>.</w:t>
      </w:r>
      <w:r>
        <w:rPr>
          <w:rFonts w:hint="eastAsia" w:ascii="宋体" w:hAnsi="宋体" w:eastAsia="宋体"/>
          <w:b/>
          <w:color w:val="auto"/>
          <w:sz w:val="24"/>
          <w:highlight w:val="none"/>
        </w:rPr>
        <w:t>定义</w:t>
      </w:r>
    </w:p>
    <w:p w14:paraId="55289808">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服务：系指除货物和工程以外的其他采购对象，包括咨询、调研、评估、规划、设计、监理、审计、保险、租赁、印刷、维修、物业管理等。</w:t>
      </w:r>
    </w:p>
    <w:p w14:paraId="541CC056">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2.2时限（年份、月份等）计算：系指从</w:t>
      </w:r>
      <w:r>
        <w:rPr>
          <w:rFonts w:hint="eastAsia" w:ascii="宋体" w:hAnsi="宋体" w:eastAsia="宋体"/>
          <w:color w:val="auto"/>
          <w:sz w:val="24"/>
          <w:highlight w:val="none"/>
        </w:rPr>
        <w:t>磋商</w:t>
      </w:r>
      <w:r>
        <w:rPr>
          <w:rFonts w:ascii="宋体" w:hAnsi="宋体" w:eastAsia="宋体"/>
          <w:color w:val="auto"/>
          <w:sz w:val="24"/>
          <w:highlight w:val="none"/>
        </w:rPr>
        <w:t>之日向前追溯X年/月（“X”为“一”及以后整数）起算。</w:t>
      </w:r>
    </w:p>
    <w:p w14:paraId="6454CC9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2.3业绩：</w:t>
      </w:r>
      <w:r>
        <w:rPr>
          <w:rFonts w:hint="eastAsia" w:ascii="宋体" w:hAnsi="宋体" w:eastAsia="宋体"/>
          <w:color w:val="auto"/>
          <w:sz w:val="24"/>
          <w:highlight w:val="none"/>
        </w:rPr>
        <w:t>业绩系指符合本磋商文件规定的与最终用户签订的合同或磋商文件要求的相关证明。供应商</w:t>
      </w:r>
      <w:r>
        <w:rPr>
          <w:rFonts w:ascii="宋体" w:hAnsi="宋体" w:eastAsia="宋体"/>
          <w:color w:val="auto"/>
          <w:sz w:val="24"/>
          <w:highlight w:val="none"/>
        </w:rPr>
        <w:t>与其关联公司（如母公司、控股公司、分公司、子公司、同一法定代表人的公司等）之间签订的合同，均不予认可。</w:t>
      </w:r>
    </w:p>
    <w:p w14:paraId="5992BA4A">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除非本</w:t>
      </w:r>
      <w:r>
        <w:rPr>
          <w:rFonts w:hint="eastAsia" w:ascii="宋体" w:hAnsi="宋体" w:eastAsia="宋体"/>
          <w:color w:val="auto"/>
          <w:sz w:val="24"/>
          <w:highlight w:val="none"/>
        </w:rPr>
        <w:t>磋商</w:t>
      </w:r>
      <w:r>
        <w:rPr>
          <w:rFonts w:ascii="宋体" w:hAnsi="宋体" w:eastAsia="宋体"/>
          <w:color w:val="auto"/>
          <w:sz w:val="24"/>
          <w:highlight w:val="none"/>
        </w:rPr>
        <w:t>文件</w:t>
      </w:r>
      <w:r>
        <w:rPr>
          <w:rFonts w:hint="eastAsia" w:ascii="宋体" w:hAnsi="宋体" w:eastAsia="宋体"/>
          <w:color w:val="auto"/>
          <w:sz w:val="24"/>
          <w:highlight w:val="none"/>
        </w:rPr>
        <w:t>中</w:t>
      </w:r>
      <w:r>
        <w:rPr>
          <w:rFonts w:ascii="宋体" w:hAnsi="宋体" w:eastAsia="宋体"/>
          <w:color w:val="auto"/>
          <w:sz w:val="24"/>
          <w:highlight w:val="none"/>
        </w:rPr>
        <w:t>另有规定，否则业绩</w:t>
      </w:r>
      <w:r>
        <w:rPr>
          <w:rFonts w:hint="eastAsia" w:ascii="宋体" w:hAnsi="宋体" w:eastAsia="宋体"/>
          <w:color w:val="auto"/>
          <w:sz w:val="24"/>
          <w:highlight w:val="none"/>
        </w:rPr>
        <w:t>均为已服务</w:t>
      </w:r>
      <w:r>
        <w:rPr>
          <w:rFonts w:ascii="宋体" w:hAnsi="宋体" w:eastAsia="宋体"/>
          <w:color w:val="auto"/>
          <w:sz w:val="24"/>
          <w:highlight w:val="none"/>
        </w:rPr>
        <w:t>完毕的</w:t>
      </w:r>
      <w:r>
        <w:rPr>
          <w:rFonts w:hint="eastAsia" w:ascii="宋体" w:hAnsi="宋体" w:eastAsia="宋体"/>
          <w:color w:val="auto"/>
          <w:sz w:val="24"/>
          <w:highlight w:val="none"/>
        </w:rPr>
        <w:t>业绩，业绩</w:t>
      </w:r>
      <w:r>
        <w:rPr>
          <w:rFonts w:ascii="宋体" w:hAnsi="宋体" w:eastAsia="宋体"/>
          <w:color w:val="auto"/>
          <w:sz w:val="24"/>
          <w:highlight w:val="none"/>
        </w:rPr>
        <w:t>时间均以合同签订之日为追溯</w:t>
      </w:r>
      <w:r>
        <w:rPr>
          <w:rFonts w:hint="eastAsia" w:ascii="宋体" w:hAnsi="宋体" w:eastAsia="宋体"/>
          <w:color w:val="auto"/>
          <w:sz w:val="24"/>
          <w:highlight w:val="none"/>
        </w:rPr>
        <w:t>节</w:t>
      </w:r>
      <w:r>
        <w:rPr>
          <w:rFonts w:ascii="宋体" w:hAnsi="宋体" w:eastAsia="宋体"/>
          <w:color w:val="auto"/>
          <w:sz w:val="24"/>
          <w:highlight w:val="none"/>
        </w:rPr>
        <w:t>点。</w:t>
      </w:r>
    </w:p>
    <w:p w14:paraId="249959E2">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3</w:t>
      </w:r>
      <w:r>
        <w:rPr>
          <w:rFonts w:ascii="宋体" w:hAnsi="宋体" w:eastAsia="宋体"/>
          <w:b/>
          <w:color w:val="auto"/>
          <w:sz w:val="24"/>
          <w:highlight w:val="none"/>
        </w:rPr>
        <w:t>.</w:t>
      </w:r>
      <w:r>
        <w:rPr>
          <w:rFonts w:hint="eastAsia" w:ascii="宋体" w:hAnsi="宋体" w:eastAsia="宋体"/>
          <w:b/>
          <w:color w:val="auto"/>
          <w:sz w:val="24"/>
          <w:highlight w:val="none"/>
        </w:rPr>
        <w:t>采购人、采购代理机构及供应商</w:t>
      </w:r>
    </w:p>
    <w:p w14:paraId="6407ABAB">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.1采购人：是指开展采购活动的</w:t>
      </w:r>
      <w:r>
        <w:rPr>
          <w:rFonts w:hint="eastAsia" w:ascii="宋体" w:hAnsi="宋体" w:eastAsia="宋体"/>
          <w:color w:val="auto"/>
          <w:sz w:val="24"/>
          <w:highlight w:val="none"/>
          <w:lang w:val="en-US" w:eastAsia="zh-CN"/>
        </w:rPr>
        <w:t>各类主体</w:t>
      </w:r>
      <w:r>
        <w:rPr>
          <w:rFonts w:ascii="宋体" w:hAnsi="宋体" w:eastAsia="宋体"/>
          <w:color w:val="auto"/>
          <w:sz w:val="24"/>
          <w:highlight w:val="none"/>
        </w:rPr>
        <w:t>。</w:t>
      </w:r>
      <w:r>
        <w:rPr>
          <w:rFonts w:hint="eastAsia" w:ascii="宋体" w:hAnsi="宋体" w:eastAsia="宋体"/>
          <w:color w:val="auto"/>
          <w:sz w:val="24"/>
          <w:highlight w:val="none"/>
        </w:rPr>
        <w:t>本项目的采购人见</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w:t>
      </w:r>
    </w:p>
    <w:p w14:paraId="54FB2741">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szCs w:val="22"/>
          <w:highlight w:val="none"/>
        </w:rPr>
      </w:pPr>
      <w:r>
        <w:rPr>
          <w:rFonts w:hint="eastAsia" w:ascii="宋体" w:hAnsi="宋体" w:eastAsia="宋体"/>
          <w:color w:val="auto"/>
          <w:sz w:val="24"/>
          <w:highlight w:val="none"/>
        </w:rPr>
        <w:t>3</w:t>
      </w:r>
      <w:r>
        <w:rPr>
          <w:rFonts w:ascii="宋体" w:hAnsi="宋体" w:eastAsia="宋体"/>
          <w:color w:val="auto"/>
          <w:sz w:val="24"/>
          <w:highlight w:val="none"/>
        </w:rPr>
        <w:t>.2采购代理机构：是指从事采购代理业务的社会中介机构。本项目的采购</w:t>
      </w:r>
      <w:r>
        <w:rPr>
          <w:rFonts w:hint="eastAsia" w:ascii="宋体" w:hAnsi="宋体" w:eastAsia="宋体"/>
          <w:color w:val="auto"/>
          <w:sz w:val="24"/>
          <w:szCs w:val="22"/>
          <w:highlight w:val="none"/>
        </w:rPr>
        <w:t>代理机构见</w:t>
      </w:r>
      <w:r>
        <w:rPr>
          <w:rFonts w:hint="eastAsia" w:ascii="宋体" w:hAnsi="宋体" w:eastAsia="宋体"/>
          <w:color w:val="auto"/>
          <w:sz w:val="24"/>
          <w:szCs w:val="22"/>
          <w:highlight w:val="none"/>
          <w:u w:val="single"/>
        </w:rPr>
        <w:t>供应商须知前附表</w:t>
      </w:r>
      <w:r>
        <w:rPr>
          <w:rFonts w:hint="eastAsia" w:ascii="宋体" w:hAnsi="宋体" w:eastAsia="宋体"/>
          <w:color w:val="auto"/>
          <w:sz w:val="24"/>
          <w:szCs w:val="22"/>
          <w:highlight w:val="none"/>
        </w:rPr>
        <w:t>。</w:t>
      </w:r>
    </w:p>
    <w:p w14:paraId="22E2B6D9">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szCs w:val="22"/>
          <w:highlight w:val="none"/>
        </w:rPr>
      </w:pPr>
      <w:r>
        <w:rPr>
          <w:rFonts w:hint="eastAsia" w:ascii="宋体" w:hAnsi="宋体" w:eastAsia="宋体"/>
          <w:color w:val="auto"/>
          <w:sz w:val="24"/>
          <w:szCs w:val="22"/>
          <w:highlight w:val="none"/>
        </w:rPr>
        <w:t>3.3采购监督管理部门：与采购活动有关的</w:t>
      </w:r>
      <w:r>
        <w:rPr>
          <w:rFonts w:hint="eastAsia" w:ascii="宋体" w:hAnsi="宋体" w:eastAsia="宋体"/>
          <w:color w:val="auto"/>
          <w:sz w:val="24"/>
          <w:szCs w:val="22"/>
          <w:highlight w:val="none"/>
          <w:lang w:val="en-US" w:eastAsia="zh-CN"/>
        </w:rPr>
        <w:t>具有</w:t>
      </w:r>
      <w:r>
        <w:rPr>
          <w:rFonts w:hint="eastAsia" w:ascii="宋体" w:hAnsi="宋体" w:eastAsia="宋体"/>
          <w:color w:val="auto"/>
          <w:sz w:val="24"/>
          <w:szCs w:val="22"/>
          <w:highlight w:val="none"/>
        </w:rPr>
        <w:t>监督管理</w:t>
      </w:r>
      <w:r>
        <w:rPr>
          <w:rFonts w:hint="eastAsia" w:ascii="宋体" w:hAnsi="宋体" w:eastAsia="宋体"/>
          <w:color w:val="auto"/>
          <w:sz w:val="24"/>
          <w:szCs w:val="22"/>
          <w:highlight w:val="none"/>
          <w:lang w:val="en-US" w:eastAsia="zh-CN"/>
        </w:rPr>
        <w:t>权利</w:t>
      </w:r>
      <w:r>
        <w:rPr>
          <w:rFonts w:hint="eastAsia" w:ascii="宋体" w:hAnsi="宋体" w:eastAsia="宋体"/>
          <w:color w:val="auto"/>
          <w:sz w:val="24"/>
          <w:szCs w:val="22"/>
          <w:highlight w:val="none"/>
        </w:rPr>
        <w:t>的相关部门。</w:t>
      </w:r>
      <w:r>
        <w:rPr>
          <w:rFonts w:hint="eastAsia" w:ascii="宋体" w:hAnsi="宋体" w:eastAsia="宋体"/>
          <w:color w:val="auto"/>
          <w:sz w:val="24"/>
          <w:szCs w:val="22"/>
          <w:highlight w:val="none"/>
          <w:lang w:val="en-US" w:eastAsia="zh-CN"/>
        </w:rPr>
        <w:t>本项目的采购监督管理部门见</w:t>
      </w:r>
      <w:r>
        <w:rPr>
          <w:rFonts w:hint="eastAsia" w:ascii="宋体" w:hAnsi="宋体" w:eastAsia="宋体"/>
          <w:color w:val="auto"/>
          <w:sz w:val="24"/>
          <w:szCs w:val="22"/>
          <w:highlight w:val="none"/>
          <w:u w:val="single"/>
        </w:rPr>
        <w:t>供应商须知前附表</w:t>
      </w:r>
      <w:r>
        <w:rPr>
          <w:rFonts w:hint="eastAsia" w:ascii="宋体" w:hAnsi="宋体" w:eastAsia="宋体"/>
          <w:color w:val="auto"/>
          <w:sz w:val="24"/>
          <w:szCs w:val="22"/>
          <w:highlight w:val="none"/>
        </w:rPr>
        <w:t>。</w:t>
      </w:r>
    </w:p>
    <w:p w14:paraId="0B7690E2">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highlight w:val="none"/>
          <w:lang w:val="en-US" w:eastAsia="zh-CN"/>
        </w:rPr>
        <w:t>4</w:t>
      </w:r>
      <w:r>
        <w:rPr>
          <w:rFonts w:hint="eastAsia" w:ascii="宋体" w:hAnsi="宋体" w:eastAsia="宋体"/>
          <w:color w:val="auto"/>
          <w:sz w:val="24"/>
          <w:highlight w:val="none"/>
        </w:rPr>
        <w:t>供应商</w:t>
      </w:r>
      <w:r>
        <w:rPr>
          <w:rFonts w:ascii="宋体" w:hAnsi="宋体" w:eastAsia="宋体"/>
          <w:color w:val="auto"/>
          <w:sz w:val="24"/>
          <w:highlight w:val="none"/>
        </w:rPr>
        <w:t>：是指向采购人提供货物、工程或者服务的法人、非法人组织或者自然人。</w:t>
      </w:r>
      <w:r>
        <w:rPr>
          <w:rFonts w:hint="eastAsia" w:ascii="宋体" w:hAnsi="宋体" w:eastAsia="宋体"/>
          <w:color w:val="auto"/>
          <w:sz w:val="24"/>
          <w:highlight w:val="none"/>
        </w:rPr>
        <w:t>分支机构不得参加采购活动，但银行、保险、石油石化、电力、电信等特殊行业除外。</w:t>
      </w:r>
      <w:r>
        <w:rPr>
          <w:rFonts w:ascii="宋体" w:hAnsi="宋体" w:eastAsia="宋体"/>
          <w:color w:val="auto"/>
          <w:sz w:val="24"/>
          <w:highlight w:val="none"/>
        </w:rPr>
        <w:t>本项目的</w:t>
      </w:r>
      <w:r>
        <w:rPr>
          <w:rFonts w:hint="eastAsia" w:ascii="宋体" w:hAnsi="宋体" w:eastAsia="宋体"/>
          <w:color w:val="auto"/>
          <w:sz w:val="24"/>
          <w:highlight w:val="none"/>
        </w:rPr>
        <w:t>供应商</w:t>
      </w:r>
      <w:r>
        <w:rPr>
          <w:rFonts w:ascii="宋体" w:hAnsi="宋体" w:eastAsia="宋体"/>
          <w:color w:val="auto"/>
          <w:sz w:val="24"/>
          <w:highlight w:val="none"/>
        </w:rPr>
        <w:t>须满足以下条件：</w:t>
      </w:r>
    </w:p>
    <w:p w14:paraId="315E39ED">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w:t>
      </w:r>
      <w:r>
        <w:rPr>
          <w:rFonts w:hint="eastAsia" w:ascii="宋体" w:hAnsi="宋体" w:eastAsia="宋体"/>
          <w:color w:val="auto"/>
          <w:sz w:val="24"/>
          <w:highlight w:val="none"/>
          <w:lang w:val="en-US" w:eastAsia="zh-CN"/>
        </w:rPr>
        <w:t>4</w:t>
      </w:r>
      <w:r>
        <w:rPr>
          <w:rFonts w:ascii="宋体" w:hAnsi="宋体" w:eastAsia="宋体"/>
          <w:color w:val="auto"/>
          <w:sz w:val="24"/>
          <w:highlight w:val="none"/>
        </w:rPr>
        <w:t>.1在中华人民共和国境内注册，能够独立承担民事责任，有生产或供应能力的本国供应商。</w:t>
      </w:r>
    </w:p>
    <w:p w14:paraId="5BA5F005">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w:t>
      </w:r>
      <w:r>
        <w:rPr>
          <w:rFonts w:hint="eastAsia" w:ascii="宋体" w:hAnsi="宋体" w:eastAsia="宋体"/>
          <w:color w:val="auto"/>
          <w:sz w:val="24"/>
          <w:highlight w:val="none"/>
          <w:lang w:val="en-US" w:eastAsia="zh-CN"/>
        </w:rPr>
        <w:t>4</w:t>
      </w:r>
      <w:r>
        <w:rPr>
          <w:rFonts w:ascii="宋体" w:hAnsi="宋体" w:eastAsia="宋体"/>
          <w:color w:val="auto"/>
          <w:sz w:val="24"/>
          <w:highlight w:val="none"/>
        </w:rPr>
        <w:t>.2以采购代理机构认可的方式获得了本项目的</w:t>
      </w:r>
      <w:r>
        <w:rPr>
          <w:rFonts w:hint="eastAsia" w:ascii="宋体" w:hAnsi="宋体" w:eastAsia="宋体"/>
          <w:color w:val="auto"/>
          <w:sz w:val="24"/>
          <w:highlight w:val="none"/>
        </w:rPr>
        <w:t>磋商</w:t>
      </w:r>
      <w:r>
        <w:rPr>
          <w:rFonts w:ascii="宋体" w:hAnsi="宋体" w:eastAsia="宋体"/>
          <w:color w:val="auto"/>
          <w:sz w:val="24"/>
          <w:highlight w:val="none"/>
        </w:rPr>
        <w:t>文件。</w:t>
      </w:r>
    </w:p>
    <w:p w14:paraId="2D19AD5F">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s="宋体"/>
          <w:color w:val="auto"/>
          <w:sz w:val="24"/>
          <w:highlight w:val="none"/>
        </w:rPr>
        <w:t>3.5</w:t>
      </w:r>
      <w:r>
        <w:rPr>
          <w:rFonts w:ascii="Arial" w:hAnsi="Arial" w:eastAsia="宋体" w:cs="Arial"/>
          <w:color w:val="auto"/>
          <w:sz w:val="24"/>
          <w:highlight w:val="none"/>
        </w:rPr>
        <w:t>若</w:t>
      </w:r>
      <w:r>
        <w:rPr>
          <w:rFonts w:hint="eastAsia" w:ascii="Arial" w:hAnsi="Arial" w:eastAsia="宋体" w:cs="Arial"/>
          <w:color w:val="auto"/>
          <w:sz w:val="24"/>
          <w:highlight w:val="none"/>
          <w:u w:val="single"/>
          <w:lang w:eastAsia="zh-CN"/>
        </w:rPr>
        <w:t>供应商</w:t>
      </w:r>
      <w:r>
        <w:rPr>
          <w:rFonts w:ascii="Arial" w:hAnsi="Arial" w:eastAsia="宋体" w:cs="Arial"/>
          <w:color w:val="auto"/>
          <w:sz w:val="24"/>
          <w:highlight w:val="none"/>
          <w:u w:val="single"/>
        </w:rPr>
        <w:t>须知前附表</w:t>
      </w:r>
      <w:r>
        <w:rPr>
          <w:rFonts w:ascii="Arial" w:hAnsi="Arial" w:eastAsia="宋体" w:cs="Arial"/>
          <w:color w:val="auto"/>
          <w:sz w:val="24"/>
          <w:highlight w:val="none"/>
        </w:rPr>
        <w:t>中允许联合体</w:t>
      </w:r>
      <w:r>
        <w:rPr>
          <w:rFonts w:hint="eastAsia" w:ascii="Arial" w:hAnsi="Arial" w:eastAsia="宋体" w:cs="Arial"/>
          <w:color w:val="auto"/>
          <w:sz w:val="24"/>
          <w:highlight w:val="none"/>
          <w:lang w:val="en-US" w:eastAsia="zh-CN"/>
        </w:rPr>
        <w:t>磋商</w:t>
      </w:r>
      <w:r>
        <w:rPr>
          <w:rFonts w:ascii="Arial" w:hAnsi="Arial" w:eastAsia="宋体" w:cs="Arial"/>
          <w:color w:val="auto"/>
          <w:sz w:val="24"/>
          <w:highlight w:val="none"/>
        </w:rPr>
        <w:t>，对联合体规定如下：</w:t>
      </w:r>
      <w:r>
        <w:rPr>
          <w:rFonts w:ascii="宋体" w:hAnsi="宋体" w:eastAsia="宋体"/>
          <w:color w:val="auto"/>
          <w:sz w:val="24"/>
          <w:highlight w:val="none"/>
        </w:rPr>
        <w:t>：</w:t>
      </w:r>
    </w:p>
    <w:p w14:paraId="347BAC9C">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w:t>
      </w:r>
      <w:r>
        <w:rPr>
          <w:rFonts w:hint="eastAsia" w:ascii="宋体" w:hAnsi="宋体" w:eastAsia="宋体"/>
          <w:color w:val="auto"/>
          <w:sz w:val="24"/>
          <w:highlight w:val="none"/>
          <w:lang w:val="en-US" w:eastAsia="zh-CN"/>
        </w:rPr>
        <w:t>5</w:t>
      </w:r>
      <w:r>
        <w:rPr>
          <w:rFonts w:ascii="宋体" w:hAnsi="宋体" w:eastAsia="宋体"/>
          <w:color w:val="auto"/>
          <w:sz w:val="24"/>
          <w:highlight w:val="none"/>
        </w:rPr>
        <w:t>.1</w:t>
      </w:r>
      <w:r>
        <w:rPr>
          <w:rFonts w:hint="eastAsia" w:ascii="宋体" w:hAnsi="宋体" w:eastAsia="宋体"/>
          <w:color w:val="auto"/>
          <w:sz w:val="24"/>
          <w:highlight w:val="none"/>
        </w:rPr>
        <w:t>两个以上供应商可以组成一个磋商联合体，以一个供应商的身份磋商</w:t>
      </w:r>
      <w:r>
        <w:rPr>
          <w:rFonts w:ascii="宋体" w:hAnsi="宋体" w:eastAsia="宋体"/>
          <w:color w:val="auto"/>
          <w:sz w:val="24"/>
          <w:highlight w:val="none"/>
        </w:rPr>
        <w:t>。</w:t>
      </w:r>
    </w:p>
    <w:p w14:paraId="65962D29">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szCs w:val="22"/>
          <w:highlight w:val="none"/>
          <w:lang w:eastAsia="zh-CN"/>
        </w:rPr>
      </w:pPr>
      <w:r>
        <w:rPr>
          <w:rFonts w:hint="eastAsia" w:ascii="宋体" w:hAnsi="宋体" w:eastAsia="宋体"/>
          <w:color w:val="auto"/>
          <w:sz w:val="24"/>
          <w:szCs w:val="22"/>
          <w:highlight w:val="none"/>
          <w:lang w:eastAsia="zh-CN"/>
        </w:rPr>
        <w:t>3.5.2联合体各方均应为在中华人民共和国境内注册，能够独立承担民事责任，有生产或供应能力的本国供应商。</w:t>
      </w:r>
    </w:p>
    <w:p w14:paraId="033E89D8">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szCs w:val="22"/>
          <w:highlight w:val="none"/>
          <w:lang w:eastAsia="zh-CN"/>
        </w:rPr>
      </w:pPr>
      <w:r>
        <w:rPr>
          <w:rFonts w:hint="eastAsia" w:ascii="宋体" w:hAnsi="宋体" w:eastAsia="宋体"/>
          <w:color w:val="auto"/>
          <w:sz w:val="24"/>
          <w:szCs w:val="22"/>
          <w:highlight w:val="none"/>
          <w:lang w:eastAsia="zh-CN"/>
        </w:rPr>
        <w:t>3.5.3采购人根据采购项目对供应商的特殊要求，联合体中至少应当有一方符合相关规定。</w:t>
      </w:r>
    </w:p>
    <w:p w14:paraId="04A90B6F">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szCs w:val="22"/>
          <w:highlight w:val="none"/>
          <w:lang w:eastAsia="zh-CN"/>
        </w:rPr>
      </w:pPr>
      <w:r>
        <w:rPr>
          <w:rFonts w:hint="eastAsia" w:ascii="宋体" w:hAnsi="宋体" w:eastAsia="宋体"/>
          <w:color w:val="auto"/>
          <w:sz w:val="24"/>
          <w:szCs w:val="22"/>
          <w:highlight w:val="none"/>
          <w:lang w:eastAsia="zh-CN"/>
        </w:rPr>
        <w:t>3.5.4联合体各方应签订联合体协议，明确约定联合体各方承担的工作和相应的责任，并将联合体协议作为响应文件的一部分提交。</w:t>
      </w:r>
    </w:p>
    <w:p w14:paraId="7E1F2308">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szCs w:val="22"/>
          <w:highlight w:val="none"/>
          <w:lang w:eastAsia="zh-CN"/>
        </w:rPr>
      </w:pPr>
      <w:r>
        <w:rPr>
          <w:rFonts w:hint="eastAsia" w:ascii="宋体" w:hAnsi="宋体" w:eastAsia="宋体"/>
          <w:color w:val="auto"/>
          <w:sz w:val="24"/>
          <w:szCs w:val="22"/>
          <w:highlight w:val="none"/>
          <w:lang w:eastAsia="zh-CN"/>
        </w:rPr>
        <w:t>3.5.5联合体中有同类资质的供应商按照联合体分工承担相同工作的，应当按照资质等级较低的供应商确定资质等级。</w:t>
      </w:r>
    </w:p>
    <w:p w14:paraId="7E7BDF1E">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szCs w:val="22"/>
          <w:highlight w:val="none"/>
          <w:lang w:eastAsia="zh-CN"/>
        </w:rPr>
      </w:pPr>
      <w:r>
        <w:rPr>
          <w:rFonts w:hint="eastAsia" w:ascii="宋体" w:hAnsi="宋体" w:eastAsia="宋体"/>
          <w:color w:val="auto"/>
          <w:sz w:val="24"/>
          <w:szCs w:val="22"/>
          <w:highlight w:val="none"/>
          <w:lang w:eastAsia="zh-CN"/>
        </w:rPr>
        <w:t>3.5.6以联合体形式参加采购活动的，联合体各方不得再单独参加或者与其他供应商另外组成联合体参加本项目磋商，否则相关响应文件将被认定为响应无效。</w:t>
      </w:r>
    </w:p>
    <w:p w14:paraId="72FC26E1">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szCs w:val="22"/>
          <w:highlight w:val="none"/>
          <w:lang w:eastAsia="zh-CN"/>
        </w:rPr>
      </w:pPr>
      <w:r>
        <w:rPr>
          <w:rFonts w:hint="eastAsia" w:ascii="宋体" w:hAnsi="宋体" w:eastAsia="宋体"/>
          <w:color w:val="auto"/>
          <w:sz w:val="24"/>
          <w:szCs w:val="22"/>
          <w:highlight w:val="none"/>
          <w:lang w:eastAsia="zh-CN"/>
        </w:rPr>
        <w:t>3.5.7对联合体参加磋商的其他资格要求见供应商资格。</w:t>
      </w:r>
    </w:p>
    <w:p w14:paraId="3E3851E6">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szCs w:val="22"/>
          <w:highlight w:val="none"/>
          <w:lang w:eastAsia="zh-CN"/>
        </w:rPr>
        <w:t>3.6单位负责人为同一</w:t>
      </w:r>
      <w:r>
        <w:rPr>
          <w:rFonts w:ascii="宋体" w:hAnsi="宋体" w:eastAsia="宋体"/>
          <w:color w:val="auto"/>
          <w:sz w:val="24"/>
          <w:highlight w:val="none"/>
        </w:rPr>
        <w:t>人或者存在直接控股、管理关系的不同供应商，</w:t>
      </w:r>
      <w:r>
        <w:rPr>
          <w:rFonts w:hint="eastAsia" w:ascii="宋体" w:hAnsi="宋体" w:eastAsia="宋体"/>
          <w:color w:val="auto"/>
          <w:sz w:val="24"/>
          <w:highlight w:val="none"/>
        </w:rPr>
        <w:t>不得参加同一合同项下的采购活动。否则</w:t>
      </w:r>
      <w:r>
        <w:rPr>
          <w:rFonts w:ascii="宋体" w:hAnsi="宋体" w:eastAsia="宋体"/>
          <w:color w:val="auto"/>
          <w:sz w:val="24"/>
          <w:highlight w:val="none"/>
        </w:rPr>
        <w:t>其相关</w:t>
      </w:r>
      <w:r>
        <w:rPr>
          <w:rFonts w:hint="eastAsia" w:ascii="宋体" w:hAnsi="宋体" w:eastAsia="宋体"/>
          <w:color w:val="auto"/>
          <w:sz w:val="24"/>
          <w:highlight w:val="none"/>
        </w:rPr>
        <w:t>响应文件</w:t>
      </w:r>
      <w:r>
        <w:rPr>
          <w:rFonts w:ascii="宋体" w:hAnsi="宋体" w:eastAsia="宋体"/>
          <w:color w:val="auto"/>
          <w:sz w:val="24"/>
          <w:highlight w:val="none"/>
        </w:rPr>
        <w:t>将被认定为</w:t>
      </w:r>
      <w:r>
        <w:rPr>
          <w:rFonts w:hint="eastAsia" w:ascii="宋体" w:hAnsi="宋体" w:eastAsia="宋体"/>
          <w:b/>
          <w:color w:val="auto"/>
          <w:sz w:val="24"/>
          <w:highlight w:val="none"/>
        </w:rPr>
        <w:t>响应</w:t>
      </w:r>
      <w:r>
        <w:rPr>
          <w:rFonts w:ascii="宋体" w:hAnsi="宋体" w:eastAsia="宋体"/>
          <w:b/>
          <w:color w:val="auto"/>
          <w:sz w:val="24"/>
          <w:highlight w:val="none"/>
        </w:rPr>
        <w:t>无效</w:t>
      </w:r>
      <w:r>
        <w:rPr>
          <w:rFonts w:ascii="宋体" w:hAnsi="宋体" w:eastAsia="宋体"/>
          <w:color w:val="auto"/>
          <w:sz w:val="24"/>
          <w:highlight w:val="none"/>
        </w:rPr>
        <w:t>。</w:t>
      </w:r>
    </w:p>
    <w:p w14:paraId="4CA5B3D3">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w:t>
      </w:r>
      <w:r>
        <w:rPr>
          <w:rFonts w:hint="eastAsia" w:ascii="宋体" w:hAnsi="宋体" w:eastAsia="宋体"/>
          <w:color w:val="auto"/>
          <w:sz w:val="24"/>
          <w:highlight w:val="none"/>
        </w:rPr>
        <w:t>7</w:t>
      </w:r>
      <w:r>
        <w:rPr>
          <w:rFonts w:ascii="宋体" w:hAnsi="宋体" w:eastAsia="宋体"/>
          <w:color w:val="auto"/>
          <w:sz w:val="24"/>
          <w:highlight w:val="none"/>
        </w:rPr>
        <w:t>为本项目提供过整体设计、规范编制或者项目管理、监理、检测等服务的供应商，不得再参加本项目上述服务以外的其他采购活动。否则其</w:t>
      </w:r>
      <w:r>
        <w:rPr>
          <w:rFonts w:hint="eastAsia" w:ascii="宋体" w:hAnsi="宋体" w:eastAsia="宋体"/>
          <w:color w:val="auto"/>
          <w:sz w:val="24"/>
          <w:highlight w:val="none"/>
        </w:rPr>
        <w:t>响应文件</w:t>
      </w:r>
      <w:r>
        <w:rPr>
          <w:rFonts w:ascii="宋体" w:hAnsi="宋体" w:eastAsia="宋体"/>
          <w:color w:val="auto"/>
          <w:sz w:val="24"/>
          <w:highlight w:val="none"/>
        </w:rPr>
        <w:t>将被认定为</w:t>
      </w:r>
      <w:r>
        <w:rPr>
          <w:rFonts w:hint="eastAsia" w:ascii="宋体" w:hAnsi="宋体" w:eastAsia="宋体"/>
          <w:b/>
          <w:color w:val="auto"/>
          <w:sz w:val="24"/>
          <w:highlight w:val="none"/>
        </w:rPr>
        <w:t>响应</w:t>
      </w:r>
      <w:r>
        <w:rPr>
          <w:rFonts w:ascii="宋体" w:hAnsi="宋体" w:eastAsia="宋体"/>
          <w:b/>
          <w:color w:val="auto"/>
          <w:sz w:val="24"/>
          <w:highlight w:val="none"/>
        </w:rPr>
        <w:t>无效</w:t>
      </w:r>
      <w:r>
        <w:rPr>
          <w:rFonts w:ascii="宋体" w:hAnsi="宋体" w:eastAsia="宋体"/>
          <w:color w:val="auto"/>
          <w:sz w:val="24"/>
          <w:highlight w:val="none"/>
        </w:rPr>
        <w:t>。</w:t>
      </w:r>
    </w:p>
    <w:p w14:paraId="5E5467FB">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4</w:t>
      </w:r>
      <w:r>
        <w:rPr>
          <w:rFonts w:ascii="宋体" w:hAnsi="宋体" w:eastAsia="宋体"/>
          <w:b/>
          <w:color w:val="auto"/>
          <w:sz w:val="24"/>
          <w:highlight w:val="none"/>
        </w:rPr>
        <w:t>.</w:t>
      </w:r>
      <w:r>
        <w:rPr>
          <w:rFonts w:hint="eastAsia" w:ascii="宋体" w:hAnsi="宋体" w:eastAsia="宋体"/>
          <w:b/>
          <w:color w:val="auto"/>
          <w:sz w:val="24"/>
          <w:highlight w:val="none"/>
        </w:rPr>
        <w:t>资金来源</w:t>
      </w:r>
    </w:p>
    <w:p w14:paraId="4063055B">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4.1本项目的采购人已获得足以支付本次</w:t>
      </w:r>
      <w:r>
        <w:rPr>
          <w:rFonts w:hint="eastAsia" w:ascii="宋体" w:hAnsi="宋体" w:eastAsia="宋体"/>
          <w:color w:val="auto"/>
          <w:sz w:val="24"/>
          <w:highlight w:val="none"/>
        </w:rPr>
        <w:t>磋商</w:t>
      </w:r>
      <w:r>
        <w:rPr>
          <w:rFonts w:ascii="宋体" w:hAnsi="宋体" w:eastAsia="宋体"/>
          <w:color w:val="auto"/>
          <w:sz w:val="24"/>
          <w:highlight w:val="none"/>
        </w:rPr>
        <w:t>后所签订的合同项下的资金。</w:t>
      </w:r>
    </w:p>
    <w:p w14:paraId="3C6394D1">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4.2项目预算金额</w:t>
      </w:r>
      <w:r>
        <w:rPr>
          <w:rFonts w:hint="eastAsia" w:ascii="宋体" w:hAnsi="宋体" w:eastAsia="宋体"/>
          <w:color w:val="auto"/>
          <w:sz w:val="24"/>
          <w:highlight w:val="none"/>
        </w:rPr>
        <w:t>或</w:t>
      </w:r>
      <w:r>
        <w:rPr>
          <w:rFonts w:ascii="宋体" w:hAnsi="宋体" w:eastAsia="宋体"/>
          <w:color w:val="auto"/>
          <w:sz w:val="24"/>
          <w:highlight w:val="none"/>
        </w:rPr>
        <w:t>分项（或分包）预算金额见</w:t>
      </w:r>
      <w:r>
        <w:rPr>
          <w:rFonts w:hint="eastAsia" w:ascii="宋体" w:hAnsi="宋体" w:eastAsia="宋体"/>
          <w:color w:val="auto"/>
          <w:sz w:val="24"/>
          <w:highlight w:val="none"/>
        </w:rPr>
        <w:t>磋商</w:t>
      </w:r>
      <w:r>
        <w:rPr>
          <w:rFonts w:hint="eastAsia" w:ascii="宋体" w:hAnsi="宋体" w:eastAsia="宋体"/>
          <w:color w:val="auto"/>
          <w:sz w:val="24"/>
          <w:highlight w:val="none"/>
          <w:lang w:eastAsia="zh-CN"/>
        </w:rPr>
        <w:t>公告</w:t>
      </w:r>
      <w:r>
        <w:rPr>
          <w:rFonts w:ascii="宋体" w:hAnsi="宋体" w:eastAsia="宋体"/>
          <w:color w:val="auto"/>
          <w:sz w:val="24"/>
          <w:highlight w:val="none"/>
        </w:rPr>
        <w:t>。</w:t>
      </w:r>
    </w:p>
    <w:p w14:paraId="3E3A6FD5">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5</w:t>
      </w:r>
      <w:r>
        <w:rPr>
          <w:rFonts w:ascii="宋体" w:hAnsi="宋体" w:eastAsia="宋体"/>
          <w:b/>
          <w:color w:val="auto"/>
          <w:sz w:val="24"/>
          <w:highlight w:val="none"/>
        </w:rPr>
        <w:t>.</w:t>
      </w:r>
      <w:r>
        <w:rPr>
          <w:rFonts w:hint="eastAsia" w:ascii="宋体" w:hAnsi="宋体" w:eastAsia="宋体"/>
          <w:b/>
          <w:color w:val="auto"/>
          <w:sz w:val="24"/>
          <w:highlight w:val="none"/>
        </w:rPr>
        <w:t>磋商费用</w:t>
      </w:r>
    </w:p>
    <w:p w14:paraId="537BEE98">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color w:val="auto"/>
          <w:sz w:val="24"/>
          <w:highlight w:val="none"/>
        </w:rPr>
      </w:pPr>
      <w:r>
        <w:rPr>
          <w:rFonts w:hint="eastAsia" w:ascii="宋体" w:hAnsi="宋体" w:eastAsia="宋体"/>
          <w:color w:val="auto"/>
          <w:sz w:val="24"/>
          <w:highlight w:val="none"/>
        </w:rPr>
        <w:t>不论磋商的结果如何，供应商应承担其所有与准备和参加磋商有关的费用。</w:t>
      </w:r>
    </w:p>
    <w:p w14:paraId="0533ABBE">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6</w:t>
      </w:r>
      <w:r>
        <w:rPr>
          <w:rFonts w:ascii="宋体" w:hAnsi="宋体" w:eastAsia="宋体"/>
          <w:b/>
          <w:color w:val="auto"/>
          <w:sz w:val="24"/>
          <w:highlight w:val="none"/>
        </w:rPr>
        <w:t>.</w:t>
      </w:r>
      <w:r>
        <w:rPr>
          <w:rFonts w:hint="eastAsia" w:ascii="宋体" w:hAnsi="宋体" w:eastAsia="宋体"/>
          <w:b/>
          <w:color w:val="auto"/>
          <w:sz w:val="24"/>
          <w:highlight w:val="none"/>
        </w:rPr>
        <w:t>适用法律</w:t>
      </w:r>
    </w:p>
    <w:p w14:paraId="4BE8D933">
      <w:pPr>
        <w:keepNext w:val="0"/>
        <w:keepLines w:val="0"/>
        <w:pageBreakBefore w:val="0"/>
        <w:kinsoku/>
        <w:wordWrap w:val="0"/>
        <w:overflowPunct/>
        <w:topLinePunct w:val="0"/>
        <w:bidi w:val="0"/>
        <w:spacing w:line="440" w:lineRule="exact"/>
        <w:ind w:firstLine="435"/>
        <w:jc w:val="left"/>
        <w:textAlignment w:val="auto"/>
        <w:rPr>
          <w:rFonts w:hint="default"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本项目不属于政府采购项目，</w:t>
      </w:r>
      <w:r>
        <w:rPr>
          <w:rFonts w:hint="eastAsia" w:ascii="宋体" w:hAnsi="宋体" w:eastAsia="宋体"/>
          <w:color w:val="auto"/>
          <w:sz w:val="24"/>
          <w:highlight w:val="none"/>
        </w:rPr>
        <w:t>本项目采购人、采购代理机构、供应商、磋商小组的相关行为</w:t>
      </w:r>
      <w:r>
        <w:rPr>
          <w:rFonts w:hint="eastAsia" w:ascii="宋体" w:hAnsi="宋体" w:eastAsia="宋体"/>
          <w:color w:val="auto"/>
          <w:sz w:val="24"/>
          <w:highlight w:val="none"/>
          <w:lang w:val="en-US" w:eastAsia="zh-CN"/>
        </w:rPr>
        <w:t>和权利受采购人有关规定及本项目磋商文件</w:t>
      </w:r>
      <w:r>
        <w:rPr>
          <w:rFonts w:hint="eastAsia" w:ascii="宋体" w:hAnsi="宋体" w:eastAsia="宋体"/>
          <w:color w:val="auto"/>
          <w:sz w:val="24"/>
          <w:highlight w:val="none"/>
        </w:rPr>
        <w:t>的约束</w:t>
      </w:r>
      <w:r>
        <w:rPr>
          <w:rFonts w:hint="eastAsia" w:ascii="宋体" w:hAnsi="宋体" w:eastAsia="宋体"/>
          <w:color w:val="auto"/>
          <w:sz w:val="24"/>
          <w:highlight w:val="none"/>
          <w:lang w:val="en-US" w:eastAsia="zh-CN"/>
        </w:rPr>
        <w:t>和保护。</w:t>
      </w:r>
    </w:p>
    <w:p w14:paraId="5BB4B9B0">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7</w:t>
      </w:r>
      <w:r>
        <w:rPr>
          <w:rFonts w:ascii="宋体" w:hAnsi="宋体" w:eastAsia="宋体"/>
          <w:b/>
          <w:color w:val="auto"/>
          <w:sz w:val="24"/>
          <w:highlight w:val="none"/>
        </w:rPr>
        <w:t>.</w:t>
      </w:r>
      <w:r>
        <w:rPr>
          <w:rFonts w:hint="eastAsia" w:ascii="宋体" w:hAnsi="宋体" w:eastAsia="宋体"/>
          <w:b/>
          <w:color w:val="auto"/>
          <w:sz w:val="24"/>
          <w:highlight w:val="none"/>
        </w:rPr>
        <w:t>磋商文件构成</w:t>
      </w:r>
    </w:p>
    <w:p w14:paraId="4C3D35B3">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7.1磋商文件包括下列内容：</w:t>
      </w:r>
    </w:p>
    <w:p w14:paraId="6C01866F">
      <w:pPr>
        <w:keepNext w:val="0"/>
        <w:keepLines w:val="0"/>
        <w:pageBreakBefore w:val="0"/>
        <w:kinsoku/>
        <w:wordWrap w:val="0"/>
        <w:overflowPunct/>
        <w:topLinePunct w:val="0"/>
        <w:bidi w:val="0"/>
        <w:spacing w:line="440" w:lineRule="exact"/>
        <w:ind w:firstLine="840" w:firstLineChars="350"/>
        <w:jc w:val="left"/>
        <w:textAlignment w:val="auto"/>
        <w:rPr>
          <w:rFonts w:hint="eastAsia" w:ascii="宋体" w:hAnsi="宋体" w:eastAsia="宋体"/>
          <w:color w:val="auto"/>
          <w:sz w:val="24"/>
          <w:highlight w:val="none"/>
          <w:lang w:eastAsia="zh-CN"/>
        </w:rPr>
      </w:pPr>
      <w:r>
        <w:rPr>
          <w:rFonts w:hint="eastAsia" w:ascii="宋体" w:hAnsi="宋体" w:eastAsia="宋体"/>
          <w:color w:val="auto"/>
          <w:sz w:val="24"/>
          <w:highlight w:val="none"/>
        </w:rPr>
        <w:t>第一章</w:t>
      </w:r>
      <w:r>
        <w:rPr>
          <w:rFonts w:ascii="宋体" w:hAnsi="宋体" w:eastAsia="宋体"/>
          <w:color w:val="auto"/>
          <w:sz w:val="24"/>
          <w:highlight w:val="none"/>
        </w:rPr>
        <w:t xml:space="preserve">  </w:t>
      </w:r>
      <w:r>
        <w:rPr>
          <w:rFonts w:hint="eastAsia" w:ascii="宋体" w:hAnsi="宋体" w:eastAsia="宋体"/>
          <w:color w:val="auto"/>
          <w:sz w:val="24"/>
          <w:highlight w:val="none"/>
          <w:lang w:val="en-US" w:eastAsia="zh-CN"/>
        </w:rPr>
        <w:t>磋商公告</w:t>
      </w:r>
    </w:p>
    <w:p w14:paraId="6F47A83B">
      <w:pPr>
        <w:keepNext w:val="0"/>
        <w:keepLines w:val="0"/>
        <w:pageBreakBefore w:val="0"/>
        <w:kinsoku/>
        <w:wordWrap w:val="0"/>
        <w:overflowPunct/>
        <w:topLinePunct w:val="0"/>
        <w:bidi w:val="0"/>
        <w:spacing w:line="440" w:lineRule="exact"/>
        <w:ind w:firstLine="840" w:firstLineChars="350"/>
        <w:jc w:val="left"/>
        <w:textAlignment w:val="auto"/>
        <w:rPr>
          <w:rFonts w:ascii="宋体" w:hAnsi="宋体" w:eastAsia="宋体"/>
          <w:color w:val="auto"/>
          <w:sz w:val="24"/>
          <w:highlight w:val="none"/>
        </w:rPr>
      </w:pPr>
      <w:r>
        <w:rPr>
          <w:rFonts w:hint="eastAsia" w:ascii="宋体" w:hAnsi="宋体" w:eastAsia="宋体"/>
          <w:color w:val="auto"/>
          <w:sz w:val="24"/>
          <w:highlight w:val="none"/>
        </w:rPr>
        <w:t>第二章</w:t>
      </w:r>
      <w:r>
        <w:rPr>
          <w:rFonts w:ascii="宋体" w:hAnsi="宋体" w:eastAsia="宋体"/>
          <w:color w:val="auto"/>
          <w:sz w:val="24"/>
          <w:highlight w:val="none"/>
        </w:rPr>
        <w:t xml:space="preserve">  </w:t>
      </w:r>
      <w:r>
        <w:rPr>
          <w:rFonts w:hint="eastAsia" w:ascii="宋体" w:hAnsi="宋体" w:eastAsia="宋体"/>
          <w:color w:val="auto"/>
          <w:sz w:val="24"/>
          <w:highlight w:val="none"/>
        </w:rPr>
        <w:t>供应商</w:t>
      </w:r>
      <w:r>
        <w:rPr>
          <w:rFonts w:ascii="宋体" w:hAnsi="宋体" w:eastAsia="宋体"/>
          <w:color w:val="auto"/>
          <w:sz w:val="24"/>
          <w:highlight w:val="none"/>
        </w:rPr>
        <w:t>须知</w:t>
      </w:r>
    </w:p>
    <w:p w14:paraId="55FD27EC">
      <w:pPr>
        <w:keepNext w:val="0"/>
        <w:keepLines w:val="0"/>
        <w:pageBreakBefore w:val="0"/>
        <w:kinsoku/>
        <w:wordWrap w:val="0"/>
        <w:overflowPunct/>
        <w:topLinePunct w:val="0"/>
        <w:bidi w:val="0"/>
        <w:spacing w:line="440" w:lineRule="exact"/>
        <w:ind w:firstLine="840" w:firstLineChars="350"/>
        <w:jc w:val="left"/>
        <w:textAlignment w:val="auto"/>
        <w:rPr>
          <w:rFonts w:ascii="宋体" w:hAnsi="宋体" w:eastAsia="宋体"/>
          <w:color w:val="auto"/>
          <w:sz w:val="24"/>
          <w:highlight w:val="none"/>
        </w:rPr>
      </w:pPr>
      <w:r>
        <w:rPr>
          <w:rFonts w:hint="eastAsia" w:ascii="宋体" w:hAnsi="宋体" w:eastAsia="宋体"/>
          <w:color w:val="auto"/>
          <w:sz w:val="24"/>
          <w:highlight w:val="none"/>
        </w:rPr>
        <w:t>第三章</w:t>
      </w:r>
      <w:r>
        <w:rPr>
          <w:rFonts w:ascii="宋体" w:hAnsi="宋体" w:eastAsia="宋体"/>
          <w:color w:val="auto"/>
          <w:sz w:val="24"/>
          <w:highlight w:val="none"/>
        </w:rPr>
        <w:t xml:space="preserve">  采购需求</w:t>
      </w:r>
    </w:p>
    <w:p w14:paraId="53552C5A">
      <w:pPr>
        <w:keepNext w:val="0"/>
        <w:keepLines w:val="0"/>
        <w:pageBreakBefore w:val="0"/>
        <w:kinsoku/>
        <w:wordWrap w:val="0"/>
        <w:overflowPunct/>
        <w:topLinePunct w:val="0"/>
        <w:bidi w:val="0"/>
        <w:spacing w:line="440" w:lineRule="exact"/>
        <w:ind w:firstLine="840" w:firstLineChars="350"/>
        <w:jc w:val="left"/>
        <w:textAlignment w:val="auto"/>
        <w:rPr>
          <w:rFonts w:ascii="宋体" w:hAnsi="宋体" w:eastAsia="宋体"/>
          <w:color w:val="auto"/>
          <w:sz w:val="24"/>
          <w:highlight w:val="none"/>
        </w:rPr>
      </w:pPr>
      <w:r>
        <w:rPr>
          <w:rFonts w:hint="eastAsia" w:ascii="宋体" w:hAnsi="宋体" w:eastAsia="宋体"/>
          <w:color w:val="auto"/>
          <w:sz w:val="24"/>
          <w:highlight w:val="none"/>
        </w:rPr>
        <w:t>第四章</w:t>
      </w:r>
      <w:r>
        <w:rPr>
          <w:rFonts w:ascii="宋体" w:hAnsi="宋体" w:eastAsia="宋体"/>
          <w:color w:val="auto"/>
          <w:sz w:val="24"/>
          <w:highlight w:val="none"/>
        </w:rPr>
        <w:t xml:space="preserve">  </w:t>
      </w:r>
      <w:r>
        <w:rPr>
          <w:rFonts w:hint="eastAsia" w:ascii="宋体" w:hAnsi="宋体" w:eastAsia="宋体"/>
          <w:color w:val="auto"/>
          <w:sz w:val="24"/>
          <w:highlight w:val="none"/>
        </w:rPr>
        <w:t>评审方法</w:t>
      </w:r>
      <w:r>
        <w:rPr>
          <w:rFonts w:ascii="宋体" w:hAnsi="宋体" w:eastAsia="宋体"/>
          <w:color w:val="auto"/>
          <w:sz w:val="24"/>
          <w:highlight w:val="none"/>
        </w:rPr>
        <w:t>和标准</w:t>
      </w:r>
    </w:p>
    <w:p w14:paraId="735E8554">
      <w:pPr>
        <w:keepNext w:val="0"/>
        <w:keepLines w:val="0"/>
        <w:pageBreakBefore w:val="0"/>
        <w:kinsoku/>
        <w:wordWrap w:val="0"/>
        <w:overflowPunct/>
        <w:topLinePunct w:val="0"/>
        <w:bidi w:val="0"/>
        <w:spacing w:line="440" w:lineRule="exact"/>
        <w:ind w:firstLine="840" w:firstLineChars="350"/>
        <w:jc w:val="left"/>
        <w:textAlignment w:val="auto"/>
        <w:rPr>
          <w:rFonts w:ascii="宋体" w:hAnsi="宋体" w:eastAsia="宋体"/>
          <w:color w:val="auto"/>
          <w:sz w:val="24"/>
          <w:highlight w:val="none"/>
        </w:rPr>
      </w:pPr>
      <w:r>
        <w:rPr>
          <w:rFonts w:hint="eastAsia" w:ascii="宋体" w:hAnsi="宋体" w:eastAsia="宋体"/>
          <w:color w:val="auto"/>
          <w:sz w:val="24"/>
          <w:highlight w:val="none"/>
        </w:rPr>
        <w:t>第五章</w:t>
      </w:r>
      <w:r>
        <w:rPr>
          <w:rFonts w:ascii="宋体" w:hAnsi="宋体" w:eastAsia="宋体"/>
          <w:color w:val="auto"/>
          <w:sz w:val="24"/>
          <w:highlight w:val="none"/>
        </w:rPr>
        <w:t xml:space="preserve">  采购合同</w:t>
      </w:r>
    </w:p>
    <w:p w14:paraId="2F4F681D">
      <w:pPr>
        <w:keepNext w:val="0"/>
        <w:keepLines w:val="0"/>
        <w:pageBreakBefore w:val="0"/>
        <w:kinsoku/>
        <w:wordWrap w:val="0"/>
        <w:overflowPunct/>
        <w:topLinePunct w:val="0"/>
        <w:bidi w:val="0"/>
        <w:spacing w:line="440" w:lineRule="exact"/>
        <w:ind w:firstLine="840" w:firstLineChars="350"/>
        <w:jc w:val="left"/>
        <w:textAlignment w:val="auto"/>
        <w:rPr>
          <w:rFonts w:ascii="宋体" w:hAnsi="宋体" w:eastAsia="宋体"/>
          <w:color w:val="auto"/>
          <w:sz w:val="24"/>
          <w:highlight w:val="none"/>
        </w:rPr>
      </w:pPr>
      <w:r>
        <w:rPr>
          <w:rFonts w:hint="eastAsia" w:ascii="宋体" w:hAnsi="宋体" w:eastAsia="宋体"/>
          <w:color w:val="auto"/>
          <w:sz w:val="24"/>
          <w:highlight w:val="none"/>
        </w:rPr>
        <w:t>第六章</w:t>
      </w:r>
      <w:r>
        <w:rPr>
          <w:rFonts w:ascii="宋体" w:hAnsi="宋体" w:eastAsia="宋体"/>
          <w:color w:val="auto"/>
          <w:sz w:val="24"/>
          <w:highlight w:val="none"/>
        </w:rPr>
        <w:t xml:space="preserve">  </w:t>
      </w:r>
      <w:r>
        <w:rPr>
          <w:rFonts w:hint="eastAsia" w:ascii="宋体" w:hAnsi="宋体" w:eastAsia="宋体"/>
          <w:color w:val="auto"/>
          <w:sz w:val="24"/>
          <w:highlight w:val="none"/>
        </w:rPr>
        <w:t>响应</w:t>
      </w:r>
      <w:r>
        <w:rPr>
          <w:rFonts w:ascii="宋体" w:hAnsi="宋体" w:eastAsia="宋体"/>
          <w:color w:val="auto"/>
          <w:sz w:val="24"/>
          <w:highlight w:val="none"/>
        </w:rPr>
        <w:t>文件格式</w:t>
      </w:r>
    </w:p>
    <w:p w14:paraId="47B95DC2">
      <w:pPr>
        <w:keepNext w:val="0"/>
        <w:keepLines w:val="0"/>
        <w:pageBreakBefore w:val="0"/>
        <w:kinsoku/>
        <w:wordWrap w:val="0"/>
        <w:overflowPunct/>
        <w:topLinePunct w:val="0"/>
        <w:bidi w:val="0"/>
        <w:spacing w:line="440" w:lineRule="exact"/>
        <w:ind w:firstLine="840" w:firstLineChars="350"/>
        <w:jc w:val="left"/>
        <w:textAlignment w:val="auto"/>
        <w:rPr>
          <w:rFonts w:hint="eastAsia" w:ascii="宋体" w:hAnsi="宋体" w:eastAsia="宋体"/>
          <w:color w:val="auto"/>
          <w:sz w:val="24"/>
          <w:highlight w:val="none"/>
        </w:rPr>
      </w:pPr>
      <w:r>
        <w:rPr>
          <w:rFonts w:hint="eastAsia" w:ascii="宋体" w:hAnsi="宋体" w:eastAsia="宋体"/>
          <w:color w:val="auto"/>
          <w:sz w:val="24"/>
          <w:highlight w:val="none"/>
        </w:rPr>
        <w:t>附</w:t>
      </w:r>
      <w:r>
        <w:rPr>
          <w:rFonts w:hint="eastAsia" w:ascii="宋体" w:hAnsi="宋体" w:eastAsia="宋体"/>
          <w:color w:val="auto"/>
          <w:sz w:val="24"/>
          <w:highlight w:val="none"/>
          <w:lang w:val="en-US" w:eastAsia="zh-CN"/>
        </w:rPr>
        <w:t xml:space="preserve">  </w:t>
      </w:r>
      <w:r>
        <w:rPr>
          <w:rFonts w:hint="eastAsia" w:ascii="宋体" w:hAnsi="宋体" w:eastAsia="宋体"/>
          <w:color w:val="auto"/>
          <w:sz w:val="24"/>
          <w:highlight w:val="none"/>
        </w:rPr>
        <w:t>件</w:t>
      </w:r>
      <w:r>
        <w:rPr>
          <w:rFonts w:hint="eastAsia" w:ascii="宋体" w:hAnsi="宋体" w:eastAsia="宋体"/>
          <w:color w:val="auto"/>
          <w:sz w:val="24"/>
          <w:highlight w:val="none"/>
          <w:lang w:val="en-US" w:eastAsia="zh-CN"/>
        </w:rPr>
        <w:t xml:space="preserve">  </w:t>
      </w:r>
      <w:r>
        <w:rPr>
          <w:rFonts w:hint="eastAsia" w:ascii="宋体" w:hAnsi="宋体" w:eastAsia="宋体"/>
          <w:color w:val="auto"/>
          <w:sz w:val="24"/>
          <w:highlight w:val="none"/>
        </w:rPr>
        <w:t>安招采平台电子招标投标操作规程</w:t>
      </w:r>
    </w:p>
    <w:p w14:paraId="5913EA1D">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7.2</w:t>
      </w:r>
      <w:r>
        <w:rPr>
          <w:rFonts w:hint="eastAsia" w:ascii="宋体" w:hAnsi="宋体" w:eastAsia="宋体"/>
          <w:color w:val="auto"/>
          <w:sz w:val="24"/>
          <w:highlight w:val="none"/>
        </w:rPr>
        <w:t>磋商</w:t>
      </w:r>
      <w:r>
        <w:rPr>
          <w:rFonts w:ascii="宋体" w:hAnsi="宋体" w:eastAsia="宋体"/>
          <w:color w:val="auto"/>
          <w:sz w:val="24"/>
          <w:highlight w:val="none"/>
        </w:rPr>
        <w:t>文件中有不一致的，有</w:t>
      </w:r>
      <w:r>
        <w:rPr>
          <w:rFonts w:hint="eastAsia" w:ascii="宋体" w:hAnsi="宋体" w:eastAsia="宋体"/>
          <w:color w:val="auto"/>
          <w:sz w:val="24"/>
          <w:highlight w:val="none"/>
        </w:rPr>
        <w:t>澄清</w:t>
      </w:r>
      <w:r>
        <w:rPr>
          <w:rFonts w:ascii="宋体" w:hAnsi="宋体" w:eastAsia="宋体"/>
          <w:color w:val="auto"/>
          <w:sz w:val="24"/>
          <w:highlight w:val="none"/>
        </w:rPr>
        <w:t>的部分以最终的</w:t>
      </w:r>
      <w:r>
        <w:rPr>
          <w:rFonts w:hint="eastAsia" w:ascii="宋体" w:hAnsi="宋体" w:eastAsia="宋体"/>
          <w:color w:val="auto"/>
          <w:sz w:val="24"/>
          <w:highlight w:val="none"/>
        </w:rPr>
        <w:t>澄清更正</w:t>
      </w:r>
      <w:r>
        <w:rPr>
          <w:rFonts w:ascii="宋体" w:hAnsi="宋体" w:eastAsia="宋体"/>
          <w:color w:val="auto"/>
          <w:sz w:val="24"/>
          <w:highlight w:val="none"/>
        </w:rPr>
        <w:t>内容为准</w:t>
      </w:r>
      <w:r>
        <w:rPr>
          <w:rFonts w:hint="eastAsia" w:ascii="宋体" w:hAnsi="宋体" w:eastAsia="宋体"/>
          <w:color w:val="auto"/>
          <w:sz w:val="24"/>
          <w:highlight w:val="none"/>
        </w:rPr>
        <w:t>。</w:t>
      </w:r>
    </w:p>
    <w:p w14:paraId="4DE784A8">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7.3现场</w:t>
      </w:r>
      <w:r>
        <w:rPr>
          <w:rFonts w:hint="eastAsia" w:ascii="宋体" w:hAnsi="宋体" w:eastAsia="宋体"/>
          <w:color w:val="auto"/>
          <w:sz w:val="24"/>
          <w:highlight w:val="none"/>
        </w:rPr>
        <w:t>考察</w:t>
      </w:r>
      <w:r>
        <w:rPr>
          <w:rFonts w:ascii="宋体" w:hAnsi="宋体" w:eastAsia="宋体"/>
          <w:color w:val="auto"/>
          <w:sz w:val="24"/>
          <w:highlight w:val="none"/>
        </w:rPr>
        <w:t>及相关事项见</w:t>
      </w:r>
      <w:r>
        <w:rPr>
          <w:rFonts w:ascii="宋体" w:hAnsi="宋体" w:eastAsia="宋体"/>
          <w:color w:val="auto"/>
          <w:sz w:val="24"/>
          <w:highlight w:val="none"/>
          <w:u w:val="single"/>
        </w:rPr>
        <w:t>供应商须知前附表</w:t>
      </w:r>
      <w:r>
        <w:rPr>
          <w:rFonts w:ascii="宋体" w:hAnsi="宋体" w:eastAsia="宋体"/>
          <w:color w:val="auto"/>
          <w:sz w:val="24"/>
          <w:highlight w:val="none"/>
        </w:rPr>
        <w:t>。</w:t>
      </w:r>
    </w:p>
    <w:p w14:paraId="1A59A9B0">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7.</w:t>
      </w:r>
      <w:r>
        <w:rPr>
          <w:rFonts w:hint="eastAsia" w:ascii="宋体" w:hAnsi="宋体" w:eastAsia="宋体"/>
          <w:color w:val="auto"/>
          <w:sz w:val="24"/>
          <w:highlight w:val="none"/>
        </w:rPr>
        <w:t>4如需提供样品，对样品相关要求见采购需求，对样品的评审方法及评审标准见磋商文件第四章。</w:t>
      </w:r>
    </w:p>
    <w:p w14:paraId="56E58A4C">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7.</w:t>
      </w:r>
      <w:r>
        <w:rPr>
          <w:rFonts w:hint="eastAsia" w:ascii="宋体" w:hAnsi="宋体" w:eastAsia="宋体"/>
          <w:color w:val="auto"/>
          <w:sz w:val="24"/>
          <w:highlight w:val="none"/>
        </w:rPr>
        <w:t>5供应商</w:t>
      </w:r>
      <w:r>
        <w:rPr>
          <w:rFonts w:ascii="宋体" w:hAnsi="宋体" w:eastAsia="宋体"/>
          <w:color w:val="auto"/>
          <w:sz w:val="24"/>
          <w:highlight w:val="none"/>
        </w:rPr>
        <w:t>应认真阅读</w:t>
      </w:r>
      <w:r>
        <w:rPr>
          <w:rFonts w:hint="eastAsia" w:ascii="宋体" w:hAnsi="宋体" w:eastAsia="宋体"/>
          <w:color w:val="auto"/>
          <w:sz w:val="24"/>
          <w:highlight w:val="none"/>
        </w:rPr>
        <w:t>磋商</w:t>
      </w:r>
      <w:r>
        <w:rPr>
          <w:rFonts w:ascii="宋体" w:hAnsi="宋体" w:eastAsia="宋体"/>
          <w:color w:val="auto"/>
          <w:sz w:val="24"/>
          <w:highlight w:val="none"/>
        </w:rPr>
        <w:t>文件所有的事项、格式、条款和技术规范等。</w:t>
      </w:r>
    </w:p>
    <w:p w14:paraId="6E111431">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8</w:t>
      </w:r>
      <w:r>
        <w:rPr>
          <w:rFonts w:ascii="宋体" w:hAnsi="宋体" w:eastAsia="宋体"/>
          <w:b/>
          <w:color w:val="auto"/>
          <w:sz w:val="24"/>
          <w:highlight w:val="none"/>
        </w:rPr>
        <w:t>.</w:t>
      </w:r>
      <w:r>
        <w:rPr>
          <w:rFonts w:hint="eastAsia" w:ascii="宋体" w:hAnsi="宋体" w:eastAsia="宋体"/>
          <w:b/>
          <w:color w:val="auto"/>
          <w:sz w:val="24"/>
          <w:highlight w:val="none"/>
        </w:rPr>
        <w:t>磋商文件的澄清与修改</w:t>
      </w:r>
    </w:p>
    <w:p w14:paraId="4631427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8</w:t>
      </w:r>
      <w:r>
        <w:rPr>
          <w:rFonts w:ascii="宋体" w:hAnsi="宋体" w:eastAsia="宋体"/>
          <w:color w:val="auto"/>
          <w:sz w:val="24"/>
          <w:highlight w:val="none"/>
        </w:rPr>
        <w:t>.</w:t>
      </w:r>
      <w:r>
        <w:rPr>
          <w:rFonts w:hint="eastAsia" w:ascii="宋体" w:hAnsi="宋体" w:eastAsia="宋体"/>
          <w:color w:val="auto"/>
          <w:sz w:val="24"/>
          <w:highlight w:val="none"/>
        </w:rPr>
        <w:t>1</w:t>
      </w:r>
      <w:r>
        <w:rPr>
          <w:rFonts w:hint="eastAsia" w:ascii="Arial" w:hAnsi="Arial" w:eastAsia="宋体" w:cs="Arial"/>
          <w:color w:val="auto"/>
          <w:sz w:val="24"/>
          <w:highlight w:val="none"/>
        </w:rPr>
        <w:t>供应商</w:t>
      </w:r>
      <w:r>
        <w:rPr>
          <w:rFonts w:ascii="Arial" w:hAnsi="Arial" w:eastAsia="宋体" w:cs="Arial"/>
          <w:color w:val="auto"/>
          <w:sz w:val="24"/>
          <w:highlight w:val="none"/>
        </w:rPr>
        <w:t>如对</w:t>
      </w:r>
      <w:r>
        <w:rPr>
          <w:rFonts w:hint="eastAsia" w:ascii="Arial" w:hAnsi="Arial" w:eastAsia="宋体" w:cs="Arial"/>
          <w:color w:val="auto"/>
          <w:sz w:val="24"/>
          <w:highlight w:val="none"/>
        </w:rPr>
        <w:t>磋商</w:t>
      </w:r>
      <w:r>
        <w:rPr>
          <w:rFonts w:ascii="Arial" w:hAnsi="Arial" w:eastAsia="宋体" w:cs="Arial"/>
          <w:color w:val="auto"/>
          <w:sz w:val="24"/>
          <w:highlight w:val="none"/>
        </w:rPr>
        <w:t>文件内容有疑问，</w:t>
      </w:r>
      <w:r>
        <w:rPr>
          <w:rFonts w:hint="eastAsia" w:ascii="宋体" w:hAnsi="宋体" w:eastAsia="宋体"/>
          <w:color w:val="auto"/>
          <w:sz w:val="24"/>
          <w:highlight w:val="none"/>
          <w:lang w:val="en-US" w:eastAsia="zh-CN"/>
        </w:rPr>
        <w:t>应</w:t>
      </w:r>
      <w:r>
        <w:rPr>
          <w:rFonts w:hint="eastAsia" w:ascii="Arial" w:hAnsi="Arial" w:eastAsia="宋体" w:cs="Arial"/>
          <w:color w:val="auto"/>
          <w:sz w:val="24"/>
          <w:highlight w:val="none"/>
        </w:rPr>
        <w:t>在</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中规定的时间</w:t>
      </w:r>
      <w:r>
        <w:rPr>
          <w:rFonts w:ascii="Arial" w:hAnsi="Arial" w:eastAsia="宋体" w:cs="Arial"/>
          <w:color w:val="auto"/>
          <w:sz w:val="24"/>
          <w:highlight w:val="none"/>
        </w:rPr>
        <w:t>以</w:t>
      </w:r>
      <w:r>
        <w:rPr>
          <w:rFonts w:hint="eastAsia" w:ascii="Arial" w:hAnsi="Arial" w:eastAsia="宋体" w:cs="Arial"/>
          <w:color w:val="auto"/>
          <w:sz w:val="24"/>
          <w:highlight w:val="none"/>
          <w:lang w:val="en-US" w:eastAsia="zh-CN"/>
        </w:rPr>
        <w:t>网上提问</w:t>
      </w:r>
      <w:r>
        <w:rPr>
          <w:rFonts w:ascii="Arial" w:hAnsi="Arial" w:eastAsia="宋体" w:cs="Arial"/>
          <w:color w:val="auto"/>
          <w:sz w:val="24"/>
          <w:highlight w:val="none"/>
        </w:rPr>
        <w:t>形式（</w:t>
      </w:r>
      <w:r>
        <w:rPr>
          <w:rFonts w:hint="eastAsia" w:ascii="Arial" w:hAnsi="Arial" w:eastAsia="宋体" w:cs="Arial"/>
          <w:color w:val="auto"/>
          <w:sz w:val="24"/>
          <w:highlight w:val="none"/>
          <w:lang w:eastAsia="zh-CN"/>
        </w:rPr>
        <w:t>安招采平台</w:t>
      </w:r>
      <w:r>
        <w:rPr>
          <w:rFonts w:ascii="Arial" w:hAnsi="Arial" w:eastAsia="宋体" w:cs="Arial"/>
          <w:color w:val="auto"/>
          <w:sz w:val="24"/>
          <w:highlight w:val="none"/>
        </w:rPr>
        <w:t>）</w:t>
      </w:r>
      <w:r>
        <w:rPr>
          <w:rFonts w:hint="eastAsia" w:ascii="Arial" w:hAnsi="Arial" w:eastAsia="宋体" w:cs="Arial"/>
          <w:color w:val="auto"/>
          <w:sz w:val="24"/>
          <w:highlight w:val="none"/>
          <w:lang w:val="en-US" w:eastAsia="zh-CN"/>
        </w:rPr>
        <w:t>提交给采购人或</w:t>
      </w:r>
      <w:r>
        <w:rPr>
          <w:rFonts w:hint="eastAsia" w:ascii="Arial" w:hAnsi="Arial" w:eastAsia="宋体" w:cs="Arial"/>
          <w:color w:val="auto"/>
          <w:sz w:val="24"/>
          <w:highlight w:val="none"/>
        </w:rPr>
        <w:t>采购</w:t>
      </w:r>
      <w:r>
        <w:rPr>
          <w:rFonts w:ascii="Arial" w:hAnsi="Arial" w:eastAsia="宋体" w:cs="Arial"/>
          <w:color w:val="auto"/>
          <w:sz w:val="24"/>
          <w:highlight w:val="none"/>
        </w:rPr>
        <w:t>代理机构</w:t>
      </w:r>
      <w:r>
        <w:rPr>
          <w:rFonts w:hint="eastAsia" w:ascii="Arial" w:hAnsi="Arial" w:eastAsia="宋体" w:cs="Arial"/>
          <w:color w:val="auto"/>
          <w:sz w:val="24"/>
          <w:highlight w:val="none"/>
          <w:lang w:eastAsia="zh-CN"/>
        </w:rPr>
        <w:t>。</w:t>
      </w:r>
      <w:r>
        <w:rPr>
          <w:rFonts w:hint="eastAsia" w:ascii="宋体" w:hAnsi="宋体" w:eastAsia="宋体"/>
          <w:color w:val="auto"/>
          <w:sz w:val="24"/>
          <w:highlight w:val="none"/>
        </w:rPr>
        <w:t>采购人对需要做出澄清的问题，以澄清和修改通知的方式予以答复。</w:t>
      </w:r>
    </w:p>
    <w:p w14:paraId="332BF332">
      <w:pPr>
        <w:keepNext w:val="0"/>
        <w:keepLines w:val="0"/>
        <w:pageBreakBefore w:val="0"/>
        <w:kinsoku/>
        <w:wordWrap w:val="0"/>
        <w:overflowPunct/>
        <w:topLinePunct w:val="0"/>
        <w:bidi w:val="0"/>
        <w:snapToGrid w:val="0"/>
        <w:spacing w:line="440" w:lineRule="exact"/>
        <w:ind w:firstLine="480" w:firstLineChars="200"/>
        <w:jc w:val="left"/>
        <w:textAlignment w:val="auto"/>
        <w:rPr>
          <w:rFonts w:ascii="宋体" w:hAnsi="宋体" w:eastAsia="宋体"/>
          <w:color w:val="auto"/>
          <w:sz w:val="24"/>
          <w:highlight w:val="none"/>
        </w:rPr>
      </w:pPr>
      <w:r>
        <w:rPr>
          <w:rFonts w:hint="eastAsia" w:ascii="宋体" w:hAnsi="宋体" w:eastAsia="宋体"/>
          <w:color w:val="auto"/>
          <w:sz w:val="24"/>
          <w:highlight w:val="none"/>
        </w:rPr>
        <w:t>8</w:t>
      </w:r>
      <w:r>
        <w:rPr>
          <w:rFonts w:ascii="宋体" w:hAnsi="宋体" w:eastAsia="宋体"/>
          <w:color w:val="auto"/>
          <w:sz w:val="24"/>
          <w:highlight w:val="none"/>
        </w:rPr>
        <w:t>.</w:t>
      </w:r>
      <w:r>
        <w:rPr>
          <w:rFonts w:hint="eastAsia" w:ascii="宋体" w:hAnsi="宋体" w:eastAsia="宋体"/>
          <w:color w:val="auto"/>
          <w:sz w:val="24"/>
          <w:highlight w:val="none"/>
        </w:rPr>
        <w:t>2采购人可主动或在解答供应商提出的问题时对磋商文件进行澄清或者修改。</w:t>
      </w:r>
      <w:r>
        <w:rPr>
          <w:rFonts w:ascii="宋体" w:hAnsi="宋体" w:eastAsia="宋体"/>
          <w:color w:val="auto"/>
          <w:sz w:val="24"/>
          <w:highlight w:val="none"/>
        </w:rPr>
        <w:t>采</w:t>
      </w:r>
      <w:r>
        <w:rPr>
          <w:rFonts w:hint="eastAsia" w:ascii="宋体" w:hAnsi="宋体" w:eastAsia="宋体"/>
          <w:color w:val="auto"/>
          <w:sz w:val="24"/>
          <w:highlight w:val="none"/>
        </w:rPr>
        <w:t>购代理机构将在</w:t>
      </w:r>
      <w:r>
        <w:rPr>
          <w:rFonts w:hint="eastAsia" w:ascii="宋体" w:hAnsi="宋体" w:eastAsia="宋体"/>
          <w:color w:val="auto"/>
          <w:sz w:val="24"/>
          <w:highlight w:val="none"/>
          <w:lang w:eastAsia="zh-CN"/>
        </w:rPr>
        <w:t>磋商公告发布的同一媒介</w:t>
      </w:r>
      <w:r>
        <w:rPr>
          <w:rFonts w:hint="eastAsia" w:ascii="宋体" w:hAnsi="宋体" w:eastAsia="宋体"/>
          <w:color w:val="auto"/>
          <w:sz w:val="24"/>
          <w:highlight w:val="none"/>
        </w:rPr>
        <w:t>以更正公告的方式澄清或者修改磋商文件，更正公告的内容作为磋商文件的组成部分，对供应商起约束作用。供应商应主动上网查询。采购代理机构不承担供应商未及时关注相关信息引发的相关责任。</w:t>
      </w:r>
    </w:p>
    <w:p w14:paraId="40BF9DD6">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8</w:t>
      </w:r>
      <w:r>
        <w:rPr>
          <w:rFonts w:hint="eastAsia" w:ascii="宋体" w:hAnsi="宋体" w:eastAsia="宋体"/>
          <w:color w:val="auto"/>
          <w:sz w:val="24"/>
          <w:highlight w:val="none"/>
        </w:rPr>
        <w:t>.3任何人或任何组织向供应商提供的任何书面或口头资料，未经采购代理机构在网上发布或书面通知，均作无效处理，不得作为磋商文件的组成部分。采购代理机构对供应商由此而做出的推论、理解和结论概不负责。</w:t>
      </w:r>
    </w:p>
    <w:p w14:paraId="67F58A91">
      <w:pPr>
        <w:keepNext w:val="0"/>
        <w:keepLines w:val="0"/>
        <w:pageBreakBefore w:val="0"/>
        <w:kinsoku/>
        <w:wordWrap w:val="0"/>
        <w:overflowPunct/>
        <w:topLinePunct w:val="0"/>
        <w:bidi w:val="0"/>
        <w:spacing w:line="440" w:lineRule="exact"/>
        <w:ind w:firstLine="437"/>
        <w:jc w:val="left"/>
        <w:textAlignment w:val="auto"/>
        <w:outlineLvl w:val="3"/>
        <w:rPr>
          <w:rFonts w:hint="eastAsia" w:ascii="宋体" w:hAnsi="宋体" w:eastAsia="宋体"/>
          <w:i/>
          <w:color w:val="auto"/>
          <w:sz w:val="24"/>
          <w:highlight w:val="none"/>
        </w:rPr>
      </w:pPr>
      <w:r>
        <w:rPr>
          <w:rFonts w:hint="eastAsia" w:ascii="宋体" w:hAnsi="宋体" w:eastAsia="宋体"/>
          <w:color w:val="auto"/>
          <w:sz w:val="24"/>
          <w:highlight w:val="none"/>
        </w:rPr>
        <w:t>8</w:t>
      </w:r>
      <w:r>
        <w:rPr>
          <w:rFonts w:ascii="宋体" w:hAnsi="宋体" w:eastAsia="宋体"/>
          <w:color w:val="auto"/>
          <w:sz w:val="24"/>
          <w:highlight w:val="none"/>
        </w:rPr>
        <w:t>.</w:t>
      </w:r>
      <w:r>
        <w:rPr>
          <w:rFonts w:hint="eastAsia" w:ascii="宋体" w:hAnsi="宋体" w:eastAsia="宋体"/>
          <w:color w:val="auto"/>
          <w:sz w:val="24"/>
          <w:highlight w:val="none"/>
        </w:rPr>
        <w:t>4</w:t>
      </w:r>
      <w:r>
        <w:rPr>
          <w:rFonts w:ascii="宋体" w:hAnsi="宋体" w:eastAsia="宋体"/>
          <w:color w:val="auto"/>
          <w:sz w:val="24"/>
          <w:highlight w:val="none"/>
        </w:rPr>
        <w:t>对于没有提出</w:t>
      </w:r>
      <w:r>
        <w:rPr>
          <w:rFonts w:hint="eastAsia" w:ascii="宋体" w:hAnsi="宋体" w:eastAsia="宋体"/>
          <w:color w:val="auto"/>
          <w:sz w:val="24"/>
          <w:highlight w:val="none"/>
        </w:rPr>
        <w:t>询问</w:t>
      </w:r>
      <w:r>
        <w:rPr>
          <w:rFonts w:ascii="宋体" w:hAnsi="宋体" w:eastAsia="宋体"/>
          <w:color w:val="auto"/>
          <w:sz w:val="24"/>
          <w:highlight w:val="none"/>
        </w:rPr>
        <w:t>又参与了</w:t>
      </w:r>
      <w:r>
        <w:rPr>
          <w:rFonts w:hint="eastAsia" w:ascii="宋体" w:hAnsi="宋体" w:eastAsia="宋体"/>
          <w:color w:val="auto"/>
          <w:sz w:val="24"/>
          <w:highlight w:val="none"/>
        </w:rPr>
        <w:t>本</w:t>
      </w:r>
      <w:r>
        <w:rPr>
          <w:rFonts w:ascii="宋体" w:hAnsi="宋体" w:eastAsia="宋体"/>
          <w:color w:val="auto"/>
          <w:sz w:val="24"/>
          <w:highlight w:val="none"/>
        </w:rPr>
        <w:t>项目</w:t>
      </w:r>
      <w:r>
        <w:rPr>
          <w:rFonts w:hint="eastAsia" w:ascii="宋体" w:hAnsi="宋体" w:eastAsia="宋体"/>
          <w:color w:val="auto"/>
          <w:sz w:val="24"/>
          <w:highlight w:val="none"/>
        </w:rPr>
        <w:t>磋商</w:t>
      </w:r>
      <w:r>
        <w:rPr>
          <w:rFonts w:ascii="宋体" w:hAnsi="宋体" w:eastAsia="宋体"/>
          <w:color w:val="auto"/>
          <w:sz w:val="24"/>
          <w:highlight w:val="none"/>
        </w:rPr>
        <w:t>的</w:t>
      </w:r>
      <w:r>
        <w:rPr>
          <w:rFonts w:hint="eastAsia" w:ascii="宋体" w:hAnsi="宋体" w:eastAsia="宋体"/>
          <w:color w:val="auto"/>
          <w:sz w:val="24"/>
          <w:highlight w:val="none"/>
        </w:rPr>
        <w:t>供应商</w:t>
      </w:r>
      <w:r>
        <w:rPr>
          <w:rFonts w:ascii="宋体" w:hAnsi="宋体" w:eastAsia="宋体"/>
          <w:color w:val="auto"/>
          <w:sz w:val="24"/>
          <w:highlight w:val="none"/>
        </w:rPr>
        <w:t>将被视为完全认同</w:t>
      </w:r>
      <w:r>
        <w:rPr>
          <w:rFonts w:hint="eastAsia" w:ascii="宋体" w:hAnsi="宋体" w:eastAsia="宋体"/>
          <w:color w:val="auto"/>
          <w:sz w:val="24"/>
          <w:highlight w:val="none"/>
        </w:rPr>
        <w:t>本磋商</w:t>
      </w:r>
      <w:r>
        <w:rPr>
          <w:rFonts w:ascii="宋体" w:hAnsi="宋体" w:eastAsia="宋体"/>
          <w:color w:val="auto"/>
          <w:sz w:val="24"/>
          <w:highlight w:val="none"/>
        </w:rPr>
        <w:t>文件（含</w:t>
      </w:r>
      <w:r>
        <w:rPr>
          <w:rFonts w:hint="eastAsia" w:ascii="宋体" w:hAnsi="宋体" w:eastAsia="宋体"/>
          <w:color w:val="auto"/>
          <w:sz w:val="24"/>
          <w:highlight w:val="none"/>
        </w:rPr>
        <w:t>更正公告的</w:t>
      </w:r>
      <w:r>
        <w:rPr>
          <w:rFonts w:ascii="宋体" w:hAnsi="宋体" w:eastAsia="宋体"/>
          <w:color w:val="auto"/>
          <w:sz w:val="24"/>
          <w:highlight w:val="none"/>
        </w:rPr>
        <w:t>内容）</w:t>
      </w:r>
      <w:r>
        <w:rPr>
          <w:rFonts w:hint="eastAsia" w:ascii="宋体" w:hAnsi="宋体" w:eastAsia="宋体"/>
          <w:i/>
          <w:color w:val="auto"/>
          <w:sz w:val="24"/>
          <w:highlight w:val="none"/>
        </w:rPr>
        <w:t>。</w:t>
      </w:r>
    </w:p>
    <w:p w14:paraId="37BB9D87">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9</w:t>
      </w:r>
      <w:r>
        <w:rPr>
          <w:rFonts w:ascii="宋体" w:hAnsi="宋体" w:eastAsia="宋体"/>
          <w:b/>
          <w:color w:val="auto"/>
          <w:sz w:val="24"/>
          <w:highlight w:val="none"/>
        </w:rPr>
        <w:t>.</w:t>
      </w:r>
      <w:r>
        <w:rPr>
          <w:rFonts w:hint="eastAsia" w:ascii="宋体" w:hAnsi="宋体" w:eastAsia="宋体"/>
          <w:b/>
          <w:color w:val="auto"/>
          <w:sz w:val="24"/>
          <w:highlight w:val="none"/>
        </w:rPr>
        <w:t>磋商范围及响应文件中标准和计量单位的使用</w:t>
      </w:r>
    </w:p>
    <w:p w14:paraId="15DC611B">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9.1项目有分包的，供应商可</w:t>
      </w:r>
      <w:r>
        <w:rPr>
          <w:rFonts w:hint="eastAsia" w:ascii="宋体" w:hAnsi="宋体" w:eastAsia="宋体"/>
          <w:color w:val="auto"/>
          <w:sz w:val="24"/>
          <w:highlight w:val="none"/>
        </w:rPr>
        <w:t>参与</w:t>
      </w:r>
      <w:r>
        <w:rPr>
          <w:rFonts w:ascii="宋体" w:hAnsi="宋体" w:eastAsia="宋体"/>
          <w:color w:val="auto"/>
          <w:sz w:val="24"/>
          <w:highlight w:val="none"/>
        </w:rPr>
        <w:t>其中某一个或</w:t>
      </w:r>
      <w:r>
        <w:rPr>
          <w:rFonts w:hint="eastAsia" w:ascii="宋体" w:hAnsi="宋体" w:eastAsia="宋体"/>
          <w:color w:val="auto"/>
          <w:sz w:val="24"/>
          <w:highlight w:val="none"/>
        </w:rPr>
        <w:t>多</w:t>
      </w:r>
      <w:r>
        <w:rPr>
          <w:rFonts w:ascii="宋体" w:hAnsi="宋体" w:eastAsia="宋体"/>
          <w:color w:val="auto"/>
          <w:sz w:val="24"/>
          <w:highlight w:val="none"/>
        </w:rPr>
        <w:t>个分包</w:t>
      </w:r>
      <w:r>
        <w:rPr>
          <w:rFonts w:hint="eastAsia" w:ascii="宋体" w:hAnsi="宋体" w:eastAsia="宋体"/>
          <w:color w:val="auto"/>
          <w:sz w:val="24"/>
          <w:highlight w:val="none"/>
        </w:rPr>
        <w:t>的磋商</w:t>
      </w:r>
      <w:r>
        <w:rPr>
          <w:rFonts w:ascii="宋体" w:hAnsi="宋体" w:eastAsia="宋体"/>
          <w:color w:val="auto"/>
          <w:sz w:val="24"/>
          <w:highlight w:val="none"/>
        </w:rPr>
        <w:t>，</w:t>
      </w:r>
      <w:r>
        <w:rPr>
          <w:rFonts w:hint="eastAsia" w:ascii="宋体" w:hAnsi="宋体" w:eastAsia="宋体"/>
          <w:color w:val="auto"/>
          <w:sz w:val="24"/>
          <w:highlight w:val="none"/>
        </w:rPr>
        <w:t>成交包数详见</w:t>
      </w:r>
      <w:r>
        <w:rPr>
          <w:rFonts w:ascii="宋体" w:hAnsi="宋体" w:eastAsia="宋体"/>
          <w:color w:val="auto"/>
          <w:sz w:val="24"/>
          <w:highlight w:val="none"/>
          <w:u w:val="single"/>
        </w:rPr>
        <w:t>供应商须知前附表</w:t>
      </w:r>
      <w:r>
        <w:rPr>
          <w:rFonts w:ascii="宋体" w:hAnsi="宋体" w:eastAsia="宋体"/>
          <w:color w:val="auto"/>
          <w:sz w:val="24"/>
          <w:highlight w:val="none"/>
        </w:rPr>
        <w:t>中规定。</w:t>
      </w:r>
    </w:p>
    <w:p w14:paraId="5CF93520">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9.</w:t>
      </w:r>
      <w:r>
        <w:rPr>
          <w:rFonts w:hint="eastAsia" w:ascii="宋体" w:hAnsi="宋体" w:eastAsia="宋体"/>
          <w:color w:val="auto"/>
          <w:sz w:val="24"/>
          <w:highlight w:val="none"/>
        </w:rPr>
        <w:t>2</w:t>
      </w:r>
      <w:r>
        <w:rPr>
          <w:rFonts w:ascii="宋体" w:hAnsi="宋体" w:eastAsia="宋体"/>
          <w:color w:val="auto"/>
          <w:sz w:val="24"/>
          <w:highlight w:val="none"/>
        </w:rPr>
        <w:t>无论磋商文件中是否要求，供应商所投服务及伴随的货物和工程均应符合国家强制性标准。</w:t>
      </w:r>
    </w:p>
    <w:p w14:paraId="0319947E">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9.</w:t>
      </w:r>
      <w:r>
        <w:rPr>
          <w:rFonts w:hint="eastAsia" w:ascii="宋体" w:hAnsi="宋体" w:eastAsia="宋体"/>
          <w:color w:val="auto"/>
          <w:sz w:val="24"/>
          <w:highlight w:val="none"/>
        </w:rPr>
        <w:t>3</w:t>
      </w:r>
      <w:r>
        <w:rPr>
          <w:rFonts w:ascii="宋体" w:hAnsi="宋体" w:eastAsia="宋体"/>
          <w:color w:val="auto"/>
          <w:sz w:val="24"/>
          <w:highlight w:val="none"/>
        </w:rPr>
        <w:t>供应商与采购代理机构之间与磋商有关的所有往来通知、函件和响应文件均用中文表述。供应商随响应文件提供的证明文件和资料可以为其它语言，但必须附中文译文。翻译的中文资料与外文资料如果出现差异时，以中文为准。</w:t>
      </w:r>
    </w:p>
    <w:p w14:paraId="1392EF13">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9.</w:t>
      </w:r>
      <w:r>
        <w:rPr>
          <w:rFonts w:hint="eastAsia" w:ascii="宋体" w:hAnsi="宋体" w:eastAsia="宋体"/>
          <w:color w:val="auto"/>
          <w:sz w:val="24"/>
          <w:highlight w:val="none"/>
        </w:rPr>
        <w:t>4</w:t>
      </w:r>
      <w:r>
        <w:rPr>
          <w:rFonts w:ascii="宋体" w:hAnsi="宋体" w:eastAsia="宋体"/>
          <w:color w:val="auto"/>
          <w:sz w:val="24"/>
          <w:highlight w:val="none"/>
        </w:rPr>
        <w:t>除磋商文件中有特殊要求外，响应文件中所使用的计量单位，应采用中华人民共和国法定计量单位。</w:t>
      </w:r>
    </w:p>
    <w:p w14:paraId="69F2620D">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0.</w:t>
      </w:r>
      <w:r>
        <w:rPr>
          <w:rFonts w:hint="eastAsia" w:ascii="宋体" w:hAnsi="宋体" w:eastAsia="宋体"/>
          <w:b/>
          <w:color w:val="auto"/>
          <w:sz w:val="24"/>
          <w:highlight w:val="none"/>
        </w:rPr>
        <w:t>响应文件构成</w:t>
      </w:r>
    </w:p>
    <w:p w14:paraId="723275B7">
      <w:pPr>
        <w:keepNext w:val="0"/>
        <w:keepLines w:val="0"/>
        <w:pageBreakBefore w:val="0"/>
        <w:kinsoku/>
        <w:wordWrap w:val="0"/>
        <w:overflowPunct/>
        <w:topLinePunct w:val="0"/>
        <w:bidi w:val="0"/>
        <w:spacing w:line="440" w:lineRule="exact"/>
        <w:ind w:firstLine="437"/>
        <w:jc w:val="left"/>
        <w:textAlignment w:val="auto"/>
        <w:rPr>
          <w:rFonts w:ascii="宋体" w:hAnsi="宋体" w:eastAsia="宋体"/>
          <w:color w:val="auto"/>
          <w:sz w:val="24"/>
          <w:highlight w:val="none"/>
        </w:rPr>
      </w:pPr>
      <w:r>
        <w:rPr>
          <w:rFonts w:ascii="宋体" w:hAnsi="宋体" w:eastAsia="宋体"/>
          <w:color w:val="auto"/>
          <w:sz w:val="24"/>
          <w:highlight w:val="none"/>
        </w:rPr>
        <w:t>10.1供应商应完整地按磋商文件提供的响应文件格式及要求编写响应文件，具体内容详见第六章响应文件格式的相关内容。</w:t>
      </w:r>
    </w:p>
    <w:p w14:paraId="66A3E7AF">
      <w:pPr>
        <w:keepNext w:val="0"/>
        <w:keepLines w:val="0"/>
        <w:pageBreakBefore w:val="0"/>
        <w:kinsoku/>
        <w:wordWrap w:val="0"/>
        <w:overflowPunct/>
        <w:topLinePunct w:val="0"/>
        <w:bidi w:val="0"/>
        <w:spacing w:line="440" w:lineRule="exact"/>
        <w:ind w:firstLine="437"/>
        <w:jc w:val="left"/>
        <w:textAlignment w:val="auto"/>
        <w:rPr>
          <w:rFonts w:ascii="宋体" w:hAnsi="宋体" w:eastAsia="宋体"/>
          <w:color w:val="auto"/>
          <w:sz w:val="24"/>
          <w:highlight w:val="none"/>
        </w:rPr>
      </w:pPr>
      <w:r>
        <w:rPr>
          <w:rFonts w:ascii="宋体" w:hAnsi="宋体" w:eastAsia="宋体"/>
          <w:color w:val="auto"/>
          <w:sz w:val="24"/>
          <w:highlight w:val="none"/>
        </w:rPr>
        <w:t>10.2上述文件应按照磋商文件规定的格式填写、签署和盖章。</w:t>
      </w:r>
    </w:p>
    <w:p w14:paraId="590D8BE8">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1.</w:t>
      </w:r>
      <w:r>
        <w:rPr>
          <w:rFonts w:hint="eastAsia" w:ascii="宋体" w:hAnsi="宋体" w:eastAsia="宋体"/>
          <w:b/>
          <w:color w:val="auto"/>
          <w:sz w:val="24"/>
          <w:highlight w:val="none"/>
        </w:rPr>
        <w:t>证明标的的合格性和符合磋商文件规定的响应文件</w:t>
      </w:r>
    </w:p>
    <w:p w14:paraId="0321FAEB">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w:t>
      </w:r>
      <w:r>
        <w:rPr>
          <w:rFonts w:hint="eastAsia" w:ascii="宋体" w:hAnsi="宋体" w:eastAsia="宋体"/>
          <w:color w:val="auto"/>
          <w:sz w:val="24"/>
          <w:highlight w:val="none"/>
        </w:rPr>
        <w:t>1</w:t>
      </w:r>
      <w:r>
        <w:rPr>
          <w:rFonts w:ascii="宋体" w:hAnsi="宋体" w:eastAsia="宋体"/>
          <w:color w:val="auto"/>
          <w:sz w:val="24"/>
          <w:highlight w:val="none"/>
        </w:rPr>
        <w:t>.1</w:t>
      </w:r>
      <w:r>
        <w:rPr>
          <w:rFonts w:hint="eastAsia" w:ascii="宋体" w:hAnsi="宋体" w:eastAsia="宋体"/>
          <w:color w:val="auto"/>
          <w:sz w:val="24"/>
          <w:highlight w:val="none"/>
        </w:rPr>
        <w:t>供应商应提交磋商文件要求的证明文件，证明其响应内容符合磋商文件规定。该证明文件是响应文件的一部分</w:t>
      </w:r>
      <w:r>
        <w:rPr>
          <w:rFonts w:ascii="宋体" w:hAnsi="宋体" w:eastAsia="宋体"/>
          <w:color w:val="auto"/>
          <w:sz w:val="24"/>
          <w:highlight w:val="none"/>
        </w:rPr>
        <w:t>。</w:t>
      </w:r>
    </w:p>
    <w:p w14:paraId="0CD508B2">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w:t>
      </w:r>
      <w:r>
        <w:rPr>
          <w:rFonts w:hint="eastAsia" w:ascii="宋体" w:hAnsi="宋体" w:eastAsia="宋体"/>
          <w:color w:val="auto"/>
          <w:sz w:val="24"/>
          <w:highlight w:val="none"/>
        </w:rPr>
        <w:t>1</w:t>
      </w:r>
      <w:r>
        <w:rPr>
          <w:rFonts w:ascii="宋体" w:hAnsi="宋体" w:eastAsia="宋体"/>
          <w:color w:val="auto"/>
          <w:sz w:val="24"/>
          <w:highlight w:val="none"/>
        </w:rPr>
        <w:t>.2上款所述的证明文件，可以是文字资料、图纸和数据</w:t>
      </w:r>
      <w:bookmarkStart w:id="12" w:name="_Hlk11703583"/>
      <w:r>
        <w:rPr>
          <w:rFonts w:hint="eastAsia" w:ascii="宋体" w:hAnsi="宋体" w:eastAsia="宋体"/>
          <w:color w:val="auto"/>
          <w:sz w:val="24"/>
          <w:highlight w:val="none"/>
        </w:rPr>
        <w:t>。</w:t>
      </w:r>
    </w:p>
    <w:bookmarkEnd w:id="12"/>
    <w:p w14:paraId="4308CADE">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w:t>
      </w:r>
      <w:r>
        <w:rPr>
          <w:rFonts w:ascii="宋体" w:hAnsi="宋体" w:eastAsia="宋体"/>
          <w:color w:val="auto"/>
          <w:sz w:val="24"/>
          <w:highlight w:val="none"/>
        </w:rPr>
        <w:t>1.3</w:t>
      </w:r>
      <w:r>
        <w:rPr>
          <w:rFonts w:hint="eastAsia" w:ascii="宋体" w:hAnsi="宋体" w:eastAsia="宋体"/>
          <w:color w:val="auto"/>
          <w:sz w:val="24"/>
          <w:highlight w:val="none"/>
        </w:rPr>
        <w:t>本条所指证明文件不包括对磋商文件相关部分的文字、图标的复制。</w:t>
      </w:r>
    </w:p>
    <w:p w14:paraId="1F4A73D8">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w:t>
      </w:r>
      <w:r>
        <w:rPr>
          <w:rFonts w:hint="eastAsia" w:ascii="宋体" w:hAnsi="宋体" w:eastAsia="宋体"/>
          <w:color w:val="auto"/>
          <w:sz w:val="24"/>
          <w:highlight w:val="none"/>
        </w:rPr>
        <w:t>1</w:t>
      </w:r>
      <w:r>
        <w:rPr>
          <w:rFonts w:ascii="宋体" w:hAnsi="宋体" w:eastAsia="宋体"/>
          <w:color w:val="auto"/>
          <w:sz w:val="24"/>
          <w:highlight w:val="none"/>
        </w:rPr>
        <w:t>.</w:t>
      </w:r>
      <w:r>
        <w:rPr>
          <w:rFonts w:hint="eastAsia" w:ascii="宋体" w:hAnsi="宋体" w:eastAsia="宋体"/>
          <w:color w:val="auto"/>
          <w:sz w:val="24"/>
          <w:highlight w:val="none"/>
        </w:rPr>
        <w:t>4</w:t>
      </w:r>
      <w:r>
        <w:rPr>
          <w:rFonts w:ascii="宋体" w:hAnsi="宋体" w:eastAsia="宋体"/>
          <w:color w:val="auto"/>
          <w:sz w:val="24"/>
          <w:highlight w:val="none"/>
        </w:rPr>
        <w:t>为保证公平公正，除非另有规定或说明，</w:t>
      </w:r>
      <w:r>
        <w:rPr>
          <w:rFonts w:hint="eastAsia" w:ascii="宋体" w:hAnsi="宋体" w:eastAsia="宋体"/>
          <w:color w:val="auto"/>
          <w:sz w:val="24"/>
          <w:highlight w:val="none"/>
        </w:rPr>
        <w:t>供应商</w:t>
      </w:r>
      <w:r>
        <w:rPr>
          <w:rFonts w:ascii="宋体" w:hAnsi="宋体" w:eastAsia="宋体"/>
          <w:color w:val="auto"/>
          <w:sz w:val="24"/>
          <w:highlight w:val="none"/>
        </w:rPr>
        <w:t>对同一项目</w:t>
      </w:r>
      <w:r>
        <w:rPr>
          <w:rFonts w:hint="eastAsia" w:ascii="宋体" w:hAnsi="宋体" w:eastAsia="宋体"/>
          <w:color w:val="auto"/>
          <w:sz w:val="24"/>
          <w:highlight w:val="none"/>
        </w:rPr>
        <w:t>磋商</w:t>
      </w:r>
      <w:r>
        <w:rPr>
          <w:rFonts w:ascii="宋体" w:hAnsi="宋体" w:eastAsia="宋体"/>
          <w:color w:val="auto"/>
          <w:sz w:val="24"/>
          <w:highlight w:val="none"/>
        </w:rPr>
        <w:t>时，不得同时提供</w:t>
      </w:r>
      <w:r>
        <w:rPr>
          <w:rFonts w:hint="eastAsia" w:ascii="宋体" w:hAnsi="宋体" w:eastAsia="宋体"/>
          <w:color w:val="auto"/>
          <w:sz w:val="24"/>
          <w:highlight w:val="none"/>
        </w:rPr>
        <w:t>备选磋商</w:t>
      </w:r>
      <w:r>
        <w:rPr>
          <w:rFonts w:ascii="宋体" w:hAnsi="宋体" w:eastAsia="宋体"/>
          <w:color w:val="auto"/>
          <w:sz w:val="24"/>
          <w:highlight w:val="none"/>
        </w:rPr>
        <w:t>方案。</w:t>
      </w:r>
    </w:p>
    <w:p w14:paraId="1BD211B8">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2.</w:t>
      </w:r>
      <w:r>
        <w:rPr>
          <w:rFonts w:hint="eastAsia" w:ascii="宋体" w:hAnsi="宋体" w:eastAsia="宋体"/>
          <w:b/>
          <w:color w:val="auto"/>
          <w:sz w:val="24"/>
          <w:highlight w:val="none"/>
        </w:rPr>
        <w:t>报价</w:t>
      </w:r>
    </w:p>
    <w:p w14:paraId="7C85398F">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w:t>
      </w:r>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供应商</w:t>
      </w:r>
      <w:r>
        <w:rPr>
          <w:rFonts w:ascii="宋体" w:hAnsi="宋体" w:eastAsia="宋体"/>
          <w:color w:val="auto"/>
          <w:sz w:val="24"/>
          <w:highlight w:val="none"/>
        </w:rPr>
        <w:t>的报价应当包括满足本次</w:t>
      </w:r>
      <w:r>
        <w:rPr>
          <w:rFonts w:hint="eastAsia" w:ascii="宋体" w:hAnsi="宋体" w:eastAsia="宋体"/>
          <w:color w:val="auto"/>
          <w:sz w:val="24"/>
          <w:highlight w:val="none"/>
        </w:rPr>
        <w:t>磋商</w:t>
      </w:r>
      <w:r>
        <w:rPr>
          <w:rFonts w:ascii="宋体" w:hAnsi="宋体" w:eastAsia="宋体"/>
          <w:color w:val="auto"/>
          <w:sz w:val="24"/>
          <w:highlight w:val="none"/>
        </w:rPr>
        <w:t>全部采购需求所应提供的服务</w:t>
      </w:r>
      <w:r>
        <w:rPr>
          <w:rFonts w:hint="eastAsia" w:ascii="宋体" w:hAnsi="宋体" w:eastAsia="宋体"/>
          <w:color w:val="auto"/>
          <w:sz w:val="24"/>
          <w:highlight w:val="none"/>
        </w:rPr>
        <w:t>，</w:t>
      </w:r>
      <w:r>
        <w:rPr>
          <w:rFonts w:ascii="宋体" w:hAnsi="宋体" w:eastAsia="宋体"/>
          <w:color w:val="auto"/>
          <w:sz w:val="24"/>
          <w:highlight w:val="none"/>
        </w:rPr>
        <w:t>以及伴随的货物和工程</w:t>
      </w:r>
      <w:r>
        <w:rPr>
          <w:rFonts w:hint="eastAsia" w:ascii="宋体" w:hAnsi="宋体" w:eastAsia="宋体"/>
          <w:color w:val="auto"/>
          <w:sz w:val="24"/>
          <w:highlight w:val="none"/>
        </w:rPr>
        <w:t>。所有内容均应以人民币报价，供应商的磋商报价应遵守《中华人民共和国价格法》。</w:t>
      </w:r>
    </w:p>
    <w:p w14:paraId="25FC81AE">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12.</w:t>
      </w:r>
      <w:r>
        <w:rPr>
          <w:rFonts w:hint="eastAsia" w:ascii="宋体" w:hAnsi="宋体" w:eastAsia="宋体"/>
          <w:color w:val="auto"/>
          <w:sz w:val="24"/>
          <w:highlight w:val="none"/>
        </w:rPr>
        <w:t>2供应商应在分项报价表上标明分项服务、伴随的货物和工程的价格（如适用）和总价，未标明的视同包含在磋商报价中。</w:t>
      </w:r>
    </w:p>
    <w:p w14:paraId="23DB901A">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12.3除非磋商文件另有规定或经采购人同意支付的，最</w:t>
      </w:r>
      <w:r>
        <w:rPr>
          <w:rFonts w:hint="eastAsia" w:ascii="宋体" w:hAnsi="宋体" w:eastAsia="宋体"/>
          <w:color w:val="auto"/>
          <w:sz w:val="24"/>
          <w:highlight w:val="none"/>
          <w:lang w:val="en-US" w:eastAsia="zh-CN"/>
        </w:rPr>
        <w:t>后</w:t>
      </w:r>
      <w:r>
        <w:rPr>
          <w:rFonts w:hint="eastAsia" w:ascii="宋体" w:hAnsi="宋体" w:eastAsia="宋体"/>
          <w:color w:val="auto"/>
          <w:sz w:val="24"/>
          <w:highlight w:val="none"/>
        </w:rPr>
        <w:t>报价均不得高于磋商文件（公告）列明的项目预算</w:t>
      </w:r>
      <w:r>
        <w:rPr>
          <w:rFonts w:ascii="Arial" w:hAnsi="Arial" w:eastAsia="宋体" w:cs="Arial"/>
          <w:color w:val="auto"/>
          <w:sz w:val="24"/>
          <w:highlight w:val="none"/>
        </w:rPr>
        <w:t>或者分项、分包最高限价</w:t>
      </w:r>
      <w:r>
        <w:rPr>
          <w:rFonts w:hint="eastAsia" w:ascii="宋体" w:hAnsi="宋体" w:eastAsia="宋体"/>
          <w:color w:val="auto"/>
          <w:sz w:val="24"/>
          <w:highlight w:val="none"/>
        </w:rPr>
        <w:t>，否则其响应文件将被认定为</w:t>
      </w:r>
      <w:r>
        <w:rPr>
          <w:rFonts w:hint="eastAsia" w:ascii="宋体" w:hAnsi="宋体" w:eastAsia="宋体"/>
          <w:b/>
          <w:bCs/>
          <w:color w:val="auto"/>
          <w:sz w:val="24"/>
          <w:highlight w:val="none"/>
        </w:rPr>
        <w:t>响应无效</w:t>
      </w:r>
      <w:r>
        <w:rPr>
          <w:rFonts w:hint="eastAsia" w:ascii="宋体" w:hAnsi="宋体" w:eastAsia="宋体"/>
          <w:color w:val="auto"/>
          <w:sz w:val="24"/>
          <w:highlight w:val="none"/>
        </w:rPr>
        <w:t>。</w:t>
      </w:r>
    </w:p>
    <w:p w14:paraId="5F1FB0E8">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12.</w:t>
      </w:r>
      <w:r>
        <w:rPr>
          <w:rFonts w:hint="eastAsia" w:ascii="宋体" w:hAnsi="宋体" w:eastAsia="宋体"/>
          <w:color w:val="auto"/>
          <w:sz w:val="24"/>
          <w:highlight w:val="none"/>
        </w:rPr>
        <w:t>4报价</w:t>
      </w:r>
      <w:r>
        <w:rPr>
          <w:rFonts w:ascii="宋体" w:hAnsi="宋体" w:eastAsia="宋体"/>
          <w:color w:val="auto"/>
          <w:sz w:val="24"/>
          <w:highlight w:val="none"/>
        </w:rPr>
        <w:t>在合同履行过程中是固定不变的，不得以任何理由予以变更。任何包含价格调整要求的</w:t>
      </w:r>
      <w:r>
        <w:rPr>
          <w:rFonts w:hint="eastAsia" w:ascii="宋体" w:hAnsi="宋体" w:eastAsia="宋体"/>
          <w:color w:val="auto"/>
          <w:sz w:val="24"/>
          <w:highlight w:val="none"/>
        </w:rPr>
        <w:t>磋商</w:t>
      </w:r>
      <w:r>
        <w:rPr>
          <w:rFonts w:ascii="宋体" w:hAnsi="宋体" w:eastAsia="宋体"/>
          <w:color w:val="auto"/>
          <w:sz w:val="24"/>
          <w:highlight w:val="none"/>
        </w:rPr>
        <w:t>，其</w:t>
      </w:r>
      <w:r>
        <w:rPr>
          <w:rFonts w:hint="eastAsia" w:ascii="宋体" w:hAnsi="宋体" w:eastAsia="宋体"/>
          <w:color w:val="auto"/>
          <w:sz w:val="24"/>
          <w:highlight w:val="none"/>
        </w:rPr>
        <w:t>响应文件将被认定为</w:t>
      </w:r>
      <w:r>
        <w:rPr>
          <w:rFonts w:hint="eastAsia" w:ascii="宋体" w:hAnsi="宋体" w:eastAsia="宋体"/>
          <w:b/>
          <w:color w:val="auto"/>
          <w:sz w:val="24"/>
          <w:highlight w:val="none"/>
        </w:rPr>
        <w:t>响应无效</w:t>
      </w:r>
      <w:r>
        <w:rPr>
          <w:rFonts w:ascii="宋体" w:hAnsi="宋体" w:eastAsia="宋体"/>
          <w:color w:val="auto"/>
          <w:sz w:val="24"/>
          <w:highlight w:val="none"/>
        </w:rPr>
        <w:t>。</w:t>
      </w:r>
    </w:p>
    <w:p w14:paraId="4D153021">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w:t>
      </w:r>
      <w:r>
        <w:rPr>
          <w:rFonts w:hint="eastAsia" w:ascii="宋体" w:hAnsi="宋体" w:eastAsia="宋体"/>
          <w:color w:val="auto"/>
          <w:sz w:val="24"/>
          <w:highlight w:val="none"/>
        </w:rPr>
        <w:t>2</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采购人不接受具有附加条件的报价。</w:t>
      </w:r>
    </w:p>
    <w:p w14:paraId="249816D1">
      <w:pPr>
        <w:keepNext w:val="0"/>
        <w:keepLines w:val="0"/>
        <w:pageBreakBefore w:val="0"/>
        <w:kinsoku/>
        <w:wordWrap w:val="0"/>
        <w:overflowPunct/>
        <w:topLinePunct w:val="0"/>
        <w:bidi w:val="0"/>
        <w:spacing w:line="440" w:lineRule="exact"/>
        <w:ind w:firstLine="437"/>
        <w:jc w:val="left"/>
        <w:textAlignment w:val="auto"/>
        <w:outlineLvl w:val="3"/>
        <w:rPr>
          <w:rFonts w:hint="eastAsia" w:ascii="宋体" w:hAnsi="宋体" w:eastAsia="宋体"/>
          <w:b/>
          <w:color w:val="auto"/>
          <w:sz w:val="24"/>
          <w:highlight w:val="none"/>
          <w:lang w:eastAsia="zh-CN"/>
        </w:rPr>
      </w:pPr>
      <w:r>
        <w:rPr>
          <w:rFonts w:hint="eastAsia" w:ascii="宋体" w:hAnsi="宋体" w:eastAsia="宋体"/>
          <w:b/>
          <w:color w:val="auto"/>
          <w:sz w:val="24"/>
          <w:highlight w:val="none"/>
        </w:rPr>
        <w:t>1</w:t>
      </w:r>
      <w:r>
        <w:rPr>
          <w:rFonts w:ascii="宋体" w:hAnsi="宋体" w:eastAsia="宋体"/>
          <w:b/>
          <w:color w:val="auto"/>
          <w:sz w:val="24"/>
          <w:highlight w:val="none"/>
        </w:rPr>
        <w:t>3.</w:t>
      </w:r>
      <w:r>
        <w:rPr>
          <w:rFonts w:hint="eastAsia" w:ascii="宋体" w:hAnsi="宋体" w:eastAsia="宋体"/>
          <w:b/>
          <w:color w:val="auto"/>
          <w:sz w:val="24"/>
          <w:highlight w:val="none"/>
        </w:rPr>
        <w:t>磋商保证金</w:t>
      </w:r>
      <w:r>
        <w:rPr>
          <w:rFonts w:hint="eastAsia" w:ascii="宋体" w:hAnsi="宋体" w:eastAsia="宋体"/>
          <w:b/>
          <w:color w:val="auto"/>
          <w:sz w:val="24"/>
          <w:highlight w:val="none"/>
          <w:lang w:eastAsia="zh-CN"/>
        </w:rPr>
        <w:t>（如有）</w:t>
      </w:r>
    </w:p>
    <w:p w14:paraId="36CE92A9">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w:t>
      </w:r>
      <w:r>
        <w:rPr>
          <w:rFonts w:hint="eastAsia" w:ascii="宋体" w:hAnsi="宋体" w:eastAsia="宋体"/>
          <w:color w:val="auto"/>
          <w:sz w:val="24"/>
          <w:highlight w:val="none"/>
        </w:rPr>
        <w:t>3</w:t>
      </w:r>
      <w:r>
        <w:rPr>
          <w:rFonts w:ascii="宋体" w:hAnsi="宋体" w:eastAsia="宋体"/>
          <w:color w:val="auto"/>
          <w:sz w:val="24"/>
          <w:highlight w:val="none"/>
        </w:rPr>
        <w:t>.1</w:t>
      </w:r>
      <w:r>
        <w:rPr>
          <w:rFonts w:hint="eastAsia" w:ascii="宋体" w:hAnsi="宋体" w:eastAsia="宋体"/>
          <w:color w:val="auto"/>
          <w:sz w:val="24"/>
          <w:highlight w:val="none"/>
        </w:rPr>
        <w:t>供应商应提交</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中规定的磋商保证金，并作为其响应文件的一部分。供应商未按规定提交磋商保证金的，</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14:paraId="3FB3DF0D">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w:t>
      </w:r>
      <w:r>
        <w:rPr>
          <w:rFonts w:ascii="宋体" w:hAnsi="宋体" w:eastAsia="宋体"/>
          <w:color w:val="auto"/>
          <w:sz w:val="24"/>
          <w:highlight w:val="none"/>
        </w:rPr>
        <w:t>3.2</w:t>
      </w:r>
      <w:r>
        <w:rPr>
          <w:rFonts w:hint="eastAsia" w:ascii="宋体" w:hAnsi="宋体" w:eastAsia="宋体"/>
          <w:color w:val="auto"/>
          <w:sz w:val="24"/>
          <w:highlight w:val="none"/>
        </w:rPr>
        <w:t>供应商请注意：</w:t>
      </w:r>
    </w:p>
    <w:p w14:paraId="6EF7B9ED">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w:t>
      </w:r>
      <w:r>
        <w:rPr>
          <w:rFonts w:ascii="宋体" w:hAnsi="宋体" w:eastAsia="宋体"/>
          <w:color w:val="auto"/>
          <w:sz w:val="24"/>
          <w:highlight w:val="none"/>
        </w:rPr>
        <w:t>1）前次采购失败的，采购代理机构将退还</w:t>
      </w:r>
      <w:r>
        <w:rPr>
          <w:rFonts w:hint="eastAsia" w:ascii="宋体" w:hAnsi="宋体" w:eastAsia="宋体"/>
          <w:color w:val="auto"/>
          <w:sz w:val="24"/>
          <w:highlight w:val="none"/>
        </w:rPr>
        <w:t>供应商</w:t>
      </w:r>
      <w:r>
        <w:rPr>
          <w:rFonts w:ascii="宋体" w:hAnsi="宋体" w:eastAsia="宋体"/>
          <w:color w:val="auto"/>
          <w:sz w:val="24"/>
          <w:highlight w:val="none"/>
        </w:rPr>
        <w:t>的</w:t>
      </w:r>
      <w:r>
        <w:rPr>
          <w:rFonts w:hint="eastAsia" w:ascii="宋体" w:hAnsi="宋体" w:eastAsia="宋体"/>
          <w:color w:val="auto"/>
          <w:sz w:val="24"/>
          <w:highlight w:val="none"/>
        </w:rPr>
        <w:t>磋商</w:t>
      </w:r>
      <w:r>
        <w:rPr>
          <w:rFonts w:ascii="宋体" w:hAnsi="宋体" w:eastAsia="宋体"/>
          <w:color w:val="auto"/>
          <w:sz w:val="24"/>
          <w:highlight w:val="none"/>
        </w:rPr>
        <w:t>保证金。</w:t>
      </w:r>
    </w:p>
    <w:p w14:paraId="6A92F69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w:t>
      </w:r>
      <w:r>
        <w:rPr>
          <w:rFonts w:ascii="宋体" w:hAnsi="宋体" w:eastAsia="宋体"/>
          <w:color w:val="auto"/>
          <w:sz w:val="24"/>
          <w:highlight w:val="none"/>
        </w:rPr>
        <w:t>2）采购代理机构</w:t>
      </w:r>
      <w:r>
        <w:rPr>
          <w:rFonts w:hint="eastAsia" w:ascii="宋体" w:hAnsi="宋体" w:eastAsia="宋体"/>
          <w:color w:val="auto"/>
          <w:sz w:val="24"/>
          <w:highlight w:val="none"/>
        </w:rPr>
        <w:t>磋商</w:t>
      </w:r>
      <w:r>
        <w:rPr>
          <w:rFonts w:ascii="宋体" w:hAnsi="宋体" w:eastAsia="宋体"/>
          <w:color w:val="auto"/>
          <w:sz w:val="24"/>
          <w:highlight w:val="none"/>
        </w:rPr>
        <w:t>保证金缴纳账号采用动态虚拟账号（分包项目每一个包别对应一个账号），项目采购失败后，</w:t>
      </w:r>
      <w:r>
        <w:rPr>
          <w:rFonts w:hint="eastAsia" w:ascii="宋体" w:hAnsi="宋体" w:eastAsia="宋体"/>
          <w:color w:val="auto"/>
          <w:sz w:val="24"/>
          <w:highlight w:val="none"/>
        </w:rPr>
        <w:t>磋商</w:t>
      </w:r>
      <w:r>
        <w:rPr>
          <w:rFonts w:ascii="宋体" w:hAnsi="宋体" w:eastAsia="宋体"/>
          <w:color w:val="auto"/>
          <w:sz w:val="24"/>
          <w:highlight w:val="none"/>
        </w:rPr>
        <w:t>保证金缴纳账号将会发生变化，请</w:t>
      </w:r>
      <w:r>
        <w:rPr>
          <w:rFonts w:hint="eastAsia" w:ascii="宋体" w:hAnsi="宋体" w:eastAsia="宋体"/>
          <w:color w:val="auto"/>
          <w:sz w:val="24"/>
          <w:highlight w:val="none"/>
        </w:rPr>
        <w:t>供应商</w:t>
      </w:r>
      <w:r>
        <w:rPr>
          <w:rFonts w:ascii="宋体" w:hAnsi="宋体" w:eastAsia="宋体"/>
          <w:color w:val="auto"/>
          <w:sz w:val="24"/>
          <w:highlight w:val="none"/>
        </w:rPr>
        <w:t>参与后续采购时，注意勿将</w:t>
      </w:r>
      <w:r>
        <w:rPr>
          <w:rFonts w:hint="eastAsia" w:ascii="宋体" w:hAnsi="宋体" w:eastAsia="宋体"/>
          <w:color w:val="auto"/>
          <w:sz w:val="24"/>
          <w:highlight w:val="none"/>
        </w:rPr>
        <w:t>磋商</w:t>
      </w:r>
      <w:r>
        <w:rPr>
          <w:rFonts w:ascii="宋体" w:hAnsi="宋体" w:eastAsia="宋体"/>
          <w:color w:val="auto"/>
          <w:sz w:val="24"/>
          <w:highlight w:val="none"/>
        </w:rPr>
        <w:t>保证金错交至其他项目虚拟账号或前次公告账号。</w:t>
      </w:r>
    </w:p>
    <w:p w14:paraId="4AF1865D">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w:t>
      </w:r>
      <w:r>
        <w:rPr>
          <w:rFonts w:ascii="宋体" w:hAnsi="宋体" w:eastAsia="宋体"/>
          <w:color w:val="auto"/>
          <w:sz w:val="24"/>
          <w:highlight w:val="none"/>
        </w:rPr>
        <w:t>3）凡转账到其他项目虚拟账号或本项目前次公告账号的，</w:t>
      </w:r>
      <w:r>
        <w:rPr>
          <w:rFonts w:hint="eastAsia" w:ascii="宋体" w:hAnsi="宋体" w:eastAsia="宋体"/>
          <w:color w:val="auto"/>
          <w:sz w:val="24"/>
          <w:highlight w:val="none"/>
        </w:rPr>
        <w:t>其响应文件将被认定为</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14:paraId="132FE76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13.</w:t>
      </w:r>
      <w:r>
        <w:rPr>
          <w:rFonts w:hint="eastAsia" w:ascii="宋体" w:hAnsi="宋体" w:eastAsia="宋体"/>
          <w:color w:val="auto"/>
          <w:sz w:val="24"/>
          <w:highlight w:val="none"/>
        </w:rPr>
        <w:t>3</w:t>
      </w:r>
      <w:r>
        <w:rPr>
          <w:rFonts w:ascii="宋体" w:hAnsi="宋体" w:eastAsia="宋体"/>
          <w:color w:val="auto"/>
          <w:sz w:val="24"/>
          <w:highlight w:val="none"/>
        </w:rPr>
        <w:t>磋商保证金缴纳人名称与供应商名称应当一致。除非磋商文件另有规定，分公司或子公司代缴磋商保证金，视同名称不一致。磋商保证金缴纳人名称与供应商名称不一致的，</w:t>
      </w:r>
      <w:r>
        <w:rPr>
          <w:rFonts w:hint="eastAsia" w:ascii="宋体" w:hAnsi="宋体" w:eastAsia="宋体"/>
          <w:color w:val="auto"/>
          <w:sz w:val="24"/>
          <w:highlight w:val="none"/>
        </w:rPr>
        <w:t>其响应文件将被认定为</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14:paraId="5E60E1C9">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13.</w:t>
      </w:r>
      <w:r>
        <w:rPr>
          <w:rFonts w:hint="eastAsia" w:ascii="宋体" w:hAnsi="宋体" w:eastAsia="宋体"/>
          <w:color w:val="auto"/>
          <w:sz w:val="24"/>
          <w:highlight w:val="none"/>
        </w:rPr>
        <w:t>4</w:t>
      </w:r>
      <w:r>
        <w:rPr>
          <w:rFonts w:ascii="宋体" w:hAnsi="宋体" w:eastAsia="宋体"/>
          <w:color w:val="auto"/>
          <w:sz w:val="24"/>
          <w:highlight w:val="none"/>
        </w:rPr>
        <w:t>联合体参加磋商的，可以由联合体中的一方或者共同提交磋商保证金。以一方名义提交磋商保证金的，对联合体各方均具有约束力。</w:t>
      </w:r>
    </w:p>
    <w:p w14:paraId="7FAB3288">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highlight w:val="none"/>
          <w:lang w:eastAsia="zh-CN"/>
        </w:rPr>
      </w:pPr>
      <w:r>
        <w:rPr>
          <w:rFonts w:ascii="宋体" w:hAnsi="宋体" w:eastAsia="宋体"/>
          <w:color w:val="auto"/>
          <w:sz w:val="24"/>
          <w:highlight w:val="none"/>
        </w:rPr>
        <w:t>13.</w:t>
      </w:r>
      <w:r>
        <w:rPr>
          <w:rFonts w:hint="eastAsia" w:ascii="宋体" w:hAnsi="宋体" w:eastAsia="宋体"/>
          <w:color w:val="auto"/>
          <w:sz w:val="24"/>
          <w:highlight w:val="none"/>
        </w:rPr>
        <w:t>5</w:t>
      </w:r>
      <w:r>
        <w:rPr>
          <w:rFonts w:ascii="宋体" w:hAnsi="宋体" w:eastAsia="宋体"/>
          <w:color w:val="auto"/>
          <w:sz w:val="24"/>
          <w:highlight w:val="none"/>
        </w:rPr>
        <w:t>采购代理机构将在成交通知书发出后五个工作日内退还未成交供应商的磋商保证金，在采购合同签订后五个工作日内退还成交供应商的磋商保证金</w:t>
      </w:r>
      <w:r>
        <w:rPr>
          <w:rFonts w:hint="eastAsia" w:ascii="宋体" w:hAnsi="宋体" w:eastAsia="宋体"/>
          <w:color w:val="auto"/>
          <w:sz w:val="24"/>
          <w:highlight w:val="none"/>
          <w:lang w:eastAsia="zh-CN"/>
        </w:rPr>
        <w:t>。</w:t>
      </w:r>
    </w:p>
    <w:p w14:paraId="2A51588E">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13.</w:t>
      </w:r>
      <w:r>
        <w:rPr>
          <w:rFonts w:hint="eastAsia" w:ascii="宋体" w:hAnsi="宋体" w:eastAsia="宋体"/>
          <w:color w:val="auto"/>
          <w:sz w:val="24"/>
          <w:highlight w:val="none"/>
        </w:rPr>
        <w:t>6</w:t>
      </w:r>
      <w:r>
        <w:rPr>
          <w:rFonts w:ascii="宋体" w:hAnsi="宋体" w:eastAsia="宋体"/>
          <w:color w:val="auto"/>
          <w:sz w:val="24"/>
          <w:highlight w:val="none"/>
        </w:rPr>
        <w:t>因供应商自身原因导致无法及时退还的，采购人或采购代理机构将不承担相应责任。</w:t>
      </w:r>
    </w:p>
    <w:p w14:paraId="53AB1A35">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13.</w:t>
      </w:r>
      <w:r>
        <w:rPr>
          <w:rFonts w:hint="eastAsia" w:ascii="宋体" w:hAnsi="宋体" w:eastAsia="宋体"/>
          <w:color w:val="auto"/>
          <w:sz w:val="24"/>
          <w:highlight w:val="none"/>
        </w:rPr>
        <w:t>7有下列情形之一的，</w:t>
      </w:r>
      <w:r>
        <w:rPr>
          <w:rFonts w:ascii="宋体" w:hAnsi="宋体" w:eastAsia="宋体"/>
          <w:color w:val="auto"/>
          <w:sz w:val="24"/>
          <w:highlight w:val="none"/>
        </w:rPr>
        <w:t>磋商保证金不予退还：</w:t>
      </w:r>
    </w:p>
    <w:p w14:paraId="7B429B97">
      <w:pPr>
        <w:keepNext w:val="0"/>
        <w:keepLines w:val="0"/>
        <w:pageBreakBefore w:val="0"/>
        <w:numPr>
          <w:ilvl w:val="0"/>
          <w:numId w:val="0"/>
        </w:numPr>
        <w:kinsoku/>
        <w:wordWrap w:val="0"/>
        <w:overflowPunct/>
        <w:topLinePunct w:val="0"/>
        <w:bidi w:val="0"/>
        <w:spacing w:line="440" w:lineRule="exact"/>
        <w:ind w:firstLine="480" w:firstLineChars="200"/>
        <w:jc w:val="left"/>
        <w:textAlignment w:val="auto"/>
        <w:rPr>
          <w:rFonts w:hint="default" w:ascii="Arial" w:hAnsi="Arial" w:eastAsia="宋体" w:cs="Arial"/>
          <w:color w:val="auto"/>
          <w:sz w:val="24"/>
          <w:highlight w:val="none"/>
        </w:rPr>
      </w:pPr>
      <w:r>
        <w:rPr>
          <w:rFonts w:hint="eastAsia" w:ascii="Arial" w:hAnsi="Arial" w:eastAsia="宋体" w:cs="Arial"/>
          <w:color w:val="auto"/>
          <w:sz w:val="24"/>
          <w:highlight w:val="none"/>
          <w:lang w:eastAsia="zh-CN"/>
        </w:rPr>
        <w:t>（</w:t>
      </w:r>
      <w:r>
        <w:rPr>
          <w:rFonts w:hint="eastAsia" w:ascii="Arial" w:hAnsi="Arial" w:eastAsia="宋体" w:cs="Arial"/>
          <w:color w:val="auto"/>
          <w:sz w:val="24"/>
          <w:highlight w:val="none"/>
          <w:lang w:val="en-US" w:eastAsia="zh-CN"/>
        </w:rPr>
        <w:t>1</w:t>
      </w:r>
      <w:r>
        <w:rPr>
          <w:rFonts w:hint="eastAsia" w:ascii="Arial" w:hAnsi="Arial" w:eastAsia="宋体" w:cs="Arial"/>
          <w:color w:val="auto"/>
          <w:sz w:val="24"/>
          <w:highlight w:val="none"/>
          <w:lang w:eastAsia="zh-CN"/>
        </w:rPr>
        <w:t>）供应商</w:t>
      </w:r>
      <w:r>
        <w:rPr>
          <w:rFonts w:hint="default" w:ascii="Arial" w:hAnsi="Arial" w:eastAsia="宋体" w:cs="Arial"/>
          <w:color w:val="auto"/>
          <w:sz w:val="24"/>
          <w:highlight w:val="none"/>
        </w:rPr>
        <w:t>在</w:t>
      </w:r>
      <w:r>
        <w:rPr>
          <w:rFonts w:hint="eastAsia" w:ascii="Arial" w:hAnsi="Arial" w:eastAsia="宋体" w:cs="Arial"/>
          <w:color w:val="auto"/>
          <w:sz w:val="24"/>
          <w:highlight w:val="none"/>
          <w:lang w:eastAsia="zh-CN"/>
        </w:rPr>
        <w:t>响应文件</w:t>
      </w:r>
      <w:r>
        <w:rPr>
          <w:rFonts w:hint="default" w:ascii="Arial" w:hAnsi="Arial" w:eastAsia="宋体" w:cs="Arial"/>
          <w:color w:val="auto"/>
          <w:sz w:val="24"/>
          <w:highlight w:val="none"/>
        </w:rPr>
        <w:t>中提供虚假材料的；</w:t>
      </w:r>
    </w:p>
    <w:p w14:paraId="10BEB580">
      <w:pPr>
        <w:keepNext w:val="0"/>
        <w:keepLines w:val="0"/>
        <w:pageBreakBefore w:val="0"/>
        <w:kinsoku/>
        <w:wordWrap w:val="0"/>
        <w:overflowPunct/>
        <w:topLinePunct w:val="0"/>
        <w:bidi w:val="0"/>
        <w:spacing w:line="440" w:lineRule="exact"/>
        <w:ind w:firstLine="435"/>
        <w:jc w:val="left"/>
        <w:textAlignment w:val="auto"/>
        <w:rPr>
          <w:rFonts w:hint="default" w:ascii="Arial" w:hAnsi="Arial" w:eastAsia="宋体" w:cs="Arial"/>
          <w:color w:val="auto"/>
          <w:sz w:val="24"/>
          <w:highlight w:val="none"/>
        </w:rPr>
      </w:pPr>
      <w:r>
        <w:rPr>
          <w:rFonts w:hint="default" w:ascii="Arial" w:hAnsi="Arial" w:eastAsia="宋体" w:cs="Arial"/>
          <w:color w:val="auto"/>
          <w:sz w:val="24"/>
          <w:highlight w:val="none"/>
        </w:rPr>
        <w:t>（</w:t>
      </w:r>
      <w:r>
        <w:rPr>
          <w:rFonts w:hint="eastAsia" w:ascii="Arial" w:hAnsi="Arial" w:eastAsia="宋体" w:cs="Arial"/>
          <w:color w:val="auto"/>
          <w:sz w:val="24"/>
          <w:highlight w:val="none"/>
          <w:lang w:val="en-US" w:eastAsia="zh-CN"/>
        </w:rPr>
        <w:t>2</w:t>
      </w:r>
      <w:r>
        <w:rPr>
          <w:rFonts w:hint="default" w:ascii="Arial" w:hAnsi="Arial" w:eastAsia="宋体" w:cs="Arial"/>
          <w:color w:val="auto"/>
          <w:sz w:val="24"/>
          <w:highlight w:val="none"/>
        </w:rPr>
        <w:t>）除因不可抗力或</w:t>
      </w:r>
      <w:r>
        <w:rPr>
          <w:rFonts w:hint="eastAsia" w:ascii="Arial" w:hAnsi="Arial" w:eastAsia="宋体" w:cs="Arial"/>
          <w:color w:val="auto"/>
          <w:sz w:val="24"/>
          <w:highlight w:val="none"/>
          <w:lang w:eastAsia="zh-CN"/>
        </w:rPr>
        <w:t>磋商</w:t>
      </w:r>
      <w:r>
        <w:rPr>
          <w:rFonts w:hint="default" w:ascii="Arial" w:hAnsi="Arial" w:eastAsia="宋体" w:cs="Arial"/>
          <w:color w:val="auto"/>
          <w:sz w:val="24"/>
          <w:highlight w:val="none"/>
        </w:rPr>
        <w:t>文件认可的情形以外，</w:t>
      </w:r>
      <w:r>
        <w:rPr>
          <w:rFonts w:hint="eastAsia" w:ascii="Arial" w:hAnsi="Arial" w:eastAsia="宋体" w:cs="Arial"/>
          <w:color w:val="auto"/>
          <w:sz w:val="24"/>
          <w:highlight w:val="none"/>
          <w:lang w:eastAsia="zh-CN"/>
        </w:rPr>
        <w:t>成交供应商</w:t>
      </w:r>
      <w:r>
        <w:rPr>
          <w:rFonts w:hint="default" w:ascii="Arial" w:hAnsi="Arial" w:eastAsia="宋体" w:cs="Arial"/>
          <w:color w:val="auto"/>
          <w:sz w:val="24"/>
          <w:highlight w:val="none"/>
        </w:rPr>
        <w:t>不与采购人签订合同的；</w:t>
      </w:r>
    </w:p>
    <w:p w14:paraId="4750969E">
      <w:pPr>
        <w:keepNext w:val="0"/>
        <w:keepLines w:val="0"/>
        <w:pageBreakBefore w:val="0"/>
        <w:kinsoku/>
        <w:wordWrap w:val="0"/>
        <w:overflowPunct/>
        <w:topLinePunct w:val="0"/>
        <w:bidi w:val="0"/>
        <w:spacing w:line="440" w:lineRule="exact"/>
        <w:ind w:firstLine="435"/>
        <w:jc w:val="left"/>
        <w:textAlignment w:val="auto"/>
        <w:rPr>
          <w:rFonts w:hint="default" w:ascii="Arial" w:hAnsi="Arial" w:eastAsia="宋体" w:cs="Arial"/>
          <w:color w:val="auto"/>
          <w:sz w:val="24"/>
          <w:highlight w:val="none"/>
        </w:rPr>
      </w:pPr>
      <w:r>
        <w:rPr>
          <w:rFonts w:hint="default" w:ascii="Arial" w:hAnsi="Arial" w:eastAsia="宋体" w:cs="Arial"/>
          <w:color w:val="auto"/>
          <w:sz w:val="24"/>
          <w:highlight w:val="none"/>
        </w:rPr>
        <w:t>（</w:t>
      </w:r>
      <w:r>
        <w:rPr>
          <w:rFonts w:hint="eastAsia" w:ascii="Arial" w:hAnsi="Arial" w:eastAsia="宋体" w:cs="Arial"/>
          <w:color w:val="auto"/>
          <w:sz w:val="24"/>
          <w:highlight w:val="none"/>
          <w:lang w:val="en-US" w:eastAsia="zh-CN"/>
        </w:rPr>
        <w:t>3</w:t>
      </w:r>
      <w:r>
        <w:rPr>
          <w:rFonts w:hint="default" w:ascii="Arial" w:hAnsi="Arial" w:eastAsia="宋体" w:cs="Arial"/>
          <w:color w:val="auto"/>
          <w:sz w:val="24"/>
          <w:highlight w:val="none"/>
        </w:rPr>
        <w:t>）</w:t>
      </w:r>
      <w:r>
        <w:rPr>
          <w:rFonts w:hint="eastAsia" w:ascii="Arial" w:hAnsi="Arial" w:eastAsia="宋体" w:cs="Arial"/>
          <w:color w:val="auto"/>
          <w:sz w:val="24"/>
          <w:highlight w:val="none"/>
          <w:lang w:eastAsia="zh-CN"/>
        </w:rPr>
        <w:t>供应商</w:t>
      </w:r>
      <w:r>
        <w:rPr>
          <w:rFonts w:hint="default" w:ascii="Arial" w:hAnsi="Arial" w:eastAsia="宋体" w:cs="Arial"/>
          <w:color w:val="auto"/>
          <w:sz w:val="24"/>
          <w:highlight w:val="none"/>
        </w:rPr>
        <w:t>与采购人、其他</w:t>
      </w:r>
      <w:r>
        <w:rPr>
          <w:rFonts w:hint="eastAsia" w:ascii="Arial" w:hAnsi="Arial" w:eastAsia="宋体" w:cs="Arial"/>
          <w:color w:val="auto"/>
          <w:sz w:val="24"/>
          <w:highlight w:val="none"/>
          <w:lang w:eastAsia="zh-CN"/>
        </w:rPr>
        <w:t>供应商</w:t>
      </w:r>
      <w:r>
        <w:rPr>
          <w:rFonts w:hint="default" w:ascii="Arial" w:hAnsi="Arial" w:eastAsia="宋体" w:cs="Arial"/>
          <w:color w:val="auto"/>
          <w:sz w:val="24"/>
          <w:highlight w:val="none"/>
        </w:rPr>
        <w:t>或者采购代理机构恶意串通的；</w:t>
      </w:r>
    </w:p>
    <w:p w14:paraId="25423B00">
      <w:pPr>
        <w:keepNext w:val="0"/>
        <w:keepLines w:val="0"/>
        <w:pageBreakBefore w:val="0"/>
        <w:kinsoku/>
        <w:wordWrap w:val="0"/>
        <w:overflowPunct/>
        <w:topLinePunct w:val="0"/>
        <w:bidi w:val="0"/>
        <w:spacing w:line="440" w:lineRule="exact"/>
        <w:ind w:firstLine="435"/>
        <w:jc w:val="left"/>
        <w:textAlignment w:val="auto"/>
        <w:rPr>
          <w:rFonts w:hint="default" w:ascii="Arial" w:hAnsi="Arial" w:eastAsia="宋体" w:cs="Arial"/>
          <w:color w:val="auto"/>
          <w:sz w:val="24"/>
          <w:highlight w:val="none"/>
        </w:rPr>
      </w:pPr>
      <w:r>
        <w:rPr>
          <w:rFonts w:hint="default" w:ascii="Arial" w:hAnsi="Arial" w:eastAsia="宋体" w:cs="Arial"/>
          <w:color w:val="auto"/>
          <w:sz w:val="24"/>
          <w:highlight w:val="none"/>
        </w:rPr>
        <w:t>（</w:t>
      </w:r>
      <w:r>
        <w:rPr>
          <w:rFonts w:hint="eastAsia" w:ascii="Arial" w:hAnsi="Arial" w:eastAsia="宋体" w:cs="Arial"/>
          <w:color w:val="auto"/>
          <w:sz w:val="24"/>
          <w:highlight w:val="none"/>
          <w:lang w:val="en-US" w:eastAsia="zh-CN"/>
        </w:rPr>
        <w:t>4</w:t>
      </w:r>
      <w:r>
        <w:rPr>
          <w:rFonts w:hint="eastAsia" w:ascii="Arial" w:hAnsi="Arial" w:eastAsia="宋体" w:cs="Arial"/>
          <w:color w:val="auto"/>
          <w:sz w:val="24"/>
          <w:highlight w:val="none"/>
          <w:lang w:eastAsia="zh-CN"/>
        </w:rPr>
        <w:t>）</w:t>
      </w:r>
      <w:r>
        <w:rPr>
          <w:rFonts w:ascii="宋体" w:hAnsi="宋体" w:eastAsia="宋体"/>
          <w:color w:val="auto"/>
          <w:sz w:val="24"/>
          <w:highlight w:val="none"/>
        </w:rPr>
        <w:t>供应商在</w:t>
      </w:r>
      <w:r>
        <w:rPr>
          <w:rFonts w:hint="eastAsia" w:ascii="宋体" w:hAnsi="宋体" w:eastAsia="宋体"/>
          <w:color w:val="auto"/>
          <w:sz w:val="24"/>
          <w:highlight w:val="none"/>
          <w:lang w:val="en-US" w:eastAsia="zh-CN"/>
        </w:rPr>
        <w:t>提交响应文件截止时间后</w:t>
      </w:r>
      <w:r>
        <w:rPr>
          <w:rFonts w:hint="eastAsia" w:ascii="Arial" w:hAnsi="Arial" w:eastAsia="宋体" w:cs="Arial"/>
          <w:color w:val="auto"/>
          <w:sz w:val="24"/>
          <w:highlight w:val="none"/>
          <w:lang w:eastAsia="zh-CN"/>
        </w:rPr>
        <w:t>撤回响应</w:t>
      </w:r>
      <w:r>
        <w:rPr>
          <w:rFonts w:hint="default" w:ascii="Arial" w:hAnsi="Arial" w:eastAsia="宋体" w:cs="Arial"/>
          <w:color w:val="auto"/>
          <w:sz w:val="24"/>
          <w:highlight w:val="none"/>
        </w:rPr>
        <w:t>文件</w:t>
      </w:r>
      <w:r>
        <w:rPr>
          <w:rFonts w:hint="eastAsia" w:ascii="Arial" w:hAnsi="Arial" w:eastAsia="宋体" w:cs="Arial"/>
          <w:color w:val="auto"/>
          <w:sz w:val="24"/>
          <w:highlight w:val="none"/>
          <w:lang w:eastAsia="zh-CN"/>
        </w:rPr>
        <w:t>的</w:t>
      </w:r>
      <w:r>
        <w:rPr>
          <w:rFonts w:hint="default" w:ascii="Arial" w:hAnsi="Arial" w:eastAsia="宋体" w:cs="Arial"/>
          <w:color w:val="auto"/>
          <w:sz w:val="24"/>
          <w:highlight w:val="none"/>
        </w:rPr>
        <w:t>；</w:t>
      </w:r>
    </w:p>
    <w:p w14:paraId="510FB119">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color w:val="auto"/>
          <w:sz w:val="24"/>
          <w:highlight w:val="none"/>
        </w:rPr>
      </w:pPr>
      <w:r>
        <w:rPr>
          <w:rFonts w:hint="eastAsia" w:ascii="Arial" w:hAnsi="Arial" w:eastAsia="宋体" w:cs="Arial"/>
          <w:color w:val="auto"/>
          <w:sz w:val="24"/>
          <w:highlight w:val="none"/>
          <w:lang w:eastAsia="zh-CN"/>
        </w:rPr>
        <w:t>（</w:t>
      </w:r>
      <w:r>
        <w:rPr>
          <w:rFonts w:hint="eastAsia" w:ascii="Arial" w:hAnsi="Arial" w:eastAsia="宋体" w:cs="Arial"/>
          <w:color w:val="auto"/>
          <w:sz w:val="24"/>
          <w:highlight w:val="none"/>
          <w:lang w:val="en-US" w:eastAsia="zh-CN"/>
        </w:rPr>
        <w:t>5）</w:t>
      </w:r>
      <w:r>
        <w:rPr>
          <w:rFonts w:hint="eastAsia" w:ascii="Arial" w:hAnsi="Arial" w:eastAsia="宋体" w:cs="Arial"/>
          <w:color w:val="auto"/>
          <w:sz w:val="24"/>
          <w:highlight w:val="none"/>
          <w:u w:val="single"/>
          <w:lang w:eastAsia="zh-CN"/>
        </w:rPr>
        <w:t>供应商</w:t>
      </w:r>
      <w:r>
        <w:rPr>
          <w:rFonts w:hint="default" w:ascii="Arial" w:hAnsi="Arial" w:eastAsia="宋体" w:cs="Arial"/>
          <w:color w:val="auto"/>
          <w:sz w:val="24"/>
          <w:highlight w:val="none"/>
          <w:u w:val="single"/>
        </w:rPr>
        <w:t>须知前附表</w:t>
      </w:r>
      <w:r>
        <w:rPr>
          <w:rFonts w:hint="default" w:ascii="Arial" w:hAnsi="Arial" w:eastAsia="宋体" w:cs="Arial"/>
          <w:color w:val="auto"/>
          <w:sz w:val="24"/>
          <w:highlight w:val="none"/>
        </w:rPr>
        <w:t>中规定的其他不予退还</w:t>
      </w:r>
      <w:r>
        <w:rPr>
          <w:rFonts w:hint="eastAsia" w:ascii="Arial" w:hAnsi="Arial" w:eastAsia="宋体" w:cs="Arial"/>
          <w:color w:val="auto"/>
          <w:sz w:val="24"/>
          <w:highlight w:val="none"/>
          <w:lang w:eastAsia="zh-CN"/>
        </w:rPr>
        <w:t>磋商</w:t>
      </w:r>
      <w:r>
        <w:rPr>
          <w:rFonts w:hint="default" w:ascii="Arial" w:hAnsi="Arial" w:eastAsia="宋体" w:cs="Arial"/>
          <w:color w:val="auto"/>
          <w:sz w:val="24"/>
          <w:highlight w:val="none"/>
        </w:rPr>
        <w:t>保证金的情形。</w:t>
      </w:r>
    </w:p>
    <w:p w14:paraId="4A8CCFEF">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4.</w:t>
      </w:r>
      <w:r>
        <w:rPr>
          <w:rFonts w:hint="eastAsia" w:ascii="宋体" w:hAnsi="宋体" w:eastAsia="宋体"/>
          <w:b/>
          <w:color w:val="auto"/>
          <w:sz w:val="24"/>
          <w:highlight w:val="none"/>
        </w:rPr>
        <w:t>磋商有效期</w:t>
      </w:r>
    </w:p>
    <w:p w14:paraId="38008C40">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14.1磋商有效期为从响应文件提交截止之日算起的日历天数，磋商有效期详见</w:t>
      </w:r>
      <w:r>
        <w:rPr>
          <w:rFonts w:ascii="宋体" w:hAnsi="宋体" w:eastAsia="宋体"/>
          <w:color w:val="auto"/>
          <w:sz w:val="24"/>
          <w:highlight w:val="none"/>
          <w:u w:val="single"/>
        </w:rPr>
        <w:t>供应商须知前附表</w:t>
      </w:r>
      <w:r>
        <w:rPr>
          <w:rFonts w:ascii="宋体" w:hAnsi="宋体" w:eastAsia="宋体"/>
          <w:color w:val="auto"/>
          <w:sz w:val="24"/>
          <w:highlight w:val="none"/>
        </w:rPr>
        <w:t>。</w:t>
      </w:r>
    </w:p>
    <w:p w14:paraId="1B90101F">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14.2在磋商有效期内，供应商的磋商保持有效，供应商不得要求撤销或修改其响应文件。磋商有效期不满足要求的响应，其响应文件将被认定为</w:t>
      </w:r>
      <w:r>
        <w:rPr>
          <w:rFonts w:ascii="宋体" w:hAnsi="宋体" w:eastAsia="宋体"/>
          <w:b/>
          <w:color w:val="auto"/>
          <w:sz w:val="24"/>
          <w:highlight w:val="none"/>
        </w:rPr>
        <w:t>响应无效</w:t>
      </w:r>
      <w:r>
        <w:rPr>
          <w:rFonts w:ascii="宋体" w:hAnsi="宋体" w:eastAsia="宋体"/>
          <w:color w:val="auto"/>
          <w:sz w:val="24"/>
          <w:highlight w:val="none"/>
        </w:rPr>
        <w:t>。</w:t>
      </w:r>
    </w:p>
    <w:p w14:paraId="07B174BA">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14.3为保证有充分时间签订合同，采购人或采购代理机构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14:paraId="4C04916C">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5.</w:t>
      </w:r>
      <w:r>
        <w:rPr>
          <w:rFonts w:hint="eastAsia" w:ascii="宋体" w:hAnsi="宋体" w:eastAsia="宋体"/>
          <w:b/>
          <w:color w:val="auto"/>
          <w:sz w:val="24"/>
          <w:highlight w:val="none"/>
        </w:rPr>
        <w:t>响应文件的制作</w:t>
      </w:r>
    </w:p>
    <w:p w14:paraId="6E54F68E">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15.1本项目要求提供</w:t>
      </w:r>
      <w:r>
        <w:rPr>
          <w:rFonts w:hint="eastAsia" w:ascii="宋体" w:hAnsi="宋体" w:eastAsia="宋体"/>
          <w:color w:val="auto"/>
          <w:sz w:val="24"/>
          <w:highlight w:val="none"/>
          <w:lang w:val="en-US" w:eastAsia="zh-CN"/>
        </w:rPr>
        <w:t>的</w:t>
      </w:r>
      <w:r>
        <w:rPr>
          <w:rFonts w:hint="eastAsia" w:ascii="宋体" w:hAnsi="宋体" w:eastAsia="宋体"/>
          <w:color w:val="auto"/>
          <w:sz w:val="24"/>
          <w:highlight w:val="none"/>
        </w:rPr>
        <w:t>响应文件</w:t>
      </w:r>
      <w:r>
        <w:rPr>
          <w:rFonts w:hint="eastAsia" w:ascii="宋体" w:hAnsi="宋体" w:eastAsia="宋体"/>
          <w:color w:val="auto"/>
          <w:sz w:val="24"/>
          <w:highlight w:val="none"/>
          <w:lang w:val="en-US" w:eastAsia="zh-CN"/>
        </w:rPr>
        <w:t>要求详见</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。响应</w:t>
      </w:r>
      <w:r>
        <w:rPr>
          <w:rFonts w:ascii="宋体" w:hAnsi="宋体" w:eastAsia="宋体"/>
          <w:color w:val="auto"/>
          <w:sz w:val="24"/>
          <w:highlight w:val="none"/>
        </w:rPr>
        <w:t>文件的制作应满足以下规定：</w:t>
      </w:r>
    </w:p>
    <w:p w14:paraId="495E7808">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highlight w:val="none"/>
        </w:rPr>
      </w:pPr>
      <w:r>
        <w:rPr>
          <w:rFonts w:hint="eastAsia" w:ascii="宋体" w:hAnsi="宋体" w:eastAsia="宋体"/>
          <w:color w:val="auto"/>
          <w:sz w:val="24"/>
          <w:highlight w:val="none"/>
        </w:rPr>
        <w:t>（</w:t>
      </w:r>
      <w:r>
        <w:rPr>
          <w:rFonts w:ascii="宋体" w:hAnsi="宋体" w:eastAsia="宋体"/>
          <w:color w:val="auto"/>
          <w:sz w:val="24"/>
          <w:highlight w:val="none"/>
        </w:rPr>
        <w:t>1）</w:t>
      </w:r>
      <w:r>
        <w:rPr>
          <w:rFonts w:hint="eastAsia" w:ascii="宋体" w:hAnsi="宋体" w:eastAsia="宋体"/>
          <w:color w:val="auto"/>
          <w:sz w:val="24"/>
          <w:highlight w:val="none"/>
          <w:lang w:val="en-US" w:eastAsia="zh-CN"/>
        </w:rPr>
        <w:t>加密的电子</w:t>
      </w:r>
      <w:r>
        <w:rPr>
          <w:rFonts w:hint="eastAsia" w:ascii="宋体" w:hAnsi="宋体" w:eastAsia="宋体"/>
          <w:color w:val="auto"/>
          <w:sz w:val="24"/>
          <w:highlight w:val="none"/>
        </w:rPr>
        <w:t>响应</w:t>
      </w:r>
      <w:r>
        <w:rPr>
          <w:rFonts w:ascii="宋体" w:hAnsi="宋体" w:eastAsia="宋体"/>
          <w:color w:val="auto"/>
          <w:sz w:val="24"/>
          <w:highlight w:val="none"/>
        </w:rPr>
        <w:t>文件由</w:t>
      </w:r>
      <w:r>
        <w:rPr>
          <w:rFonts w:hint="eastAsia" w:ascii="宋体" w:hAnsi="宋体" w:eastAsia="宋体"/>
          <w:color w:val="auto"/>
          <w:sz w:val="24"/>
          <w:highlight w:val="none"/>
        </w:rPr>
        <w:t>供应商</w:t>
      </w:r>
      <w:r>
        <w:rPr>
          <w:rFonts w:ascii="宋体" w:hAnsi="宋体" w:eastAsia="宋体"/>
          <w:color w:val="auto"/>
          <w:sz w:val="24"/>
          <w:highlight w:val="none"/>
        </w:rPr>
        <w:t>使用</w:t>
      </w:r>
      <w:r>
        <w:rPr>
          <w:rFonts w:hint="eastAsia" w:ascii="宋体" w:hAnsi="宋体" w:eastAsia="宋体"/>
          <w:color w:val="auto"/>
          <w:sz w:val="24"/>
          <w:highlight w:val="none"/>
          <w:lang w:val="en-US" w:eastAsia="zh-CN"/>
        </w:rPr>
        <w:t>安招采平台</w:t>
      </w:r>
      <w:r>
        <w:rPr>
          <w:rFonts w:ascii="宋体" w:hAnsi="宋体" w:eastAsia="宋体"/>
          <w:color w:val="auto"/>
          <w:sz w:val="24"/>
          <w:highlight w:val="none"/>
        </w:rPr>
        <w:t>提供的“投标文件制作工具”制作生成。“投标</w:t>
      </w:r>
      <w:r>
        <w:rPr>
          <w:rFonts w:hint="eastAsia" w:ascii="宋体" w:hAnsi="宋体" w:eastAsia="宋体"/>
          <w:color w:val="auto"/>
          <w:sz w:val="24"/>
          <w:highlight w:val="none"/>
        </w:rPr>
        <w:t>文件制作工具”可以通过</w:t>
      </w:r>
      <w:r>
        <w:rPr>
          <w:rFonts w:hint="eastAsia" w:ascii="宋体" w:hAnsi="宋体" w:eastAsia="宋体" w:cs="宋体"/>
          <w:color w:val="auto"/>
          <w:sz w:val="24"/>
          <w:szCs w:val="24"/>
          <w:highlight w:val="none"/>
          <w:lang w:eastAsia="zh-CN"/>
        </w:rPr>
        <w:t>安招采平台</w:t>
      </w:r>
      <w:r>
        <w:rPr>
          <w:rFonts w:hint="eastAsia" w:ascii="宋体" w:hAnsi="宋体" w:eastAsia="宋体"/>
          <w:color w:val="auto"/>
          <w:sz w:val="24"/>
          <w:highlight w:val="none"/>
        </w:rPr>
        <w:t>下载。供应商应当在互联网络通畅状态下启用最新版投标文件制作工具制作响应文件。</w:t>
      </w:r>
    </w:p>
    <w:p w14:paraId="5A8A6329">
      <w:pPr>
        <w:keepNext w:val="0"/>
        <w:keepLines w:val="0"/>
        <w:pageBreakBefore w:val="0"/>
        <w:kinsoku/>
        <w:wordWrap w:val="0"/>
        <w:overflowPunct/>
        <w:topLinePunct w:val="0"/>
        <w:bidi w:val="0"/>
        <w:spacing w:line="440" w:lineRule="exact"/>
        <w:ind w:firstLine="435"/>
        <w:jc w:val="left"/>
        <w:textAlignment w:val="auto"/>
        <w:rPr>
          <w:rFonts w:hint="default" w:ascii="宋体" w:hAnsi="宋体" w:eastAsia="宋体"/>
          <w:color w:val="auto"/>
          <w:sz w:val="24"/>
          <w:highlight w:val="none"/>
          <w:lang w:val="en-US" w:eastAsia="zh-CN"/>
        </w:rPr>
      </w:pP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2</w:t>
      </w: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未加密的电子响应文件和纸质响应文件，具体要求详见</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w:t>
      </w:r>
    </w:p>
    <w:p w14:paraId="4BFA1BF3">
      <w:pPr>
        <w:keepNext w:val="0"/>
        <w:keepLines w:val="0"/>
        <w:pageBreakBefore w:val="0"/>
        <w:kinsoku/>
        <w:wordWrap w:val="0"/>
        <w:overflowPunct/>
        <w:topLinePunct w:val="0"/>
        <w:bidi w:val="0"/>
        <w:spacing w:line="440" w:lineRule="exact"/>
        <w:ind w:firstLine="435"/>
        <w:jc w:val="left"/>
        <w:textAlignment w:val="auto"/>
        <w:rPr>
          <w:rFonts w:hint="default" w:ascii="宋体" w:hAnsi="宋体" w:eastAsia="宋体"/>
          <w:color w:val="auto"/>
          <w:sz w:val="24"/>
          <w:highlight w:val="none"/>
          <w:lang w:val="en-US" w:eastAsia="zh-CN"/>
        </w:rPr>
      </w:pPr>
      <w:r>
        <w:rPr>
          <w:rFonts w:hint="eastAsia" w:ascii="宋体" w:hAnsi="宋体" w:eastAsia="宋体"/>
          <w:color w:val="auto"/>
          <w:sz w:val="24"/>
          <w:highlight w:val="none"/>
        </w:rPr>
        <w:t>（</w:t>
      </w:r>
      <w:r>
        <w:rPr>
          <w:rFonts w:hint="eastAsia" w:ascii="宋体" w:hAnsi="宋体" w:eastAsia="宋体"/>
          <w:color w:val="auto"/>
          <w:sz w:val="24"/>
          <w:highlight w:val="none"/>
          <w:lang w:val="en-US" w:eastAsia="zh-CN"/>
        </w:rPr>
        <w:t>3</w:t>
      </w:r>
      <w:r>
        <w:rPr>
          <w:rFonts w:ascii="宋体" w:hAnsi="宋体" w:eastAsia="宋体"/>
          <w:color w:val="auto"/>
          <w:sz w:val="24"/>
          <w:highlight w:val="none"/>
        </w:rPr>
        <w:t>）在第</w:t>
      </w:r>
      <w:r>
        <w:rPr>
          <w:rFonts w:hint="eastAsia" w:ascii="宋体" w:hAnsi="宋体" w:eastAsia="宋体"/>
          <w:color w:val="auto"/>
          <w:sz w:val="24"/>
          <w:highlight w:val="none"/>
        </w:rPr>
        <w:t>六</w:t>
      </w:r>
      <w:r>
        <w:rPr>
          <w:rFonts w:ascii="宋体" w:hAnsi="宋体" w:eastAsia="宋体"/>
          <w:color w:val="auto"/>
          <w:sz w:val="24"/>
          <w:highlight w:val="none"/>
        </w:rPr>
        <w:t>章“</w:t>
      </w:r>
      <w:r>
        <w:rPr>
          <w:rFonts w:hint="eastAsia" w:ascii="宋体" w:hAnsi="宋体" w:eastAsia="宋体"/>
          <w:color w:val="auto"/>
          <w:sz w:val="24"/>
          <w:highlight w:val="none"/>
        </w:rPr>
        <w:t>响应</w:t>
      </w:r>
      <w:r>
        <w:rPr>
          <w:rFonts w:ascii="宋体" w:hAnsi="宋体" w:eastAsia="宋体"/>
          <w:color w:val="auto"/>
          <w:sz w:val="24"/>
          <w:highlight w:val="none"/>
        </w:rPr>
        <w:t>文件格式”中要求</w:t>
      </w:r>
      <w:r>
        <w:rPr>
          <w:rFonts w:hint="eastAsia" w:ascii="宋体" w:hAnsi="宋体" w:eastAsia="宋体"/>
          <w:color w:val="auto"/>
          <w:sz w:val="24"/>
          <w:highlight w:val="none"/>
        </w:rPr>
        <w:t>加</w:t>
      </w:r>
      <w:r>
        <w:rPr>
          <w:rFonts w:ascii="宋体" w:hAnsi="宋体" w:eastAsia="宋体"/>
          <w:color w:val="auto"/>
          <w:sz w:val="24"/>
          <w:highlight w:val="none"/>
        </w:rPr>
        <w:t>盖</w:t>
      </w:r>
      <w:r>
        <w:rPr>
          <w:rFonts w:hint="eastAsia" w:ascii="宋体" w:hAnsi="宋体" w:eastAsia="宋体"/>
          <w:color w:val="auto"/>
          <w:sz w:val="24"/>
          <w:highlight w:val="none"/>
        </w:rPr>
        <w:t>供应商</w:t>
      </w:r>
      <w:r>
        <w:rPr>
          <w:rFonts w:hint="eastAsia" w:ascii="宋体" w:hAnsi="宋体" w:eastAsia="宋体"/>
          <w:color w:val="auto"/>
          <w:sz w:val="24"/>
          <w:highlight w:val="none"/>
          <w:lang w:val="en-US" w:eastAsia="zh-CN"/>
        </w:rPr>
        <w:t>公章</w:t>
      </w:r>
      <w:r>
        <w:rPr>
          <w:rFonts w:ascii="宋体" w:hAnsi="宋体" w:eastAsia="宋体"/>
          <w:color w:val="auto"/>
          <w:sz w:val="24"/>
          <w:highlight w:val="none"/>
        </w:rPr>
        <w:t>处，</w:t>
      </w:r>
      <w:r>
        <w:rPr>
          <w:rFonts w:hint="eastAsia" w:ascii="宋体" w:hAnsi="宋体" w:eastAsia="宋体"/>
          <w:color w:val="auto"/>
          <w:sz w:val="24"/>
          <w:highlight w:val="none"/>
          <w:lang w:val="en-US" w:eastAsia="zh-CN"/>
        </w:rPr>
        <w:t>加密的电子响应文件</w:t>
      </w:r>
      <w:r>
        <w:rPr>
          <w:rFonts w:ascii="宋体" w:hAnsi="宋体" w:eastAsia="宋体"/>
          <w:color w:val="auto"/>
          <w:sz w:val="24"/>
          <w:highlight w:val="none"/>
        </w:rPr>
        <w:t>应加盖</w:t>
      </w:r>
      <w:r>
        <w:rPr>
          <w:rFonts w:hint="eastAsia" w:ascii="宋体" w:hAnsi="宋体" w:eastAsia="宋体"/>
          <w:color w:val="auto"/>
          <w:sz w:val="24"/>
          <w:highlight w:val="none"/>
        </w:rPr>
        <w:t>供应商</w:t>
      </w:r>
      <w:r>
        <w:rPr>
          <w:rFonts w:ascii="宋体" w:hAnsi="宋体" w:eastAsia="宋体"/>
          <w:color w:val="auto"/>
          <w:sz w:val="24"/>
          <w:highlight w:val="none"/>
        </w:rPr>
        <w:t>电子</w:t>
      </w:r>
      <w:r>
        <w:rPr>
          <w:rFonts w:hint="eastAsia" w:ascii="宋体" w:hAnsi="宋体" w:eastAsia="宋体"/>
          <w:color w:val="auto"/>
          <w:sz w:val="24"/>
          <w:highlight w:val="none"/>
        </w:rPr>
        <w:t>签</w:t>
      </w:r>
      <w:r>
        <w:rPr>
          <w:rFonts w:ascii="宋体" w:hAnsi="宋体" w:eastAsia="宋体"/>
          <w:color w:val="auto"/>
          <w:sz w:val="24"/>
          <w:highlight w:val="none"/>
        </w:rPr>
        <w:t>章</w:t>
      </w:r>
      <w:r>
        <w:rPr>
          <w:rFonts w:hint="eastAsia" w:ascii="宋体" w:hAnsi="宋体" w:eastAsia="宋体"/>
          <w:color w:val="auto"/>
          <w:sz w:val="24"/>
          <w:highlight w:val="none"/>
        </w:rPr>
        <w:t>或公章</w:t>
      </w:r>
      <w:r>
        <w:rPr>
          <w:rFonts w:hint="eastAsia" w:ascii="宋体" w:hAnsi="宋体" w:eastAsia="宋体"/>
          <w:color w:val="auto"/>
          <w:sz w:val="24"/>
          <w:highlight w:val="none"/>
          <w:lang w:eastAsia="zh-CN"/>
        </w:rPr>
        <w:t>；</w:t>
      </w:r>
      <w:r>
        <w:rPr>
          <w:rFonts w:ascii="宋体" w:hAnsi="宋体" w:eastAsia="宋体"/>
          <w:color w:val="auto"/>
          <w:sz w:val="24"/>
          <w:highlight w:val="none"/>
        </w:rPr>
        <w:t>联合体参加磋商的，除联合协议</w:t>
      </w:r>
      <w:r>
        <w:rPr>
          <w:rFonts w:hint="eastAsia" w:ascii="宋体" w:hAnsi="宋体" w:eastAsia="宋体"/>
          <w:color w:val="auto"/>
          <w:sz w:val="24"/>
          <w:highlight w:val="none"/>
        </w:rPr>
        <w:t>及磋商文件规定须联合体各成员单位各自盖章的证明材料</w:t>
      </w:r>
      <w:r>
        <w:rPr>
          <w:rFonts w:ascii="宋体" w:hAnsi="宋体" w:eastAsia="宋体"/>
          <w:color w:val="auto"/>
          <w:sz w:val="24"/>
          <w:highlight w:val="none"/>
        </w:rPr>
        <w:t>外，</w:t>
      </w:r>
      <w:r>
        <w:rPr>
          <w:rFonts w:hint="eastAsia" w:ascii="宋体" w:hAnsi="宋体" w:eastAsia="宋体"/>
          <w:color w:val="auto"/>
          <w:sz w:val="24"/>
          <w:highlight w:val="none"/>
        </w:rPr>
        <w:t>响应</w:t>
      </w:r>
      <w:r>
        <w:rPr>
          <w:rFonts w:ascii="宋体" w:hAnsi="宋体" w:eastAsia="宋体"/>
          <w:color w:val="auto"/>
          <w:sz w:val="24"/>
          <w:highlight w:val="none"/>
        </w:rPr>
        <w:t>文件由联合体牵头人按上述规定加盖联合体牵头人单位电子</w:t>
      </w:r>
      <w:r>
        <w:rPr>
          <w:rFonts w:hint="eastAsia" w:ascii="宋体" w:hAnsi="宋体" w:eastAsia="宋体"/>
          <w:color w:val="auto"/>
          <w:sz w:val="24"/>
          <w:highlight w:val="none"/>
        </w:rPr>
        <w:t>签</w:t>
      </w:r>
      <w:r>
        <w:rPr>
          <w:rFonts w:ascii="宋体" w:hAnsi="宋体" w:eastAsia="宋体"/>
          <w:color w:val="auto"/>
          <w:sz w:val="24"/>
          <w:highlight w:val="none"/>
        </w:rPr>
        <w:t>章</w:t>
      </w:r>
      <w:r>
        <w:rPr>
          <w:rFonts w:hint="eastAsia" w:ascii="宋体" w:hAnsi="宋体" w:eastAsia="宋体"/>
          <w:color w:val="auto"/>
          <w:sz w:val="24"/>
          <w:highlight w:val="none"/>
        </w:rPr>
        <w:t>或公章</w:t>
      </w:r>
      <w:r>
        <w:rPr>
          <w:rFonts w:hint="eastAsia" w:ascii="宋体" w:hAnsi="宋体" w:eastAsia="宋体"/>
          <w:color w:val="auto"/>
          <w:sz w:val="24"/>
          <w:highlight w:val="none"/>
          <w:lang w:val="en-US" w:eastAsia="zh-CN"/>
        </w:rPr>
        <w:t>。</w:t>
      </w:r>
    </w:p>
    <w:p w14:paraId="7E8F9B72">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w:t>
      </w:r>
      <w:r>
        <w:rPr>
          <w:rFonts w:hint="eastAsia" w:ascii="宋体" w:hAnsi="宋体" w:eastAsia="宋体"/>
          <w:color w:val="auto"/>
          <w:sz w:val="24"/>
          <w:highlight w:val="none"/>
          <w:lang w:val="en-US" w:eastAsia="zh-CN"/>
        </w:rPr>
        <w:t>4</w:t>
      </w:r>
      <w:r>
        <w:rPr>
          <w:rFonts w:ascii="宋体" w:hAnsi="宋体" w:eastAsia="宋体"/>
          <w:color w:val="auto"/>
          <w:sz w:val="24"/>
          <w:highlight w:val="none"/>
        </w:rPr>
        <w:t>）</w:t>
      </w:r>
      <w:r>
        <w:rPr>
          <w:rFonts w:hint="eastAsia" w:ascii="宋体" w:hAnsi="宋体" w:eastAsia="宋体"/>
          <w:color w:val="auto"/>
          <w:sz w:val="24"/>
          <w:highlight w:val="none"/>
        </w:rPr>
        <w:t>响应</w:t>
      </w:r>
      <w:r>
        <w:rPr>
          <w:rFonts w:ascii="宋体" w:hAnsi="宋体" w:eastAsia="宋体"/>
          <w:color w:val="auto"/>
          <w:sz w:val="24"/>
          <w:highlight w:val="none"/>
        </w:rPr>
        <w:t>文件制作完成后，采用数字证书加密的，加密时</w:t>
      </w:r>
      <w:r>
        <w:rPr>
          <w:rFonts w:hint="eastAsia" w:ascii="宋体" w:hAnsi="宋体" w:eastAsia="宋体"/>
          <w:color w:val="auto"/>
          <w:sz w:val="24"/>
          <w:highlight w:val="none"/>
        </w:rPr>
        <w:t>响应</w:t>
      </w:r>
      <w:r>
        <w:rPr>
          <w:rFonts w:ascii="宋体" w:hAnsi="宋体" w:eastAsia="宋体"/>
          <w:color w:val="auto"/>
          <w:sz w:val="24"/>
          <w:highlight w:val="none"/>
        </w:rPr>
        <w:t>文件的所有内容均只能使用同一把数字证书进行加密，否则引起的解密失败责任由</w:t>
      </w:r>
      <w:r>
        <w:rPr>
          <w:rFonts w:hint="eastAsia" w:ascii="宋体" w:hAnsi="宋体" w:eastAsia="宋体"/>
          <w:color w:val="auto"/>
          <w:sz w:val="24"/>
          <w:highlight w:val="none"/>
        </w:rPr>
        <w:t>供应商</w:t>
      </w:r>
      <w:r>
        <w:rPr>
          <w:rFonts w:ascii="宋体" w:hAnsi="宋体" w:eastAsia="宋体"/>
          <w:color w:val="auto"/>
          <w:sz w:val="24"/>
          <w:highlight w:val="none"/>
        </w:rPr>
        <w:t>自行承担。</w:t>
      </w:r>
    </w:p>
    <w:p w14:paraId="48E1EF49">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15.2因</w:t>
      </w:r>
      <w:r>
        <w:rPr>
          <w:rFonts w:hint="eastAsia" w:ascii="宋体" w:hAnsi="宋体" w:eastAsia="宋体"/>
          <w:color w:val="auto"/>
          <w:sz w:val="24"/>
          <w:highlight w:val="none"/>
        </w:rPr>
        <w:t>供应商</w:t>
      </w:r>
      <w:r>
        <w:rPr>
          <w:rFonts w:ascii="宋体" w:hAnsi="宋体" w:eastAsia="宋体"/>
          <w:color w:val="auto"/>
          <w:sz w:val="24"/>
          <w:highlight w:val="none"/>
        </w:rPr>
        <w:t>自身原因</w:t>
      </w:r>
      <w:r>
        <w:rPr>
          <w:rFonts w:hint="eastAsia" w:ascii="宋体" w:hAnsi="宋体" w:eastAsia="宋体"/>
          <w:color w:val="auto"/>
          <w:sz w:val="24"/>
          <w:highlight w:val="none"/>
          <w:lang w:eastAsia="zh-CN"/>
        </w:rPr>
        <w:t>导致</w:t>
      </w:r>
      <w:r>
        <w:rPr>
          <w:rFonts w:hint="eastAsia" w:ascii="宋体" w:hAnsi="宋体" w:eastAsia="宋体"/>
          <w:color w:val="auto"/>
          <w:sz w:val="24"/>
          <w:highlight w:val="none"/>
          <w:lang w:val="en-US" w:eastAsia="zh-CN"/>
        </w:rPr>
        <w:t>加密的电子</w:t>
      </w:r>
      <w:r>
        <w:rPr>
          <w:rFonts w:hint="eastAsia" w:ascii="宋体" w:hAnsi="宋体" w:eastAsia="宋体"/>
          <w:color w:val="auto"/>
          <w:sz w:val="24"/>
          <w:highlight w:val="none"/>
        </w:rPr>
        <w:t>响应</w:t>
      </w:r>
      <w:r>
        <w:rPr>
          <w:rFonts w:ascii="宋体" w:hAnsi="宋体" w:eastAsia="宋体"/>
          <w:color w:val="auto"/>
          <w:sz w:val="24"/>
          <w:highlight w:val="none"/>
        </w:rPr>
        <w:t>文件</w:t>
      </w:r>
      <w:r>
        <w:rPr>
          <w:rFonts w:hint="eastAsia" w:ascii="宋体" w:hAnsi="宋体" w:eastAsia="宋体"/>
          <w:color w:val="auto"/>
          <w:sz w:val="24"/>
          <w:highlight w:val="none"/>
          <w:lang w:eastAsia="zh-CN"/>
        </w:rPr>
        <w:t>解密失败或</w:t>
      </w:r>
      <w:r>
        <w:rPr>
          <w:rFonts w:ascii="宋体" w:hAnsi="宋体" w:eastAsia="宋体"/>
          <w:color w:val="auto"/>
          <w:sz w:val="24"/>
          <w:highlight w:val="none"/>
        </w:rPr>
        <w:t>无法导入</w:t>
      </w:r>
      <w:r>
        <w:rPr>
          <w:rFonts w:hint="eastAsia" w:ascii="宋体" w:hAnsi="宋体" w:eastAsia="宋体"/>
          <w:color w:val="auto"/>
          <w:sz w:val="24"/>
          <w:highlight w:val="none"/>
        </w:rPr>
        <w:t>的</w:t>
      </w:r>
      <w:r>
        <w:rPr>
          <w:rFonts w:ascii="宋体" w:hAnsi="宋体" w:eastAsia="宋体"/>
          <w:color w:val="auto"/>
          <w:sz w:val="24"/>
          <w:highlight w:val="none"/>
        </w:rPr>
        <w:t>，</w:t>
      </w:r>
      <w:r>
        <w:rPr>
          <w:rFonts w:hint="eastAsia" w:ascii="宋体" w:hAnsi="宋体" w:eastAsia="宋体"/>
          <w:color w:val="auto"/>
          <w:sz w:val="24"/>
          <w:highlight w:val="none"/>
          <w:lang w:val="en-US" w:eastAsia="zh-CN"/>
        </w:rPr>
        <w:t>视为</w:t>
      </w:r>
      <w:r>
        <w:rPr>
          <w:rFonts w:hint="eastAsia" w:ascii="宋体" w:hAnsi="宋体" w:eastAsia="宋体"/>
          <w:color w:val="auto"/>
          <w:sz w:val="24"/>
          <w:highlight w:val="none"/>
        </w:rPr>
        <w:t>供应商</w:t>
      </w:r>
      <w:r>
        <w:rPr>
          <w:rFonts w:hint="eastAsia" w:ascii="宋体" w:hAnsi="宋体" w:eastAsia="宋体"/>
          <w:color w:val="auto"/>
          <w:sz w:val="24"/>
          <w:highlight w:val="none"/>
          <w:lang w:eastAsia="zh-CN"/>
        </w:rPr>
        <w:t>撤销响应文件，供应商自行承担所有后果</w:t>
      </w:r>
      <w:r>
        <w:rPr>
          <w:rFonts w:ascii="宋体" w:hAnsi="宋体" w:eastAsia="宋体"/>
          <w:color w:val="auto"/>
          <w:sz w:val="24"/>
          <w:highlight w:val="none"/>
        </w:rPr>
        <w:t>。</w:t>
      </w:r>
    </w:p>
    <w:p w14:paraId="199F4176">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w:t>
      </w:r>
      <w:r>
        <w:rPr>
          <w:rFonts w:ascii="宋体" w:hAnsi="宋体" w:eastAsia="宋体"/>
          <w:color w:val="auto"/>
          <w:sz w:val="24"/>
          <w:highlight w:val="none"/>
        </w:rPr>
        <w:t>5.3</w:t>
      </w:r>
      <w:r>
        <w:rPr>
          <w:rFonts w:hint="eastAsia" w:ascii="宋体" w:hAnsi="宋体" w:eastAsia="宋体"/>
          <w:color w:val="auto"/>
          <w:sz w:val="24"/>
          <w:highlight w:val="none"/>
        </w:rPr>
        <w:t>磋商现场提交的其他材料要求详见</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w:t>
      </w:r>
    </w:p>
    <w:p w14:paraId="63CFCE72">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6.</w:t>
      </w:r>
      <w:r>
        <w:rPr>
          <w:rFonts w:hint="eastAsia" w:ascii="宋体" w:hAnsi="宋体" w:eastAsia="宋体"/>
          <w:b/>
          <w:color w:val="auto"/>
          <w:sz w:val="24"/>
          <w:highlight w:val="none"/>
        </w:rPr>
        <w:t>响应文件提交截止时间</w:t>
      </w:r>
    </w:p>
    <w:p w14:paraId="5210EDEB">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16.1供应商应在</w:t>
      </w:r>
      <w:r>
        <w:rPr>
          <w:rFonts w:ascii="宋体" w:hAnsi="宋体" w:eastAsia="宋体"/>
          <w:color w:val="auto"/>
          <w:sz w:val="24"/>
          <w:highlight w:val="none"/>
          <w:u w:val="single"/>
        </w:rPr>
        <w:t>供应商须知前附表</w:t>
      </w:r>
      <w:r>
        <w:rPr>
          <w:rFonts w:ascii="宋体" w:hAnsi="宋体" w:eastAsia="宋体"/>
          <w:color w:val="auto"/>
          <w:sz w:val="24"/>
          <w:highlight w:val="none"/>
        </w:rPr>
        <w:t>中规定的</w:t>
      </w:r>
      <w:r>
        <w:rPr>
          <w:rFonts w:hint="eastAsia" w:ascii="宋体" w:hAnsi="宋体" w:eastAsia="宋体"/>
          <w:color w:val="auto"/>
          <w:sz w:val="24"/>
          <w:highlight w:val="none"/>
        </w:rPr>
        <w:t>响应文件提交</w:t>
      </w:r>
      <w:r>
        <w:rPr>
          <w:rFonts w:ascii="宋体" w:hAnsi="宋体" w:eastAsia="宋体"/>
          <w:color w:val="auto"/>
          <w:sz w:val="24"/>
          <w:highlight w:val="none"/>
        </w:rPr>
        <w:t>截止时间前提交响应文件。</w:t>
      </w:r>
    </w:p>
    <w:p w14:paraId="761F5C48">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16.</w:t>
      </w:r>
      <w:r>
        <w:rPr>
          <w:rFonts w:hint="eastAsia" w:ascii="宋体" w:hAnsi="宋体" w:eastAsia="宋体"/>
          <w:color w:val="auto"/>
          <w:sz w:val="24"/>
          <w:highlight w:val="none"/>
          <w:lang w:val="en-US" w:eastAsia="zh-CN"/>
        </w:rPr>
        <w:t>2</w:t>
      </w:r>
      <w:r>
        <w:rPr>
          <w:rFonts w:ascii="宋体" w:hAnsi="宋体" w:eastAsia="宋体"/>
          <w:color w:val="auto"/>
          <w:sz w:val="24"/>
          <w:highlight w:val="none"/>
        </w:rPr>
        <w:t>采购人和采购代理机构延迟</w:t>
      </w:r>
      <w:r>
        <w:rPr>
          <w:rFonts w:hint="eastAsia" w:ascii="宋体" w:hAnsi="宋体" w:eastAsia="宋体"/>
          <w:color w:val="auto"/>
          <w:sz w:val="24"/>
          <w:highlight w:val="none"/>
        </w:rPr>
        <w:t>响应文件提交截止时间的</w:t>
      </w:r>
      <w:r>
        <w:rPr>
          <w:rFonts w:hint="eastAsia" w:ascii="宋体" w:hAnsi="宋体" w:eastAsia="宋体"/>
          <w:color w:val="auto"/>
          <w:sz w:val="24"/>
          <w:highlight w:val="none"/>
          <w:lang w:eastAsia="zh-CN"/>
        </w:rPr>
        <w:t>，</w:t>
      </w:r>
      <w:r>
        <w:rPr>
          <w:rFonts w:ascii="宋体" w:hAnsi="宋体" w:eastAsia="宋体"/>
          <w:color w:val="auto"/>
          <w:sz w:val="24"/>
          <w:highlight w:val="none"/>
        </w:rPr>
        <w:t>采购人、采购代理机构和供应商受</w:t>
      </w:r>
      <w:r>
        <w:rPr>
          <w:rFonts w:hint="eastAsia" w:ascii="宋体" w:hAnsi="宋体" w:eastAsia="宋体"/>
          <w:color w:val="auto"/>
          <w:sz w:val="24"/>
          <w:highlight w:val="none"/>
        </w:rPr>
        <w:t>响应文件提交截止时间</w:t>
      </w:r>
      <w:r>
        <w:rPr>
          <w:rFonts w:ascii="宋体" w:hAnsi="宋体" w:eastAsia="宋体"/>
          <w:color w:val="auto"/>
          <w:sz w:val="24"/>
          <w:highlight w:val="none"/>
        </w:rPr>
        <w:t>制约的所有权利和义务均应延长至新的截止时间。</w:t>
      </w:r>
    </w:p>
    <w:p w14:paraId="71D106E1">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7.</w:t>
      </w:r>
      <w:r>
        <w:rPr>
          <w:rFonts w:hint="eastAsia" w:ascii="宋体" w:hAnsi="宋体" w:eastAsia="宋体"/>
          <w:b/>
          <w:color w:val="auto"/>
          <w:sz w:val="24"/>
          <w:highlight w:val="none"/>
        </w:rPr>
        <w:t>响应文件的提交、修改与撤回</w:t>
      </w:r>
    </w:p>
    <w:p w14:paraId="0F609C66">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17</w:t>
      </w:r>
      <w:r>
        <w:rPr>
          <w:rFonts w:hint="eastAsia" w:ascii="宋体" w:hAnsi="宋体" w:eastAsia="宋体"/>
          <w:color w:val="auto"/>
          <w:sz w:val="24"/>
          <w:highlight w:val="none"/>
        </w:rPr>
        <w:t>.1供应商应当在</w:t>
      </w:r>
      <w:r>
        <w:rPr>
          <w:rFonts w:hint="eastAsia" w:ascii="宋体" w:hAnsi="宋体" w:eastAsia="宋体"/>
          <w:color w:val="auto"/>
          <w:sz w:val="24"/>
          <w:highlight w:val="none"/>
          <w:u w:val="none"/>
          <w:lang w:val="en-US" w:eastAsia="zh-CN"/>
        </w:rPr>
        <w:t>供应商须知前附表中</w:t>
      </w:r>
      <w:r>
        <w:rPr>
          <w:rFonts w:hint="eastAsia" w:ascii="宋体" w:hAnsi="宋体" w:eastAsia="宋体"/>
          <w:color w:val="auto"/>
          <w:sz w:val="24"/>
          <w:highlight w:val="none"/>
        </w:rPr>
        <w:t>规定的响应文件提交截止时间前</w:t>
      </w:r>
      <w:r>
        <w:rPr>
          <w:rFonts w:ascii="宋体" w:hAnsi="宋体" w:eastAsia="宋体"/>
          <w:color w:val="auto"/>
          <w:sz w:val="24"/>
          <w:highlight w:val="none"/>
        </w:rPr>
        <w:t>，将加密的</w:t>
      </w:r>
      <w:r>
        <w:rPr>
          <w:rFonts w:hint="eastAsia" w:ascii="宋体" w:hAnsi="宋体" w:eastAsia="宋体"/>
          <w:color w:val="auto"/>
          <w:sz w:val="24"/>
          <w:highlight w:val="none"/>
          <w:lang w:val="en-US" w:eastAsia="zh-CN"/>
        </w:rPr>
        <w:t>电子</w:t>
      </w:r>
      <w:r>
        <w:rPr>
          <w:rFonts w:hint="eastAsia" w:ascii="宋体" w:hAnsi="宋体" w:eastAsia="宋体"/>
          <w:color w:val="auto"/>
          <w:sz w:val="24"/>
          <w:highlight w:val="none"/>
        </w:rPr>
        <w:t>响应</w:t>
      </w:r>
      <w:r>
        <w:rPr>
          <w:rFonts w:ascii="宋体" w:hAnsi="宋体" w:eastAsia="宋体"/>
          <w:color w:val="auto"/>
          <w:sz w:val="24"/>
          <w:highlight w:val="none"/>
        </w:rPr>
        <w:t>文件</w:t>
      </w:r>
      <w:r>
        <w:rPr>
          <w:rFonts w:hint="eastAsia" w:ascii="宋体" w:hAnsi="宋体" w:eastAsia="宋体"/>
          <w:color w:val="auto"/>
          <w:sz w:val="24"/>
          <w:highlight w:val="none"/>
        </w:rPr>
        <w:t>在</w:t>
      </w:r>
      <w:r>
        <w:rPr>
          <w:rFonts w:hint="eastAsia" w:ascii="宋体" w:hAnsi="宋体" w:eastAsia="宋体" w:cs="宋体"/>
          <w:color w:val="auto"/>
          <w:sz w:val="24"/>
          <w:szCs w:val="24"/>
          <w:highlight w:val="none"/>
          <w:lang w:eastAsia="zh-CN"/>
        </w:rPr>
        <w:t>安招采平台</w:t>
      </w:r>
      <w:r>
        <w:rPr>
          <w:rFonts w:ascii="宋体" w:hAnsi="宋体" w:eastAsia="宋体"/>
          <w:color w:val="auto"/>
          <w:sz w:val="24"/>
          <w:highlight w:val="none"/>
        </w:rPr>
        <w:t>上传</w:t>
      </w: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同时按供应商须知前附表的要求提供未加密的电子</w:t>
      </w:r>
      <w:r>
        <w:rPr>
          <w:rFonts w:hint="eastAsia" w:ascii="宋体" w:hAnsi="宋体" w:eastAsia="宋体"/>
          <w:color w:val="auto"/>
          <w:sz w:val="24"/>
          <w:highlight w:val="none"/>
        </w:rPr>
        <w:t>响应文件。</w:t>
      </w:r>
    </w:p>
    <w:p w14:paraId="4DB08A1F">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17</w:t>
      </w:r>
      <w:r>
        <w:rPr>
          <w:rFonts w:hint="eastAsia" w:ascii="宋体" w:hAnsi="宋体" w:eastAsia="宋体"/>
          <w:color w:val="auto"/>
          <w:sz w:val="24"/>
          <w:highlight w:val="none"/>
        </w:rPr>
        <w:t>.2供应商应当在响应文件提交截止时间前完成响应文件的传输提交，并可以补充、修改或者撤回响应文件。响应文件提交截止时间前未完成响应文件传输的，视为撤回响应文件。未按规定加密或响应文件提交截止时间后送达的响应文件，</w:t>
      </w:r>
      <w:r>
        <w:rPr>
          <w:rFonts w:hint="eastAsia" w:ascii="宋体" w:hAnsi="宋体" w:eastAsia="宋体"/>
          <w:color w:val="auto"/>
          <w:sz w:val="24"/>
          <w:highlight w:val="none"/>
          <w:lang w:val="en-US" w:eastAsia="zh-CN"/>
        </w:rPr>
        <w:t>代理机构（</w:t>
      </w:r>
      <w:r>
        <w:rPr>
          <w:rFonts w:hint="eastAsia" w:ascii="宋体" w:hAnsi="宋体" w:eastAsia="宋体"/>
          <w:color w:val="auto"/>
          <w:sz w:val="24"/>
          <w:highlight w:val="none"/>
        </w:rPr>
        <w:t>电子交易系统</w:t>
      </w:r>
      <w:r>
        <w:rPr>
          <w:rFonts w:hint="eastAsia" w:ascii="宋体" w:hAnsi="宋体" w:eastAsia="宋体"/>
          <w:color w:val="auto"/>
          <w:sz w:val="24"/>
          <w:highlight w:val="none"/>
          <w:lang w:val="en-US" w:eastAsia="zh-CN"/>
        </w:rPr>
        <w:t>）</w:t>
      </w:r>
      <w:r>
        <w:rPr>
          <w:rFonts w:hint="eastAsia" w:ascii="宋体" w:hAnsi="宋体" w:eastAsia="宋体"/>
          <w:color w:val="auto"/>
          <w:sz w:val="24"/>
          <w:highlight w:val="none"/>
        </w:rPr>
        <w:t>应当拒收。</w:t>
      </w:r>
    </w:p>
    <w:p w14:paraId="6B8CFA7B">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17</w:t>
      </w:r>
      <w:r>
        <w:rPr>
          <w:rFonts w:hint="eastAsia" w:ascii="宋体" w:hAnsi="宋体" w:eastAsia="宋体"/>
          <w:color w:val="auto"/>
          <w:sz w:val="24"/>
          <w:highlight w:val="none"/>
        </w:rPr>
        <w:t>.</w:t>
      </w:r>
      <w:r>
        <w:rPr>
          <w:rFonts w:ascii="宋体" w:hAnsi="宋体" w:eastAsia="宋体"/>
          <w:color w:val="auto"/>
          <w:sz w:val="24"/>
          <w:highlight w:val="none"/>
        </w:rPr>
        <w:t>3</w:t>
      </w:r>
      <w:r>
        <w:rPr>
          <w:rFonts w:hint="eastAsia" w:ascii="宋体" w:hAnsi="宋体" w:eastAsia="宋体"/>
          <w:color w:val="auto"/>
          <w:sz w:val="24"/>
          <w:highlight w:val="none"/>
        </w:rPr>
        <w:t>供应商应在</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规定的解密时间前（以</w:t>
      </w:r>
      <w:r>
        <w:rPr>
          <w:rFonts w:hint="eastAsia" w:ascii="宋体" w:hAnsi="宋体" w:eastAsia="宋体" w:cs="宋体"/>
          <w:color w:val="auto"/>
          <w:sz w:val="24"/>
          <w:szCs w:val="24"/>
          <w:highlight w:val="none"/>
          <w:lang w:eastAsia="zh-CN"/>
        </w:rPr>
        <w:t>安招采平台</w:t>
      </w:r>
      <w:r>
        <w:rPr>
          <w:rFonts w:hint="eastAsia" w:ascii="宋体" w:hAnsi="宋体" w:eastAsia="宋体"/>
          <w:color w:val="auto"/>
          <w:sz w:val="24"/>
          <w:highlight w:val="none"/>
        </w:rPr>
        <w:t>解密倒计时为准）对本单位的响应文件进行解密，采购代理机构工作人员在监督下解密所有响应文件。</w:t>
      </w:r>
    </w:p>
    <w:p w14:paraId="4104D778">
      <w:pPr>
        <w:keepNext w:val="0"/>
        <w:keepLines w:val="0"/>
        <w:pageBreakBefore w:val="0"/>
        <w:kinsoku/>
        <w:wordWrap w:val="0"/>
        <w:overflowPunct/>
        <w:topLinePunct w:val="0"/>
        <w:bidi w:val="0"/>
        <w:spacing w:line="440" w:lineRule="exact"/>
        <w:ind w:firstLine="437"/>
        <w:jc w:val="left"/>
        <w:textAlignment w:val="auto"/>
        <w:outlineLvl w:val="3"/>
        <w:rPr>
          <w:rFonts w:hint="eastAsia" w:ascii="宋体" w:hAnsi="宋体" w:eastAsia="宋体"/>
          <w:color w:val="auto"/>
          <w:sz w:val="24"/>
          <w:highlight w:val="none"/>
        </w:rPr>
      </w:pPr>
      <w:r>
        <w:rPr>
          <w:rFonts w:hint="eastAsia" w:ascii="宋体" w:hAnsi="宋体" w:eastAsia="宋体"/>
          <w:color w:val="auto"/>
          <w:sz w:val="24"/>
          <w:highlight w:val="none"/>
        </w:rPr>
        <w:t>17.4在响应文件提交截止时间之后，供应商不得对其响应文件做任何修改。但属于磋商小组在评审中发现的计算错误并进行核实的修改、按照磋商文件的变动情况和磋商小组的要求重新提交响应文件的，不在此列。</w:t>
      </w:r>
    </w:p>
    <w:p w14:paraId="6D0F39EA">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8.</w:t>
      </w:r>
      <w:r>
        <w:rPr>
          <w:rFonts w:hint="eastAsia" w:ascii="宋体" w:hAnsi="宋体" w:eastAsia="宋体"/>
          <w:b/>
          <w:color w:val="auto"/>
          <w:sz w:val="24"/>
          <w:highlight w:val="none"/>
        </w:rPr>
        <w:t>磋商小组</w:t>
      </w:r>
    </w:p>
    <w:p w14:paraId="2C307249">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18</w:t>
      </w:r>
      <w:r>
        <w:rPr>
          <w:rFonts w:ascii="宋体" w:hAnsi="宋体" w:eastAsia="宋体"/>
          <w:color w:val="auto"/>
          <w:sz w:val="24"/>
          <w:highlight w:val="none"/>
        </w:rPr>
        <w:t>.1本项目将依法组建磋商小组，磋商小组成员由3人以上</w:t>
      </w:r>
      <w:r>
        <w:rPr>
          <w:rFonts w:hint="eastAsia" w:ascii="宋体" w:hAnsi="宋体" w:eastAsia="宋体"/>
          <w:color w:val="auto"/>
          <w:sz w:val="24"/>
          <w:highlight w:val="none"/>
        </w:rPr>
        <w:t>（含）</w:t>
      </w:r>
      <w:r>
        <w:rPr>
          <w:rFonts w:ascii="宋体" w:hAnsi="宋体" w:eastAsia="宋体"/>
          <w:color w:val="auto"/>
          <w:sz w:val="24"/>
          <w:highlight w:val="none"/>
        </w:rPr>
        <w:t>单数组成，磋商小组及其成员应当依照有关规定履行相关职责和义务。</w:t>
      </w:r>
    </w:p>
    <w:p w14:paraId="324B9E36">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18</w:t>
      </w:r>
      <w:r>
        <w:rPr>
          <w:rFonts w:ascii="宋体" w:hAnsi="宋体" w:eastAsia="宋体"/>
          <w:color w:val="auto"/>
          <w:sz w:val="24"/>
          <w:highlight w:val="none"/>
        </w:rPr>
        <w:t>.2磋商小组依法对响应文件进行评审，并根据磋商文件规定的程序、评定成交的标准等事项与实质性响应磋商文件要求的供应商进行磋商。</w:t>
      </w:r>
    </w:p>
    <w:p w14:paraId="3D0DB80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18</w:t>
      </w:r>
      <w:r>
        <w:rPr>
          <w:rFonts w:ascii="宋体" w:hAnsi="宋体" w:eastAsia="宋体"/>
          <w:color w:val="auto"/>
          <w:sz w:val="24"/>
          <w:highlight w:val="none"/>
        </w:rPr>
        <w:t>.3磋商小组应当从质量和服务均能满足磋商文件实质性响应要求的供应商中，按照评审</w:t>
      </w:r>
      <w:r>
        <w:rPr>
          <w:rFonts w:hint="eastAsia" w:ascii="宋体" w:hAnsi="宋体" w:eastAsia="宋体"/>
          <w:color w:val="auto"/>
          <w:sz w:val="24"/>
          <w:highlight w:val="none"/>
        </w:rPr>
        <w:t>方</w:t>
      </w:r>
      <w:r>
        <w:rPr>
          <w:rFonts w:ascii="宋体" w:hAnsi="宋体" w:eastAsia="宋体"/>
          <w:color w:val="auto"/>
          <w:sz w:val="24"/>
          <w:highlight w:val="none"/>
        </w:rPr>
        <w:t>法</w:t>
      </w:r>
      <w:r>
        <w:rPr>
          <w:rFonts w:hint="eastAsia" w:ascii="宋体" w:hAnsi="宋体" w:eastAsia="宋体"/>
          <w:color w:val="auto"/>
          <w:sz w:val="24"/>
          <w:highlight w:val="none"/>
        </w:rPr>
        <w:t>和标准推荐</w:t>
      </w:r>
      <w:r>
        <w:rPr>
          <w:rFonts w:ascii="宋体" w:hAnsi="宋体" w:eastAsia="宋体"/>
          <w:color w:val="auto"/>
          <w:sz w:val="24"/>
          <w:highlight w:val="none"/>
        </w:rPr>
        <w:t>成交候选供应商，并编写</w:t>
      </w:r>
      <w:r>
        <w:rPr>
          <w:rFonts w:hint="eastAsia" w:ascii="宋体" w:hAnsi="宋体" w:eastAsia="宋体"/>
          <w:color w:val="auto"/>
          <w:sz w:val="24"/>
          <w:highlight w:val="none"/>
        </w:rPr>
        <w:t>评审</w:t>
      </w:r>
      <w:r>
        <w:rPr>
          <w:rFonts w:ascii="宋体" w:hAnsi="宋体" w:eastAsia="宋体"/>
          <w:color w:val="auto"/>
          <w:sz w:val="24"/>
          <w:highlight w:val="none"/>
        </w:rPr>
        <w:t>报告。</w:t>
      </w:r>
    </w:p>
    <w:p w14:paraId="4AF502EF">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ascii="宋体" w:hAnsi="宋体" w:eastAsia="宋体"/>
          <w:b/>
          <w:color w:val="auto"/>
          <w:sz w:val="24"/>
          <w:highlight w:val="none"/>
        </w:rPr>
        <w:t>19.响应文件的评审与磋商</w:t>
      </w:r>
    </w:p>
    <w:p w14:paraId="1C25487C">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19</w:t>
      </w:r>
      <w:r>
        <w:rPr>
          <w:rFonts w:ascii="宋体" w:hAnsi="宋体" w:eastAsia="宋体"/>
          <w:color w:val="auto"/>
          <w:sz w:val="24"/>
          <w:highlight w:val="none"/>
        </w:rPr>
        <w:t>.</w:t>
      </w:r>
      <w:r>
        <w:rPr>
          <w:rFonts w:hint="eastAsia" w:ascii="宋体" w:hAnsi="宋体" w:eastAsia="宋体"/>
          <w:color w:val="auto"/>
          <w:sz w:val="24"/>
          <w:highlight w:val="none"/>
        </w:rPr>
        <w:t>1采购人和采购代理机构将在</w:t>
      </w:r>
      <w:r>
        <w:rPr>
          <w:rFonts w:ascii="宋体" w:hAnsi="宋体" w:eastAsia="宋体"/>
          <w:color w:val="auto"/>
          <w:sz w:val="24"/>
          <w:highlight w:val="none"/>
          <w:u w:val="single"/>
        </w:rPr>
        <w:t>供应商须知前附表</w:t>
      </w:r>
      <w:r>
        <w:rPr>
          <w:rFonts w:hint="eastAsia" w:ascii="宋体" w:hAnsi="宋体" w:eastAsia="宋体"/>
          <w:color w:val="auto"/>
          <w:sz w:val="24"/>
          <w:highlight w:val="none"/>
        </w:rPr>
        <w:t>规定的时间和地点组织磋商。</w:t>
      </w:r>
    </w:p>
    <w:p w14:paraId="4861D8DA">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19.2磋商</w:t>
      </w:r>
      <w:r>
        <w:rPr>
          <w:rFonts w:hint="eastAsia" w:ascii="宋体" w:hAnsi="宋体" w:eastAsia="宋体"/>
          <w:color w:val="auto"/>
          <w:sz w:val="24"/>
          <w:highlight w:val="none"/>
          <w:lang w:val="en-US" w:eastAsia="zh-CN"/>
        </w:rPr>
        <w:t>采用</w:t>
      </w:r>
      <w:r>
        <w:rPr>
          <w:rFonts w:ascii="宋体" w:hAnsi="宋体" w:eastAsia="宋体"/>
          <w:color w:val="auto"/>
          <w:sz w:val="24"/>
          <w:highlight w:val="none"/>
          <w:u w:val="single"/>
        </w:rPr>
        <w:t>供应商须知前附表</w:t>
      </w:r>
      <w:r>
        <w:rPr>
          <w:rFonts w:hint="eastAsia" w:ascii="宋体" w:hAnsi="宋体" w:eastAsia="宋体"/>
          <w:color w:val="auto"/>
          <w:sz w:val="24"/>
          <w:highlight w:val="none"/>
        </w:rPr>
        <w:t>规定的</w:t>
      </w:r>
      <w:r>
        <w:rPr>
          <w:rFonts w:hint="eastAsia" w:ascii="宋体" w:hAnsi="宋体" w:eastAsia="宋体"/>
          <w:color w:val="auto"/>
          <w:sz w:val="24"/>
          <w:highlight w:val="none"/>
          <w:lang w:val="en-US" w:eastAsia="zh-CN"/>
        </w:rPr>
        <w:t>方法</w:t>
      </w:r>
      <w:r>
        <w:rPr>
          <w:rFonts w:hint="eastAsia" w:ascii="宋体" w:hAnsi="宋体" w:eastAsia="宋体"/>
          <w:color w:val="auto"/>
          <w:sz w:val="24"/>
          <w:highlight w:val="none"/>
        </w:rPr>
        <w:t>评审。</w:t>
      </w:r>
    </w:p>
    <w:p w14:paraId="50C639D9">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综合评分法，是指响应文件满足磋商文件全部实质性要求且按评审因素的量化指标评审得分最高的供应商为成交候选供应商的评审方法。</w:t>
      </w:r>
    </w:p>
    <w:p w14:paraId="54D2A985">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19.3磋商小组将按照磋商文件规定的</w:t>
      </w:r>
      <w:r>
        <w:rPr>
          <w:rFonts w:ascii="宋体" w:hAnsi="宋体" w:eastAsia="宋体"/>
          <w:color w:val="auto"/>
          <w:sz w:val="24"/>
          <w:highlight w:val="none"/>
        </w:rPr>
        <w:t>评审</w:t>
      </w:r>
      <w:r>
        <w:rPr>
          <w:rFonts w:hint="eastAsia" w:ascii="宋体" w:hAnsi="宋体" w:eastAsia="宋体"/>
          <w:color w:val="auto"/>
          <w:sz w:val="24"/>
          <w:highlight w:val="none"/>
        </w:rPr>
        <w:t>方</w:t>
      </w:r>
      <w:r>
        <w:rPr>
          <w:rFonts w:ascii="宋体" w:hAnsi="宋体" w:eastAsia="宋体"/>
          <w:color w:val="auto"/>
          <w:sz w:val="24"/>
          <w:highlight w:val="none"/>
        </w:rPr>
        <w:t>法</w:t>
      </w:r>
      <w:r>
        <w:rPr>
          <w:rFonts w:hint="eastAsia" w:ascii="宋体" w:hAnsi="宋体" w:eastAsia="宋体"/>
          <w:color w:val="auto"/>
          <w:sz w:val="24"/>
          <w:highlight w:val="none"/>
        </w:rPr>
        <w:t>和标准对供应商独立进行评审。评审程序如下：</w:t>
      </w:r>
    </w:p>
    <w:p w14:paraId="7B283652">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19.3.1</w:t>
      </w:r>
      <w:r>
        <w:rPr>
          <w:rFonts w:hint="eastAsia" w:ascii="宋体" w:hAnsi="宋体" w:eastAsia="宋体"/>
          <w:b/>
          <w:color w:val="auto"/>
          <w:sz w:val="24"/>
          <w:highlight w:val="none"/>
        </w:rPr>
        <w:t>初审</w:t>
      </w:r>
      <w:r>
        <w:rPr>
          <w:rFonts w:hint="eastAsia" w:ascii="宋体" w:hAnsi="宋体" w:eastAsia="宋体"/>
          <w:color w:val="auto"/>
          <w:sz w:val="24"/>
          <w:highlight w:val="none"/>
        </w:rPr>
        <w:t>。磋商小组对供应商必须满足和实质性响应的内容进行评审，供应商未实质性响应磋商文件要求导致响应无效的，磋商小组将以书面询标的方式告知有关供应商。</w:t>
      </w:r>
    </w:p>
    <w:p w14:paraId="6CB0E6A5">
      <w:pPr>
        <w:keepNext w:val="0"/>
        <w:keepLines w:val="0"/>
        <w:pageBreakBefore w:val="0"/>
        <w:kinsoku/>
        <w:wordWrap w:val="0"/>
        <w:overflowPunct/>
        <w:topLinePunct w:val="0"/>
        <w:bidi w:val="0"/>
        <w:spacing w:line="440" w:lineRule="exact"/>
        <w:ind w:firstLine="470" w:firstLineChars="196"/>
        <w:jc w:val="left"/>
        <w:textAlignment w:val="auto"/>
        <w:rPr>
          <w:rFonts w:ascii="宋体" w:hAnsi="宋体" w:eastAsia="宋体"/>
          <w:color w:val="auto"/>
          <w:sz w:val="24"/>
          <w:highlight w:val="none"/>
        </w:rPr>
      </w:pPr>
      <w:r>
        <w:rPr>
          <w:rFonts w:hint="eastAsia" w:ascii="宋体" w:hAnsi="宋体" w:eastAsia="宋体"/>
          <w:color w:val="auto"/>
          <w:sz w:val="24"/>
          <w:highlight w:val="none"/>
        </w:rPr>
        <w:t>供应商存在不良信用记录的，其响应文件将被认定为</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14:paraId="5BE78219">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szCs w:val="18"/>
          <w:highlight w:val="none"/>
        </w:rPr>
      </w:pPr>
      <w:r>
        <w:rPr>
          <w:rFonts w:hint="eastAsia" w:ascii="宋体" w:hAnsi="宋体" w:eastAsia="宋体"/>
          <w:color w:val="auto"/>
          <w:sz w:val="24"/>
          <w:highlight w:val="none"/>
        </w:rPr>
        <w:t>19.3.1.1不良信用记录指：</w:t>
      </w:r>
      <w:r>
        <w:rPr>
          <w:rFonts w:hint="eastAsia" w:ascii="宋体" w:hAnsi="宋体" w:eastAsia="宋体"/>
          <w:color w:val="auto"/>
          <w:sz w:val="24"/>
          <w:szCs w:val="18"/>
          <w:highlight w:val="none"/>
        </w:rPr>
        <w:t>（1）供应商被人民法院列入失信被执行人；（2）供应商被税务部门列入重大税收违法案件当事人名单；（3）供应商被政府采购监管部门列入政府采购严重违法失信行为记录名单。</w:t>
      </w:r>
    </w:p>
    <w:p w14:paraId="09594B01">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highlight w:val="none"/>
        </w:rPr>
      </w:pPr>
      <w:r>
        <w:rPr>
          <w:rFonts w:hint="eastAsia" w:ascii="宋体" w:hAnsi="宋体" w:eastAsia="宋体"/>
          <w:color w:val="auto"/>
          <w:sz w:val="24"/>
          <w:highlight w:val="none"/>
        </w:rPr>
        <w:t>以联合体形式参加磋商的，联合体任何成员存在以上不良信用记录的，联合体磋商将被认定为响应无效。</w:t>
      </w:r>
    </w:p>
    <w:p w14:paraId="5B7910F1">
      <w:pPr>
        <w:kinsoku w:val="0"/>
        <w:autoSpaceDE w:val="0"/>
        <w:autoSpaceDN w:val="0"/>
        <w:spacing w:line="360" w:lineRule="auto"/>
        <w:ind w:firstLine="437"/>
        <w:jc w:val="left"/>
        <w:rPr>
          <w:rFonts w:hint="eastAsia" w:ascii="宋体" w:hAnsi="宋体" w:eastAsia="宋体"/>
          <w:color w:val="auto"/>
          <w:sz w:val="24"/>
          <w:highlight w:val="none"/>
        </w:rPr>
      </w:pPr>
      <w:r>
        <w:rPr>
          <w:rFonts w:hint="eastAsia" w:ascii="宋体" w:hAnsi="宋体" w:eastAsia="宋体"/>
          <w:color w:val="auto"/>
          <w:sz w:val="24"/>
          <w:highlight w:val="none"/>
        </w:rPr>
        <w:t>19.3.1.2</w:t>
      </w:r>
      <w:r>
        <w:rPr>
          <w:rFonts w:hint="eastAsia" w:ascii="宋体" w:hAnsi="宋体" w:eastAsia="宋体"/>
          <w:color w:val="auto"/>
          <w:sz w:val="24"/>
          <w:highlight w:val="none"/>
          <w:lang w:val="en-US" w:eastAsia="zh-CN"/>
        </w:rPr>
        <w:t>信用信息查询渠道：</w:t>
      </w:r>
      <w:r>
        <w:rPr>
          <w:rFonts w:hint="eastAsia" w:ascii="宋体" w:hAnsi="宋体" w:eastAsia="宋体"/>
          <w:color w:val="auto"/>
          <w:sz w:val="24"/>
          <w:highlight w:val="none"/>
        </w:rPr>
        <w:t>国家企业信用信息公示系统（</w:t>
      </w:r>
      <w:r>
        <w:rPr>
          <w:rFonts w:ascii="宋体" w:hAnsi="宋体" w:eastAsia="宋体"/>
          <w:color w:val="auto"/>
          <w:sz w:val="24"/>
          <w:highlight w:val="none"/>
        </w:rPr>
        <w:t>www.gsxt.gov.cn</w:t>
      </w:r>
      <w:r>
        <w:rPr>
          <w:rFonts w:hint="eastAsia" w:ascii="宋体" w:hAnsi="宋体" w:eastAsia="宋体"/>
          <w:color w:val="auto"/>
          <w:sz w:val="24"/>
          <w:highlight w:val="none"/>
        </w:rPr>
        <w:t>）、“信用中国”网站（www.creditchina.gov.cn）、中国政府采购网（www.ccgp.gov.cn）。</w:t>
      </w:r>
    </w:p>
    <w:p w14:paraId="612297DB">
      <w:pPr>
        <w:spacing w:line="360" w:lineRule="auto"/>
        <w:ind w:firstLine="435"/>
        <w:jc w:val="left"/>
        <w:rPr>
          <w:rFonts w:hint="eastAsia" w:ascii="宋体" w:hAnsi="宋体" w:eastAsia="宋体"/>
          <w:color w:val="auto"/>
          <w:sz w:val="24"/>
          <w:highlight w:val="none"/>
        </w:rPr>
      </w:pPr>
      <w:r>
        <w:rPr>
          <w:rFonts w:hint="eastAsia" w:ascii="宋体" w:hAnsi="宋体" w:eastAsia="宋体"/>
          <w:color w:val="auto"/>
          <w:sz w:val="24"/>
          <w:highlight w:val="none"/>
        </w:rPr>
        <w:t>19.3.1.3信用信息记录方式：</w:t>
      </w:r>
      <w:bookmarkStart w:id="13" w:name="_Hlk24663338"/>
      <w:r>
        <w:rPr>
          <w:rFonts w:hint="eastAsia" w:ascii="宋体" w:hAnsi="宋体" w:eastAsia="宋体"/>
          <w:color w:val="auto"/>
          <w:sz w:val="24"/>
          <w:highlight w:val="none"/>
        </w:rPr>
        <w:t>采购人或采购代理机构工作人员将查询网页打印、签字并存档备查。供应商不良信用记录以采购人或采购代理机构查询结果为准。</w:t>
      </w:r>
    </w:p>
    <w:p w14:paraId="48CD4F75">
      <w:pPr>
        <w:keepNext w:val="0"/>
        <w:keepLines w:val="0"/>
        <w:pageBreakBefore w:val="0"/>
        <w:kinsoku/>
        <w:wordWrap w:val="0"/>
        <w:overflowPunct/>
        <w:topLinePunct w:val="0"/>
        <w:bidi w:val="0"/>
        <w:spacing w:line="440" w:lineRule="exact"/>
        <w:ind w:firstLine="435"/>
        <w:textAlignment w:val="auto"/>
        <w:rPr>
          <w:rFonts w:ascii="Arial" w:hAnsi="Arial" w:eastAsia="宋体" w:cs="Arial"/>
          <w:color w:val="auto"/>
          <w:sz w:val="24"/>
          <w:highlight w:val="none"/>
        </w:rPr>
      </w:pPr>
      <w:r>
        <w:rPr>
          <w:rFonts w:hint="eastAsia" w:ascii="Arial" w:hAnsi="Arial" w:eastAsia="宋体" w:cs="Arial"/>
          <w:color w:val="auto"/>
          <w:sz w:val="24"/>
          <w:highlight w:val="none"/>
        </w:rPr>
        <w:t>信用信息查询时间为</w:t>
      </w:r>
      <w:r>
        <w:rPr>
          <w:rFonts w:hint="eastAsia" w:ascii="Arial" w:hAnsi="Arial" w:eastAsia="宋体" w:cs="Arial"/>
          <w:color w:val="auto"/>
          <w:sz w:val="24"/>
          <w:highlight w:val="none"/>
          <w:lang w:val="en-US" w:eastAsia="zh-CN"/>
        </w:rPr>
        <w:t>磋商公告发布之日起至响应文件提交</w:t>
      </w:r>
      <w:r>
        <w:rPr>
          <w:rFonts w:hint="eastAsia" w:ascii="Arial" w:hAnsi="Arial" w:eastAsia="宋体" w:cs="Arial"/>
          <w:color w:val="auto"/>
          <w:sz w:val="24"/>
          <w:highlight w:val="none"/>
        </w:rPr>
        <w:t>截止时间</w:t>
      </w:r>
      <w:r>
        <w:rPr>
          <w:rFonts w:hint="eastAsia" w:ascii="Arial" w:hAnsi="Arial" w:eastAsia="宋体" w:cs="Arial"/>
          <w:color w:val="auto"/>
          <w:sz w:val="24"/>
          <w:highlight w:val="none"/>
          <w:lang w:val="en-US" w:eastAsia="zh-CN"/>
        </w:rPr>
        <w:t>止</w:t>
      </w:r>
      <w:r>
        <w:rPr>
          <w:rFonts w:hint="eastAsia" w:ascii="Arial" w:hAnsi="Arial" w:eastAsia="宋体" w:cs="Arial"/>
          <w:color w:val="auto"/>
          <w:sz w:val="24"/>
          <w:highlight w:val="none"/>
        </w:rPr>
        <w:t>。</w:t>
      </w:r>
    </w:p>
    <w:p w14:paraId="348425CE">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highlight w:val="none"/>
          <w:lang w:val="en-US" w:eastAsia="zh-CN"/>
        </w:rPr>
      </w:pPr>
      <w:r>
        <w:rPr>
          <w:rFonts w:ascii="Arial" w:hAnsi="Arial" w:eastAsia="宋体" w:cs="Arial"/>
          <w:color w:val="auto"/>
          <w:sz w:val="24"/>
          <w:highlight w:val="none"/>
        </w:rPr>
        <w:t>在本</w:t>
      </w:r>
      <w:r>
        <w:rPr>
          <w:rFonts w:hint="eastAsia" w:ascii="Arial" w:hAnsi="Arial" w:eastAsia="宋体" w:cs="Arial"/>
          <w:color w:val="auto"/>
          <w:sz w:val="24"/>
          <w:highlight w:val="none"/>
          <w:lang w:val="en-US" w:eastAsia="zh-CN"/>
        </w:rPr>
        <w:t>磋商</w:t>
      </w:r>
      <w:r>
        <w:rPr>
          <w:rFonts w:ascii="Arial" w:hAnsi="Arial" w:eastAsia="宋体" w:cs="Arial"/>
          <w:color w:val="auto"/>
          <w:sz w:val="24"/>
          <w:highlight w:val="none"/>
        </w:rPr>
        <w:t>文件规定的查询时间之</w:t>
      </w:r>
      <w:r>
        <w:rPr>
          <w:rFonts w:hint="eastAsia" w:ascii="宋体" w:hAnsi="宋体" w:eastAsia="宋体"/>
          <w:color w:val="auto"/>
          <w:sz w:val="24"/>
          <w:highlight w:val="none"/>
          <w:lang w:val="en-US" w:eastAsia="zh-CN"/>
        </w:rPr>
        <w:t>外，网站信息发生的任何变更均不作为资格审查依据。</w:t>
      </w:r>
      <w:bookmarkEnd w:id="13"/>
    </w:p>
    <w:p w14:paraId="4C61EFA9">
      <w:pPr>
        <w:keepNext w:val="0"/>
        <w:keepLines w:val="0"/>
        <w:pageBreakBefore w:val="0"/>
        <w:kinsoku/>
        <w:wordWrap w:val="0"/>
        <w:overflowPunct/>
        <w:topLinePunct w:val="0"/>
        <w:bidi w:val="0"/>
        <w:spacing w:line="440" w:lineRule="exact"/>
        <w:ind w:firstLine="435"/>
        <w:jc w:val="left"/>
        <w:textAlignment w:val="auto"/>
        <w:rPr>
          <w:rFonts w:hint="default"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如供应商在响应文件提交截止时间前存在以上不良信用记录，无论何时或何种原因发现并被证实的，均按响应无效处理；已成交的取消成交资格，并按提供虚假材料处理。</w:t>
      </w:r>
    </w:p>
    <w:p w14:paraId="59969252">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lang w:val="en-US" w:eastAsia="zh-CN"/>
        </w:rPr>
        <w:t>19.3.2磋商。初审合格后，磋商小组将按加密电子响应文件提交顺序集中与单一供应商分别进行磋商，并给予所有参加磋商的供应商平等的磋商机会。</w:t>
      </w:r>
    </w:p>
    <w:p w14:paraId="5F14F926">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19.3.3</w:t>
      </w:r>
      <w:r>
        <w:rPr>
          <w:rFonts w:ascii="宋体" w:hAnsi="宋体" w:eastAsia="宋体"/>
          <w:b/>
          <w:color w:val="auto"/>
          <w:sz w:val="24"/>
          <w:highlight w:val="none"/>
        </w:rPr>
        <w:t>报价</w:t>
      </w:r>
      <w:r>
        <w:rPr>
          <w:rFonts w:hint="eastAsia" w:ascii="宋体" w:hAnsi="宋体" w:eastAsia="宋体"/>
          <w:color w:val="auto"/>
          <w:sz w:val="24"/>
          <w:highlight w:val="none"/>
        </w:rPr>
        <w:t>。</w:t>
      </w:r>
      <w:r>
        <w:rPr>
          <w:rFonts w:ascii="宋体" w:hAnsi="宋体" w:eastAsia="宋体"/>
          <w:color w:val="auto"/>
          <w:sz w:val="24"/>
          <w:highlight w:val="none"/>
        </w:rPr>
        <w:t>磋商结束后，磋商小组应当要求所有</w:t>
      </w:r>
      <w:r>
        <w:rPr>
          <w:rFonts w:hint="eastAsia" w:ascii="宋体" w:hAnsi="宋体" w:eastAsia="宋体"/>
          <w:color w:val="auto"/>
          <w:sz w:val="24"/>
          <w:highlight w:val="none"/>
        </w:rPr>
        <w:t>实质性响应</w:t>
      </w:r>
      <w:r>
        <w:rPr>
          <w:rFonts w:ascii="宋体" w:hAnsi="宋体" w:eastAsia="宋体"/>
          <w:color w:val="auto"/>
          <w:sz w:val="24"/>
          <w:highlight w:val="none"/>
        </w:rPr>
        <w:t>的供应商在规定时间内提交最后报价</w:t>
      </w:r>
      <w:r>
        <w:rPr>
          <w:rFonts w:hint="eastAsia" w:ascii="宋体" w:hAnsi="宋体" w:eastAsia="宋体"/>
          <w:color w:val="auto"/>
          <w:sz w:val="24"/>
          <w:highlight w:val="none"/>
        </w:rPr>
        <w:t>。</w:t>
      </w:r>
    </w:p>
    <w:p w14:paraId="05661721">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19.3.4</w:t>
      </w:r>
      <w:r>
        <w:rPr>
          <w:rFonts w:hint="eastAsia" w:ascii="宋体" w:hAnsi="宋体" w:eastAsia="宋体"/>
          <w:b/>
          <w:color w:val="auto"/>
          <w:sz w:val="24"/>
          <w:highlight w:val="none"/>
        </w:rPr>
        <w:t>综合评分</w:t>
      </w:r>
      <w:r>
        <w:rPr>
          <w:rFonts w:hint="eastAsia" w:ascii="宋体" w:hAnsi="宋体" w:eastAsia="宋体"/>
          <w:color w:val="auto"/>
          <w:sz w:val="24"/>
          <w:highlight w:val="none"/>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14:paraId="4C428B71">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19.4相关说明。</w:t>
      </w:r>
    </w:p>
    <w:p w14:paraId="650DC4BE">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highlight w:val="none"/>
        </w:rPr>
      </w:pPr>
      <w:r>
        <w:rPr>
          <w:rFonts w:hint="eastAsia" w:ascii="宋体" w:hAnsi="宋体" w:eastAsia="宋体"/>
          <w:color w:val="auto"/>
          <w:sz w:val="24"/>
          <w:highlight w:val="none"/>
        </w:rPr>
        <w:t>19.4.1为保证磋商活动顺利进行，供应商可派相关技术人员进行</w:t>
      </w:r>
      <w:r>
        <w:rPr>
          <w:rFonts w:hint="eastAsia" w:ascii="宋体" w:hAnsi="宋体" w:eastAsia="宋体"/>
          <w:color w:val="auto"/>
          <w:sz w:val="24"/>
          <w:highlight w:val="none"/>
          <w:lang w:val="en-US" w:eastAsia="zh-CN"/>
        </w:rPr>
        <w:t>网上或现场</w:t>
      </w:r>
      <w:r>
        <w:rPr>
          <w:rFonts w:hint="eastAsia" w:ascii="宋体" w:hAnsi="宋体" w:eastAsia="宋体"/>
          <w:color w:val="auto"/>
          <w:sz w:val="24"/>
          <w:highlight w:val="none"/>
        </w:rPr>
        <w:t>答疑；因授权代表联系不上、没有及时登录系统等情形而无法</w:t>
      </w:r>
      <w:r>
        <w:rPr>
          <w:rFonts w:hint="eastAsia" w:ascii="宋体" w:hAnsi="宋体" w:eastAsia="宋体"/>
          <w:color w:val="auto"/>
          <w:sz w:val="24"/>
          <w:highlight w:val="none"/>
          <w:lang w:val="en-US" w:eastAsia="zh-CN"/>
        </w:rPr>
        <w:t>进行答疑的</w:t>
      </w:r>
      <w:r>
        <w:rPr>
          <w:rFonts w:hint="eastAsia" w:ascii="宋体" w:hAnsi="宋体" w:eastAsia="宋体"/>
          <w:color w:val="auto"/>
          <w:sz w:val="24"/>
          <w:highlight w:val="none"/>
        </w:rPr>
        <w:t>，供应商自行承担相关风险</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 xml:space="preserve"> </w:t>
      </w:r>
    </w:p>
    <w:p w14:paraId="2BD8F069">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19.4.2磋</w:t>
      </w:r>
      <w:r>
        <w:rPr>
          <w:rFonts w:ascii="宋体" w:hAnsi="宋体" w:eastAsia="宋体"/>
          <w:color w:val="auto"/>
          <w:sz w:val="24"/>
          <w:highlight w:val="none"/>
        </w:rPr>
        <w:t>商小组根据与</w:t>
      </w:r>
      <w:r>
        <w:rPr>
          <w:rFonts w:hint="eastAsia" w:ascii="宋体" w:hAnsi="宋体" w:eastAsia="宋体"/>
          <w:color w:val="auto"/>
          <w:sz w:val="24"/>
          <w:highlight w:val="none"/>
        </w:rPr>
        <w:t>供应商</w:t>
      </w:r>
      <w:r>
        <w:rPr>
          <w:rFonts w:ascii="宋体" w:hAnsi="宋体" w:eastAsia="宋体"/>
          <w:color w:val="auto"/>
          <w:sz w:val="24"/>
          <w:highlight w:val="none"/>
        </w:rPr>
        <w:t>磋商情况可能实质性变动</w:t>
      </w:r>
      <w:r>
        <w:rPr>
          <w:rFonts w:hint="eastAsia" w:ascii="宋体" w:hAnsi="宋体" w:eastAsia="宋体"/>
          <w:color w:val="auto"/>
          <w:sz w:val="24"/>
          <w:highlight w:val="none"/>
        </w:rPr>
        <w:t>磋商文件</w:t>
      </w:r>
      <w:r>
        <w:rPr>
          <w:rFonts w:ascii="宋体" w:hAnsi="宋体" w:eastAsia="宋体"/>
          <w:color w:val="auto"/>
          <w:sz w:val="24"/>
          <w:highlight w:val="none"/>
        </w:rPr>
        <w:t>的内容，包括采购需求中的技术、服务要求以及合同草案条款。磋商文件有实质性变动的，</w:t>
      </w:r>
      <w:r>
        <w:rPr>
          <w:rFonts w:hint="eastAsia" w:ascii="宋体" w:hAnsi="宋体" w:eastAsia="宋体"/>
          <w:color w:val="auto"/>
          <w:sz w:val="24"/>
          <w:highlight w:val="none"/>
        </w:rPr>
        <w:t>经采购人代表确认作为磋商文件的有效组成部分，</w:t>
      </w:r>
      <w:r>
        <w:rPr>
          <w:rFonts w:ascii="宋体" w:hAnsi="宋体" w:eastAsia="宋体"/>
          <w:color w:val="auto"/>
          <w:sz w:val="24"/>
          <w:highlight w:val="none"/>
        </w:rPr>
        <w:t>磋商小组</w:t>
      </w:r>
      <w:r>
        <w:rPr>
          <w:rFonts w:hint="eastAsia" w:ascii="宋体" w:hAnsi="宋体" w:eastAsia="宋体"/>
          <w:color w:val="auto"/>
          <w:sz w:val="24"/>
          <w:highlight w:val="none"/>
        </w:rPr>
        <w:t>将</w:t>
      </w:r>
      <w:r>
        <w:rPr>
          <w:rFonts w:ascii="宋体" w:hAnsi="宋体" w:eastAsia="宋体"/>
          <w:color w:val="auto"/>
          <w:sz w:val="24"/>
          <w:highlight w:val="none"/>
        </w:rPr>
        <w:t>以书面形式通知所有参加磋商的供应商。</w:t>
      </w:r>
    </w:p>
    <w:p w14:paraId="1F985052">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19.4.3磋商过程中，磋商小组发现供应商的报价或者某些分项报价明显不合理或者低于成本，有可能影响商品质量和不能诚信履约的，应当要求其在规定的期限内提供书面文件予以解释说明，并提交相关证明材料；供应商</w:t>
      </w:r>
      <w:r>
        <w:rPr>
          <w:rFonts w:ascii="宋体" w:hAnsi="宋体" w:eastAsia="宋体"/>
          <w:color w:val="auto"/>
          <w:sz w:val="24"/>
          <w:highlight w:val="none"/>
        </w:rPr>
        <w:t>不能证明其报价合理性的，</w:t>
      </w:r>
      <w:r>
        <w:rPr>
          <w:rFonts w:hint="eastAsia" w:ascii="宋体" w:hAnsi="宋体" w:eastAsia="宋体"/>
          <w:color w:val="auto"/>
          <w:sz w:val="24"/>
          <w:highlight w:val="none"/>
        </w:rPr>
        <w:t>其响应文件将被认定为</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14:paraId="0AD5514B">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19.4.4</w:t>
      </w:r>
      <w:r>
        <w:rPr>
          <w:rFonts w:ascii="宋体" w:hAnsi="宋体" w:eastAsia="宋体"/>
          <w:color w:val="auto"/>
          <w:sz w:val="24"/>
          <w:highlight w:val="none"/>
        </w:rPr>
        <w:t>无论何种原因，即使供应商</w:t>
      </w:r>
      <w:r>
        <w:rPr>
          <w:rFonts w:hint="eastAsia" w:ascii="宋体" w:hAnsi="宋体" w:eastAsia="宋体"/>
          <w:color w:val="auto"/>
          <w:sz w:val="24"/>
          <w:highlight w:val="none"/>
        </w:rPr>
        <w:t>磋商</w:t>
      </w:r>
      <w:r>
        <w:rPr>
          <w:rFonts w:ascii="宋体" w:hAnsi="宋体" w:eastAsia="宋体"/>
          <w:color w:val="auto"/>
          <w:sz w:val="24"/>
          <w:highlight w:val="none"/>
        </w:rPr>
        <w:t>时携带了证书材料的原件，但响应文件中未提供与之内容完全一致的</w:t>
      </w:r>
      <w:r>
        <w:rPr>
          <w:rFonts w:hint="eastAsia" w:ascii="宋体" w:hAnsi="宋体" w:eastAsia="宋体" w:cs="宋体"/>
          <w:b w:val="0"/>
          <w:color w:val="auto"/>
          <w:sz w:val="24"/>
          <w:szCs w:val="24"/>
          <w:highlight w:val="none"/>
          <w:lang w:eastAsia="zh-CN"/>
        </w:rPr>
        <w:t>扫描件</w:t>
      </w:r>
      <w:r>
        <w:rPr>
          <w:rFonts w:ascii="宋体" w:hAnsi="宋体" w:eastAsia="宋体"/>
          <w:color w:val="auto"/>
          <w:sz w:val="24"/>
          <w:highlight w:val="none"/>
        </w:rPr>
        <w:t>的，</w:t>
      </w:r>
      <w:r>
        <w:rPr>
          <w:rFonts w:hint="eastAsia" w:ascii="宋体" w:hAnsi="宋体" w:eastAsia="宋体"/>
          <w:color w:val="auto"/>
          <w:sz w:val="24"/>
          <w:highlight w:val="none"/>
        </w:rPr>
        <w:t>磋商</w:t>
      </w:r>
      <w:r>
        <w:rPr>
          <w:rFonts w:ascii="宋体" w:hAnsi="宋体" w:eastAsia="宋体"/>
          <w:color w:val="auto"/>
          <w:sz w:val="24"/>
          <w:highlight w:val="none"/>
        </w:rPr>
        <w:t>小组可以视同其未提供。</w:t>
      </w:r>
    </w:p>
    <w:p w14:paraId="78236137">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19.4.5磋商</w:t>
      </w:r>
      <w:r>
        <w:rPr>
          <w:rFonts w:ascii="宋体" w:hAnsi="宋体" w:eastAsia="宋体"/>
          <w:color w:val="auto"/>
          <w:sz w:val="24"/>
          <w:highlight w:val="none"/>
        </w:rPr>
        <w:t>小组决定响应文件的响应性及符合性只根据响应文件本身的内容，而不寻求其他外部证据。</w:t>
      </w:r>
    </w:p>
    <w:p w14:paraId="4207DC15">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19</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供应商</w:t>
      </w:r>
      <w:r>
        <w:rPr>
          <w:rFonts w:hint="eastAsia" w:ascii="宋体" w:hAnsi="宋体" w:eastAsia="宋体"/>
          <w:color w:val="auto"/>
          <w:sz w:val="24"/>
          <w:highlight w:val="none"/>
        </w:rPr>
        <w:t>授权</w:t>
      </w:r>
      <w:r>
        <w:rPr>
          <w:rFonts w:ascii="宋体" w:hAnsi="宋体" w:eastAsia="宋体"/>
          <w:color w:val="auto"/>
          <w:sz w:val="24"/>
          <w:highlight w:val="none"/>
        </w:rPr>
        <w:t>代表对</w:t>
      </w:r>
      <w:r>
        <w:rPr>
          <w:rFonts w:hint="eastAsia" w:ascii="宋体" w:hAnsi="宋体" w:eastAsia="宋体"/>
          <w:color w:val="auto"/>
          <w:sz w:val="24"/>
          <w:highlight w:val="none"/>
        </w:rPr>
        <w:t>磋商过程</w:t>
      </w:r>
      <w:r>
        <w:rPr>
          <w:rFonts w:ascii="宋体" w:hAnsi="宋体" w:eastAsia="宋体"/>
          <w:color w:val="auto"/>
          <w:sz w:val="24"/>
          <w:highlight w:val="none"/>
        </w:rPr>
        <w:t>有疑义，以及认为采购人、采购代理机构相关工作人员有需要回避的情形的，应当场提出询问或者回避申请</w:t>
      </w:r>
      <w:r>
        <w:rPr>
          <w:rFonts w:hint="eastAsia" w:ascii="宋体" w:hAnsi="宋体" w:eastAsia="宋体"/>
          <w:color w:val="auto"/>
          <w:sz w:val="24"/>
          <w:highlight w:val="none"/>
        </w:rPr>
        <w:t>，并说明理由。</w:t>
      </w:r>
      <w:r>
        <w:rPr>
          <w:rFonts w:ascii="宋体" w:hAnsi="宋体" w:eastAsia="宋体"/>
          <w:color w:val="auto"/>
          <w:sz w:val="24"/>
          <w:highlight w:val="none"/>
        </w:rPr>
        <w:t xml:space="preserve"> </w:t>
      </w:r>
    </w:p>
    <w:p w14:paraId="5DECC76C">
      <w:pPr>
        <w:keepNext w:val="0"/>
        <w:keepLines w:val="0"/>
        <w:pageBreakBefore w:val="0"/>
        <w:kinsoku/>
        <w:wordWrap w:val="0"/>
        <w:overflowPunct/>
        <w:topLinePunct w:val="0"/>
        <w:bidi w:val="0"/>
        <w:spacing w:line="440" w:lineRule="exact"/>
        <w:ind w:firstLine="437"/>
        <w:jc w:val="left"/>
        <w:textAlignment w:val="auto"/>
        <w:outlineLvl w:val="3"/>
        <w:rPr>
          <w:rFonts w:hint="default" w:ascii="宋体" w:hAnsi="宋体" w:eastAsia="宋体"/>
          <w:b/>
          <w:color w:val="auto"/>
          <w:sz w:val="24"/>
          <w:highlight w:val="none"/>
          <w:lang w:val="en-US" w:eastAsia="zh-CN"/>
        </w:rPr>
      </w:pPr>
      <w:r>
        <w:rPr>
          <w:rFonts w:hint="eastAsia" w:ascii="宋体" w:hAnsi="宋体" w:eastAsia="宋体"/>
          <w:b/>
          <w:color w:val="auto"/>
          <w:sz w:val="24"/>
          <w:highlight w:val="none"/>
        </w:rPr>
        <w:t>20</w:t>
      </w:r>
      <w:r>
        <w:rPr>
          <w:rFonts w:ascii="宋体" w:hAnsi="宋体" w:eastAsia="宋体"/>
          <w:b/>
          <w:color w:val="auto"/>
          <w:sz w:val="24"/>
          <w:highlight w:val="none"/>
        </w:rPr>
        <w:t>.</w:t>
      </w:r>
      <w:r>
        <w:rPr>
          <w:rFonts w:hint="eastAsia" w:ascii="宋体" w:hAnsi="宋体" w:eastAsia="宋体"/>
          <w:b/>
          <w:color w:val="auto"/>
          <w:sz w:val="24"/>
          <w:highlight w:val="none"/>
          <w:lang w:val="en-US" w:eastAsia="zh-CN"/>
        </w:rPr>
        <w:t>磋商异常及处理</w:t>
      </w:r>
    </w:p>
    <w:p w14:paraId="0E58DBA7">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b/>
          <w:bCs/>
          <w:color w:val="auto"/>
          <w:sz w:val="24"/>
          <w:highlight w:val="none"/>
          <w:lang w:val="en-US" w:eastAsia="zh-CN"/>
        </w:rPr>
      </w:pPr>
      <w:r>
        <w:rPr>
          <w:rFonts w:hint="eastAsia" w:ascii="宋体" w:hAnsi="宋体" w:eastAsia="宋体"/>
          <w:b/>
          <w:bCs/>
          <w:color w:val="auto"/>
          <w:sz w:val="24"/>
          <w:highlight w:val="none"/>
        </w:rPr>
        <w:t>20.1</w:t>
      </w:r>
      <w:r>
        <w:rPr>
          <w:rFonts w:hint="eastAsia" w:ascii="宋体" w:hAnsi="宋体" w:eastAsia="宋体"/>
          <w:b/>
          <w:bCs/>
          <w:color w:val="auto"/>
          <w:sz w:val="24"/>
          <w:highlight w:val="none"/>
          <w:lang w:val="en-US" w:eastAsia="zh-CN"/>
        </w:rPr>
        <w:t>终止磋商</w:t>
      </w:r>
    </w:p>
    <w:p w14:paraId="43CBD0C2">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出现下列情况之一时，采购人和采购代理机构有权宣布终止磋商采购，并将理由通知所有供应商：</w:t>
      </w:r>
    </w:p>
    <w:p w14:paraId="1C87BD3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（1）有效供应商数量不足</w:t>
      </w:r>
      <w:r>
        <w:rPr>
          <w:rFonts w:hint="eastAsia" w:ascii="宋体" w:hAnsi="宋体" w:eastAsia="宋体"/>
          <w:color w:val="auto"/>
          <w:sz w:val="24"/>
          <w:highlight w:val="none"/>
          <w:lang w:val="en-US" w:eastAsia="zh-CN"/>
        </w:rPr>
        <w:t>3家</w:t>
      </w:r>
      <w:r>
        <w:rPr>
          <w:rFonts w:hint="eastAsia" w:ascii="宋体" w:hAnsi="宋体" w:eastAsia="宋体"/>
          <w:color w:val="auto"/>
          <w:sz w:val="24"/>
          <w:highlight w:val="none"/>
        </w:rPr>
        <w:t>的；</w:t>
      </w:r>
    </w:p>
    <w:p w14:paraId="58B92AE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（2）出现影响采购公正的违法、违规行为的；</w:t>
      </w:r>
    </w:p>
    <w:p w14:paraId="29C09B38">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（3）因重大变故，采购任务取消的；</w:t>
      </w:r>
    </w:p>
    <w:p w14:paraId="137D721B">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（4）其他情形。</w:t>
      </w:r>
    </w:p>
    <w:p w14:paraId="101BE794">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ascii="宋体" w:hAnsi="宋体" w:eastAsia="宋体"/>
          <w:b/>
          <w:color w:val="auto"/>
          <w:sz w:val="24"/>
          <w:highlight w:val="none"/>
        </w:rPr>
        <w:t>2</w:t>
      </w:r>
      <w:r>
        <w:rPr>
          <w:rFonts w:hint="eastAsia" w:ascii="宋体" w:hAnsi="宋体" w:eastAsia="宋体"/>
          <w:b/>
          <w:color w:val="auto"/>
          <w:sz w:val="24"/>
          <w:highlight w:val="none"/>
        </w:rPr>
        <w:t>1</w:t>
      </w:r>
      <w:r>
        <w:rPr>
          <w:rFonts w:ascii="宋体" w:hAnsi="宋体" w:eastAsia="宋体"/>
          <w:b/>
          <w:color w:val="auto"/>
          <w:sz w:val="24"/>
          <w:highlight w:val="none"/>
        </w:rPr>
        <w:t>.响应文件的澄清、说明或</w:t>
      </w:r>
      <w:r>
        <w:rPr>
          <w:rFonts w:hint="eastAsia" w:ascii="宋体" w:hAnsi="宋体" w:eastAsia="宋体"/>
          <w:b/>
          <w:color w:val="auto"/>
          <w:sz w:val="24"/>
          <w:highlight w:val="none"/>
        </w:rPr>
        <w:t>更正</w:t>
      </w:r>
    </w:p>
    <w:p w14:paraId="28A983E3">
      <w:pPr>
        <w:keepNext w:val="0"/>
        <w:keepLines w:val="0"/>
        <w:pageBreakBefore w:val="0"/>
        <w:kinsoku/>
        <w:wordWrap w:val="0"/>
        <w:overflowPunct/>
        <w:topLinePunct w:val="0"/>
        <w:bidi w:val="0"/>
        <w:spacing w:line="440" w:lineRule="exact"/>
        <w:ind w:firstLine="470" w:firstLineChars="196"/>
        <w:jc w:val="left"/>
        <w:textAlignment w:val="auto"/>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1.1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14:paraId="7F46BF25">
      <w:pPr>
        <w:keepNext w:val="0"/>
        <w:keepLines w:val="0"/>
        <w:pageBreakBefore w:val="0"/>
        <w:kinsoku/>
        <w:wordWrap w:val="0"/>
        <w:overflowPunct/>
        <w:topLinePunct w:val="0"/>
        <w:bidi w:val="0"/>
        <w:spacing w:line="440" w:lineRule="exact"/>
        <w:ind w:firstLine="470" w:firstLineChars="196"/>
        <w:jc w:val="left"/>
        <w:textAlignment w:val="auto"/>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1.2磋商小组要求供应商澄清、说明或者更正响应文件应当以书面形式（询标）作出。供应商的澄清、说明或者更正应当由法定代表人或其授权代表签字或者加盖公章。</w:t>
      </w:r>
    </w:p>
    <w:p w14:paraId="69AB5336">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b/>
          <w:color w:val="auto"/>
          <w:sz w:val="24"/>
          <w:highlight w:val="none"/>
          <w:lang w:eastAsia="zh-CN"/>
        </w:rPr>
      </w:pPr>
      <w:r>
        <w:rPr>
          <w:rFonts w:hint="eastAsia" w:ascii="宋体" w:hAnsi="宋体" w:eastAsia="宋体"/>
          <w:b/>
          <w:color w:val="auto"/>
          <w:sz w:val="24"/>
          <w:highlight w:val="none"/>
        </w:rPr>
        <w:t>如有询标，授权代表（或法定代表人）可通过远程登录的方式接受网上询标，也可凭本人有效身份证明参加询标。因授权代表联系不上</w:t>
      </w:r>
      <w:r>
        <w:rPr>
          <w:rFonts w:hint="eastAsia" w:ascii="宋体" w:hAnsi="宋体" w:eastAsia="宋体"/>
          <w:b/>
          <w:bCs/>
          <w:color w:val="auto"/>
          <w:sz w:val="24"/>
          <w:highlight w:val="none"/>
        </w:rPr>
        <w:t>、没有及时登录系统等情形</w:t>
      </w:r>
      <w:r>
        <w:rPr>
          <w:rFonts w:hint="eastAsia" w:ascii="宋体" w:hAnsi="宋体" w:eastAsia="宋体"/>
          <w:b/>
          <w:color w:val="auto"/>
          <w:sz w:val="24"/>
          <w:highlight w:val="none"/>
        </w:rPr>
        <w:t>而无法接受磋商小组询标的，供应商自行承担相关风险</w:t>
      </w:r>
      <w:r>
        <w:rPr>
          <w:rFonts w:hint="eastAsia" w:ascii="宋体" w:hAnsi="宋体" w:eastAsia="宋体"/>
          <w:b/>
          <w:color w:val="auto"/>
          <w:sz w:val="24"/>
          <w:highlight w:val="none"/>
          <w:lang w:eastAsia="zh-CN"/>
        </w:rPr>
        <w:t>。</w:t>
      </w:r>
    </w:p>
    <w:p w14:paraId="65E2D2D6">
      <w:pPr>
        <w:keepNext w:val="0"/>
        <w:keepLines w:val="0"/>
        <w:pageBreakBefore w:val="0"/>
        <w:kinsoku/>
        <w:wordWrap w:val="0"/>
        <w:overflowPunct/>
        <w:topLinePunct w:val="0"/>
        <w:bidi w:val="0"/>
        <w:spacing w:line="440" w:lineRule="exact"/>
        <w:ind w:firstLine="435"/>
        <w:jc w:val="left"/>
        <w:textAlignment w:val="auto"/>
        <w:rPr>
          <w:rFonts w:ascii="Arial" w:hAnsi="Arial" w:eastAsia="宋体" w:cs="Arial"/>
          <w:color w:val="auto"/>
          <w:sz w:val="24"/>
          <w:highlight w:val="none"/>
        </w:rPr>
      </w:pPr>
      <w:r>
        <w:rPr>
          <w:rFonts w:hint="eastAsia" w:ascii="Arial" w:hAnsi="Arial" w:eastAsia="宋体" w:cs="Arial"/>
          <w:color w:val="auto"/>
          <w:sz w:val="24"/>
          <w:highlight w:val="none"/>
          <w:lang w:val="en-US" w:eastAsia="zh-CN"/>
        </w:rPr>
        <w:t>21.3响应</w:t>
      </w:r>
      <w:r>
        <w:rPr>
          <w:rFonts w:ascii="Arial" w:hAnsi="Arial" w:eastAsia="宋体" w:cs="Arial"/>
          <w:color w:val="auto"/>
          <w:sz w:val="24"/>
          <w:highlight w:val="none"/>
        </w:rPr>
        <w:t>文件报价</w:t>
      </w:r>
      <w:r>
        <w:rPr>
          <w:rFonts w:hint="eastAsia" w:ascii="Arial" w:hAnsi="Arial" w:eastAsia="宋体" w:cs="Arial"/>
          <w:color w:val="auto"/>
          <w:sz w:val="24"/>
          <w:highlight w:val="none"/>
          <w:lang w:val="en-US" w:eastAsia="zh-CN"/>
        </w:rPr>
        <w:t>或磋商过程中的报价</w:t>
      </w:r>
      <w:r>
        <w:rPr>
          <w:rFonts w:ascii="Arial" w:hAnsi="Arial" w:eastAsia="宋体" w:cs="Arial"/>
          <w:color w:val="auto"/>
          <w:sz w:val="24"/>
          <w:highlight w:val="none"/>
        </w:rPr>
        <w:t>出现不一致的，按照下列规定修正：</w:t>
      </w:r>
    </w:p>
    <w:p w14:paraId="0CFE3D19">
      <w:pPr>
        <w:keepNext w:val="0"/>
        <w:keepLines w:val="0"/>
        <w:pageBreakBefore w:val="0"/>
        <w:kinsoku/>
        <w:wordWrap w:val="0"/>
        <w:overflowPunct/>
        <w:topLinePunct w:val="0"/>
        <w:bidi w:val="0"/>
        <w:spacing w:line="440" w:lineRule="exact"/>
        <w:ind w:firstLine="435"/>
        <w:jc w:val="left"/>
        <w:textAlignment w:val="auto"/>
        <w:rPr>
          <w:rFonts w:ascii="Arial" w:hAnsi="Arial" w:eastAsia="宋体" w:cs="Arial"/>
          <w:color w:val="auto"/>
          <w:sz w:val="24"/>
          <w:highlight w:val="none"/>
        </w:rPr>
      </w:pPr>
      <w:r>
        <w:rPr>
          <w:rFonts w:ascii="Arial" w:hAnsi="Arial" w:eastAsia="宋体" w:cs="Arial"/>
          <w:color w:val="auto"/>
          <w:sz w:val="24"/>
          <w:highlight w:val="none"/>
        </w:rPr>
        <w:t>（1）</w:t>
      </w:r>
      <w:r>
        <w:rPr>
          <w:rFonts w:hint="eastAsia" w:ascii="Arial" w:hAnsi="Arial" w:eastAsia="宋体" w:cs="Arial"/>
          <w:color w:val="auto"/>
          <w:sz w:val="24"/>
          <w:highlight w:val="none"/>
          <w:lang w:val="en-US" w:eastAsia="zh-CN"/>
        </w:rPr>
        <w:t>响应</w:t>
      </w:r>
      <w:r>
        <w:rPr>
          <w:rFonts w:ascii="Arial" w:hAnsi="Arial" w:eastAsia="宋体" w:cs="Arial"/>
          <w:color w:val="auto"/>
          <w:sz w:val="24"/>
          <w:highlight w:val="none"/>
        </w:rPr>
        <w:t>文件中</w:t>
      </w:r>
      <w:r>
        <w:rPr>
          <w:rFonts w:hint="eastAsia" w:ascii="Arial" w:hAnsi="Arial" w:eastAsia="宋体" w:cs="Arial"/>
          <w:color w:val="auto"/>
          <w:sz w:val="24"/>
          <w:highlight w:val="none"/>
          <w:lang w:val="en-US" w:eastAsia="zh-CN"/>
        </w:rPr>
        <w:t>报价</w:t>
      </w:r>
      <w:r>
        <w:rPr>
          <w:rFonts w:ascii="Arial" w:hAnsi="Arial" w:eastAsia="宋体" w:cs="Arial"/>
          <w:color w:val="auto"/>
          <w:sz w:val="24"/>
          <w:highlight w:val="none"/>
        </w:rPr>
        <w:t>表内容与</w:t>
      </w:r>
      <w:r>
        <w:rPr>
          <w:rFonts w:hint="eastAsia" w:ascii="Arial" w:hAnsi="Arial" w:eastAsia="宋体" w:cs="Arial"/>
          <w:color w:val="auto"/>
          <w:sz w:val="24"/>
          <w:highlight w:val="none"/>
          <w:lang w:val="en-US" w:eastAsia="zh-CN"/>
        </w:rPr>
        <w:t>分项报价明细表中</w:t>
      </w:r>
      <w:r>
        <w:rPr>
          <w:rFonts w:ascii="Arial" w:hAnsi="Arial" w:eastAsia="宋体" w:cs="Arial"/>
          <w:color w:val="auto"/>
          <w:sz w:val="24"/>
          <w:highlight w:val="none"/>
        </w:rPr>
        <w:t>相应内容不一致的，以</w:t>
      </w:r>
      <w:r>
        <w:rPr>
          <w:rFonts w:hint="eastAsia" w:ascii="Arial" w:hAnsi="Arial" w:eastAsia="宋体" w:cs="Arial"/>
          <w:color w:val="auto"/>
          <w:sz w:val="24"/>
          <w:highlight w:val="none"/>
          <w:lang w:val="en-US" w:eastAsia="zh-CN"/>
        </w:rPr>
        <w:t>报价</w:t>
      </w:r>
      <w:r>
        <w:rPr>
          <w:rFonts w:ascii="Arial" w:hAnsi="Arial" w:eastAsia="宋体" w:cs="Arial"/>
          <w:color w:val="auto"/>
          <w:sz w:val="24"/>
          <w:highlight w:val="none"/>
        </w:rPr>
        <w:t>表为准；</w:t>
      </w:r>
    </w:p>
    <w:p w14:paraId="166D9C4A">
      <w:pPr>
        <w:keepNext w:val="0"/>
        <w:keepLines w:val="0"/>
        <w:pageBreakBefore w:val="0"/>
        <w:kinsoku/>
        <w:wordWrap w:val="0"/>
        <w:overflowPunct/>
        <w:topLinePunct w:val="0"/>
        <w:bidi w:val="0"/>
        <w:spacing w:line="440" w:lineRule="exact"/>
        <w:ind w:firstLine="435"/>
        <w:jc w:val="left"/>
        <w:textAlignment w:val="auto"/>
        <w:rPr>
          <w:rFonts w:ascii="Arial" w:hAnsi="Arial" w:eastAsia="宋体" w:cs="Arial"/>
          <w:color w:val="auto"/>
          <w:sz w:val="24"/>
          <w:highlight w:val="none"/>
        </w:rPr>
      </w:pPr>
      <w:r>
        <w:rPr>
          <w:rFonts w:ascii="Arial" w:hAnsi="Arial" w:eastAsia="宋体" w:cs="Arial"/>
          <w:color w:val="auto"/>
          <w:sz w:val="24"/>
          <w:highlight w:val="none"/>
        </w:rPr>
        <w:t>（2）大写金额和小写金额不一致的，以大写金额为准；</w:t>
      </w:r>
    </w:p>
    <w:p w14:paraId="00974810">
      <w:pPr>
        <w:keepNext w:val="0"/>
        <w:keepLines w:val="0"/>
        <w:pageBreakBefore w:val="0"/>
        <w:kinsoku/>
        <w:wordWrap w:val="0"/>
        <w:overflowPunct/>
        <w:topLinePunct w:val="0"/>
        <w:bidi w:val="0"/>
        <w:spacing w:line="440" w:lineRule="exact"/>
        <w:ind w:firstLine="435"/>
        <w:jc w:val="left"/>
        <w:textAlignment w:val="auto"/>
        <w:rPr>
          <w:rFonts w:ascii="Arial" w:hAnsi="Arial" w:eastAsia="宋体" w:cs="Arial"/>
          <w:color w:val="auto"/>
          <w:sz w:val="24"/>
          <w:highlight w:val="none"/>
        </w:rPr>
      </w:pPr>
      <w:r>
        <w:rPr>
          <w:rFonts w:ascii="Arial" w:hAnsi="Arial" w:eastAsia="宋体" w:cs="Arial"/>
          <w:color w:val="auto"/>
          <w:sz w:val="24"/>
          <w:highlight w:val="none"/>
        </w:rPr>
        <w:t>（3）单价金额小数点或者百分比有明显错位的，以</w:t>
      </w:r>
      <w:r>
        <w:rPr>
          <w:rFonts w:hint="eastAsia" w:ascii="Arial" w:hAnsi="Arial" w:eastAsia="宋体" w:cs="Arial"/>
          <w:color w:val="auto"/>
          <w:sz w:val="24"/>
          <w:highlight w:val="none"/>
          <w:lang w:val="en-US" w:eastAsia="zh-CN"/>
        </w:rPr>
        <w:t>报价</w:t>
      </w:r>
      <w:r>
        <w:rPr>
          <w:rFonts w:ascii="Arial" w:hAnsi="Arial" w:eastAsia="宋体" w:cs="Arial"/>
          <w:color w:val="auto"/>
          <w:sz w:val="24"/>
          <w:highlight w:val="none"/>
        </w:rPr>
        <w:t>表的总价为准，并修改单价；</w:t>
      </w:r>
    </w:p>
    <w:p w14:paraId="51E7FE6F">
      <w:pPr>
        <w:keepNext w:val="0"/>
        <w:keepLines w:val="0"/>
        <w:pageBreakBefore w:val="0"/>
        <w:kinsoku/>
        <w:wordWrap w:val="0"/>
        <w:overflowPunct/>
        <w:topLinePunct w:val="0"/>
        <w:bidi w:val="0"/>
        <w:spacing w:line="440" w:lineRule="exact"/>
        <w:ind w:firstLine="435"/>
        <w:jc w:val="left"/>
        <w:textAlignment w:val="auto"/>
        <w:rPr>
          <w:rFonts w:ascii="Arial" w:hAnsi="Arial" w:eastAsia="宋体" w:cs="Arial"/>
          <w:color w:val="auto"/>
          <w:sz w:val="24"/>
          <w:highlight w:val="none"/>
        </w:rPr>
      </w:pPr>
      <w:r>
        <w:rPr>
          <w:rFonts w:ascii="Arial" w:hAnsi="Arial" w:eastAsia="宋体" w:cs="Arial"/>
          <w:color w:val="auto"/>
          <w:sz w:val="24"/>
          <w:highlight w:val="none"/>
        </w:rPr>
        <w:t>（4）总价金额与按单价汇总金额不一致的，以单价金额计算结果为准。</w:t>
      </w:r>
    </w:p>
    <w:p w14:paraId="7D704073">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b/>
          <w:color w:val="auto"/>
          <w:sz w:val="24"/>
          <w:highlight w:val="none"/>
        </w:rPr>
      </w:pPr>
      <w:r>
        <w:rPr>
          <w:rFonts w:ascii="Arial" w:hAnsi="Arial" w:eastAsia="宋体" w:cs="Arial"/>
          <w:color w:val="auto"/>
          <w:sz w:val="24"/>
          <w:highlight w:val="none"/>
        </w:rPr>
        <w:t>同时出现两种以上不一致的，按照前款规定的顺序修正。修正后的报价按照第</w:t>
      </w:r>
      <w:r>
        <w:rPr>
          <w:rFonts w:hint="eastAsia" w:ascii="Arial" w:hAnsi="Arial" w:eastAsia="宋体" w:cs="Arial"/>
          <w:color w:val="auto"/>
          <w:sz w:val="24"/>
          <w:highlight w:val="none"/>
          <w:lang w:val="en-US" w:eastAsia="zh-CN"/>
        </w:rPr>
        <w:t>21.1、21.2</w:t>
      </w:r>
      <w:r>
        <w:rPr>
          <w:rFonts w:ascii="Arial" w:hAnsi="Arial" w:eastAsia="宋体" w:cs="Arial"/>
          <w:color w:val="auto"/>
          <w:sz w:val="24"/>
          <w:highlight w:val="none"/>
        </w:rPr>
        <w:t>条的规定经</w:t>
      </w:r>
      <w:r>
        <w:rPr>
          <w:rFonts w:hint="eastAsia" w:ascii="Arial" w:hAnsi="Arial" w:eastAsia="宋体" w:cs="Arial"/>
          <w:color w:val="auto"/>
          <w:sz w:val="24"/>
          <w:highlight w:val="none"/>
          <w:lang w:val="en-US" w:eastAsia="zh-CN"/>
        </w:rPr>
        <w:t>供应商</w:t>
      </w:r>
      <w:r>
        <w:rPr>
          <w:rFonts w:ascii="Arial" w:hAnsi="Arial" w:eastAsia="宋体" w:cs="Arial"/>
          <w:color w:val="auto"/>
          <w:sz w:val="24"/>
          <w:highlight w:val="none"/>
        </w:rPr>
        <w:t>确认后产生约束力，</w:t>
      </w:r>
      <w:r>
        <w:rPr>
          <w:rFonts w:hint="eastAsia" w:ascii="Arial" w:hAnsi="Arial" w:eastAsia="宋体" w:cs="Arial"/>
          <w:color w:val="auto"/>
          <w:sz w:val="24"/>
          <w:highlight w:val="none"/>
          <w:lang w:val="en-US" w:eastAsia="zh-CN"/>
        </w:rPr>
        <w:t>供应商</w:t>
      </w:r>
      <w:r>
        <w:rPr>
          <w:rFonts w:ascii="Arial" w:hAnsi="Arial" w:eastAsia="宋体" w:cs="Arial"/>
          <w:color w:val="auto"/>
          <w:sz w:val="24"/>
          <w:highlight w:val="none"/>
        </w:rPr>
        <w:t>不确认的，其</w:t>
      </w:r>
      <w:r>
        <w:rPr>
          <w:rFonts w:hint="eastAsia" w:ascii="Arial" w:hAnsi="Arial" w:eastAsia="宋体" w:cs="Arial"/>
          <w:color w:val="auto"/>
          <w:sz w:val="24"/>
          <w:highlight w:val="none"/>
          <w:lang w:val="en-US" w:eastAsia="zh-CN"/>
        </w:rPr>
        <w:t>响应</w:t>
      </w:r>
      <w:r>
        <w:rPr>
          <w:rFonts w:ascii="Arial" w:hAnsi="Arial" w:eastAsia="宋体" w:cs="Arial"/>
          <w:color w:val="auto"/>
          <w:sz w:val="24"/>
          <w:highlight w:val="none"/>
        </w:rPr>
        <w:t>将被认定为</w:t>
      </w:r>
      <w:r>
        <w:rPr>
          <w:rFonts w:hint="eastAsia" w:ascii="Arial" w:hAnsi="Arial" w:eastAsia="宋体" w:cs="Arial"/>
          <w:b/>
          <w:color w:val="auto"/>
          <w:sz w:val="24"/>
          <w:highlight w:val="none"/>
          <w:lang w:val="en-US" w:eastAsia="zh-CN"/>
        </w:rPr>
        <w:t>响应</w:t>
      </w:r>
      <w:r>
        <w:rPr>
          <w:rFonts w:ascii="Arial" w:hAnsi="Arial" w:eastAsia="宋体" w:cs="Arial"/>
          <w:b/>
          <w:color w:val="auto"/>
          <w:sz w:val="24"/>
          <w:highlight w:val="none"/>
        </w:rPr>
        <w:t>无效</w:t>
      </w:r>
      <w:r>
        <w:rPr>
          <w:rFonts w:ascii="Arial" w:hAnsi="Arial" w:eastAsia="宋体" w:cs="Arial"/>
          <w:color w:val="auto"/>
          <w:sz w:val="24"/>
          <w:highlight w:val="none"/>
        </w:rPr>
        <w:t>。</w:t>
      </w:r>
    </w:p>
    <w:p w14:paraId="62343EA4">
      <w:pPr>
        <w:spacing w:line="360" w:lineRule="auto"/>
        <w:ind w:firstLine="437"/>
        <w:jc w:val="left"/>
        <w:outlineLvl w:val="3"/>
        <w:rPr>
          <w:rFonts w:ascii="宋体" w:hAnsi="宋体" w:eastAsia="宋体"/>
          <w:b/>
          <w:color w:val="auto"/>
          <w:sz w:val="24"/>
          <w:highlight w:val="none"/>
        </w:rPr>
      </w:pPr>
      <w:r>
        <w:rPr>
          <w:rFonts w:ascii="宋体" w:hAnsi="宋体" w:eastAsia="宋体"/>
          <w:b/>
          <w:color w:val="auto"/>
          <w:sz w:val="24"/>
          <w:highlight w:val="none"/>
        </w:rPr>
        <w:t>2</w:t>
      </w:r>
      <w:r>
        <w:rPr>
          <w:rFonts w:hint="eastAsia" w:ascii="宋体" w:hAnsi="宋体" w:eastAsia="宋体"/>
          <w:b/>
          <w:color w:val="auto"/>
          <w:sz w:val="24"/>
          <w:highlight w:val="none"/>
        </w:rPr>
        <w:t>2</w:t>
      </w:r>
      <w:r>
        <w:rPr>
          <w:rFonts w:ascii="宋体" w:hAnsi="宋体" w:eastAsia="宋体"/>
          <w:b/>
          <w:color w:val="auto"/>
          <w:sz w:val="24"/>
          <w:highlight w:val="none"/>
        </w:rPr>
        <w:t>.最后报价</w:t>
      </w:r>
    </w:p>
    <w:p w14:paraId="79F2A5BA">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22.1</w:t>
      </w:r>
      <w:r>
        <w:rPr>
          <w:rFonts w:hint="eastAsia" w:ascii="宋体" w:hAnsi="宋体" w:eastAsia="宋体"/>
          <w:color w:val="auto"/>
          <w:sz w:val="24"/>
          <w:highlight w:val="none"/>
          <w:lang w:val="en-US" w:eastAsia="zh-CN"/>
        </w:rPr>
        <w:t>磋商</w:t>
      </w:r>
      <w:r>
        <w:rPr>
          <w:rFonts w:ascii="宋体" w:hAnsi="宋体" w:eastAsia="宋体"/>
          <w:color w:val="auto"/>
          <w:sz w:val="24"/>
          <w:highlight w:val="none"/>
        </w:rPr>
        <w:t>并不限定只进行二轮报价，如果</w:t>
      </w:r>
      <w:r>
        <w:rPr>
          <w:rFonts w:hint="eastAsia" w:ascii="宋体" w:hAnsi="宋体" w:eastAsia="宋体"/>
          <w:color w:val="auto"/>
          <w:sz w:val="24"/>
          <w:highlight w:val="none"/>
          <w:lang w:val="en-US" w:eastAsia="zh-CN"/>
        </w:rPr>
        <w:t>磋商</w:t>
      </w:r>
      <w:r>
        <w:rPr>
          <w:rFonts w:ascii="宋体" w:hAnsi="宋体" w:eastAsia="宋体"/>
          <w:color w:val="auto"/>
          <w:sz w:val="24"/>
          <w:highlight w:val="none"/>
        </w:rPr>
        <w:t>小组认为有必要，可以要求供应商进行多轮报价。</w:t>
      </w:r>
    </w:p>
    <w:p w14:paraId="49DCEB77">
      <w:pPr>
        <w:spacing w:line="360" w:lineRule="auto"/>
        <w:ind w:firstLine="435"/>
        <w:jc w:val="left"/>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22.2最后报价的格式详见“第六章 响应文件格式”。供应商在接到报价通知后依据磋商情况填写,最后报价必须按照磋商文件规定的格式填写完整内容，并在规定时间内上传，否则视为该供应商放弃磋商的权利，该供应商不参与后续磋商、评审，不参与成交候选供应商推荐</w:t>
      </w:r>
      <w:r>
        <w:rPr>
          <w:rFonts w:hint="eastAsia" w:ascii="宋体" w:hAnsi="宋体" w:eastAsia="宋体"/>
          <w:color w:val="auto"/>
          <w:sz w:val="24"/>
          <w:highlight w:val="none"/>
        </w:rPr>
        <w:t>。</w:t>
      </w:r>
    </w:p>
    <w:p w14:paraId="18D53C74">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22.</w:t>
      </w:r>
      <w:r>
        <w:rPr>
          <w:rFonts w:hint="eastAsia" w:ascii="宋体" w:hAnsi="宋体" w:eastAsia="宋体"/>
          <w:color w:val="auto"/>
          <w:sz w:val="24"/>
          <w:highlight w:val="none"/>
          <w:lang w:val="en-US" w:eastAsia="zh-CN"/>
        </w:rPr>
        <w:t>3</w:t>
      </w:r>
      <w:r>
        <w:rPr>
          <w:rFonts w:hint="eastAsia" w:ascii="宋体" w:hAnsi="宋体" w:eastAsia="宋体"/>
          <w:color w:val="auto"/>
          <w:sz w:val="24"/>
          <w:highlight w:val="none"/>
        </w:rPr>
        <w:t>最</w:t>
      </w:r>
      <w:r>
        <w:rPr>
          <w:rFonts w:hint="eastAsia" w:ascii="宋体" w:hAnsi="宋体" w:eastAsia="宋体"/>
          <w:color w:val="auto"/>
          <w:sz w:val="24"/>
          <w:highlight w:val="none"/>
          <w:lang w:val="en-US" w:eastAsia="zh-CN"/>
        </w:rPr>
        <w:t>后</w:t>
      </w:r>
      <w:r>
        <w:rPr>
          <w:rFonts w:ascii="宋体" w:hAnsi="宋体" w:eastAsia="宋体"/>
          <w:color w:val="auto"/>
          <w:sz w:val="24"/>
          <w:highlight w:val="none"/>
        </w:rPr>
        <w:t>报价是供应商响应文件的有效组成部分，</w:t>
      </w:r>
      <w:r>
        <w:rPr>
          <w:rFonts w:hint="eastAsia" w:ascii="宋体" w:hAnsi="宋体" w:eastAsia="宋体"/>
          <w:color w:val="auto"/>
          <w:sz w:val="24"/>
          <w:highlight w:val="none"/>
        </w:rPr>
        <w:t>最</w:t>
      </w:r>
      <w:r>
        <w:rPr>
          <w:rFonts w:hint="eastAsia" w:ascii="宋体" w:hAnsi="宋体" w:eastAsia="宋体"/>
          <w:color w:val="auto"/>
          <w:sz w:val="24"/>
          <w:highlight w:val="none"/>
          <w:lang w:val="en-US" w:eastAsia="zh-CN"/>
        </w:rPr>
        <w:t>后</w:t>
      </w:r>
      <w:r>
        <w:rPr>
          <w:rFonts w:ascii="宋体" w:hAnsi="宋体" w:eastAsia="宋体"/>
          <w:color w:val="auto"/>
          <w:sz w:val="24"/>
          <w:highlight w:val="none"/>
        </w:rPr>
        <w:t>报价也是签订合同的依据。</w:t>
      </w:r>
    </w:p>
    <w:p w14:paraId="03984A36">
      <w:pPr>
        <w:spacing w:line="360" w:lineRule="auto"/>
        <w:ind w:firstLine="435"/>
        <w:jc w:val="left"/>
        <w:rPr>
          <w:rFonts w:ascii="宋体" w:hAnsi="宋体" w:eastAsia="宋体"/>
          <w:color w:val="auto"/>
          <w:sz w:val="24"/>
          <w:highlight w:val="none"/>
        </w:rPr>
      </w:pPr>
      <w:r>
        <w:rPr>
          <w:rFonts w:ascii="宋体" w:hAnsi="宋体" w:eastAsia="宋体"/>
          <w:color w:val="auto"/>
          <w:sz w:val="24"/>
          <w:highlight w:val="none"/>
        </w:rPr>
        <w:t>22</w:t>
      </w:r>
      <w:r>
        <w:rPr>
          <w:rFonts w:hint="eastAsia" w:ascii="宋体" w:hAnsi="宋体" w:eastAsia="宋体"/>
          <w:color w:val="auto"/>
          <w:sz w:val="24"/>
          <w:highlight w:val="none"/>
        </w:rPr>
        <w:t>.</w:t>
      </w:r>
      <w:r>
        <w:rPr>
          <w:rFonts w:hint="eastAsia" w:ascii="宋体" w:hAnsi="宋体" w:eastAsia="宋体"/>
          <w:color w:val="auto"/>
          <w:sz w:val="24"/>
          <w:highlight w:val="none"/>
          <w:lang w:val="en-US" w:eastAsia="zh-CN"/>
        </w:rPr>
        <w:t>4非专门面向中小企业采购项目，</w:t>
      </w:r>
      <w:r>
        <w:rPr>
          <w:rFonts w:ascii="宋体" w:hAnsi="宋体" w:eastAsia="宋体"/>
          <w:color w:val="auto"/>
          <w:sz w:val="24"/>
          <w:highlight w:val="none"/>
        </w:rPr>
        <w:t>根据《政府采购促进中小企业发展管理办法》（财库〔2020〕46号）、《财政部 司法部关于政府采购支持监狱企业发展有关问题的通知》（财库〔2014〕68号）和《三部门联合发布关于促进残疾人就业政府采购政策的通知》（财库〔2017〕141号）的规定，对满足价格扣除条件且在响应文件中提交了《中小企业声明函》、《残疾人福利性单位声明函》或省级以上监狱管理局、戒毒管理局（含新疆生产建设兵团）出具的属于监狱企业的证明文件的供应商，其最后报价按照供应商须知前附表中规定的标准扣除后的价格参与评审。对于同时属于小微企</w:t>
      </w:r>
      <w:r>
        <w:rPr>
          <w:rFonts w:hint="eastAsia" w:ascii="宋体" w:hAnsi="宋体" w:eastAsia="宋体"/>
          <w:color w:val="auto"/>
          <w:sz w:val="24"/>
          <w:highlight w:val="none"/>
        </w:rPr>
        <w:t>业、监狱企业或残疾人福利性单位的，不重复进行最后报价扣除。</w:t>
      </w:r>
    </w:p>
    <w:p w14:paraId="02306404">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接受大中型企业与小微企业组成联合体或者允许大中型企业向一家或者多家小微企业分包的，对于联合协议或者分包意向协议约定小微企业的合同份额占到合同总金额</w:t>
      </w:r>
      <w:r>
        <w:rPr>
          <w:rFonts w:ascii="宋体" w:hAnsi="宋体" w:eastAsia="宋体"/>
          <w:color w:val="auto"/>
          <w:sz w:val="24"/>
          <w:highlight w:val="none"/>
        </w:rPr>
        <w:t>30%以上的，可给予联合体或者大中型企业的最后报价按照供应商须知前附表中规定的标准扣除后的价格参与评审。组成联合体或者接受分包的小微企业与联合体内其他企业、分包企业之间存在直接控股、管理关系的，不享受价格扣除优惠政策。</w:t>
      </w:r>
    </w:p>
    <w:p w14:paraId="60ACD348">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以联合体形式参加政府采购活动，联合体各方均为中小企业的，联合体视同中小企业。其中，联合体各方均为小微企业的，联合体视同小微企业。</w:t>
      </w:r>
    </w:p>
    <w:p w14:paraId="529BFAC7">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ascii="宋体" w:hAnsi="宋体" w:eastAsia="宋体"/>
          <w:b/>
          <w:color w:val="auto"/>
          <w:sz w:val="24"/>
          <w:highlight w:val="none"/>
        </w:rPr>
        <w:t>23.</w:t>
      </w:r>
      <w:r>
        <w:rPr>
          <w:rFonts w:hint="eastAsia" w:ascii="宋体" w:hAnsi="宋体" w:eastAsia="宋体"/>
          <w:b/>
          <w:color w:val="auto"/>
          <w:sz w:val="24"/>
          <w:highlight w:val="none"/>
        </w:rPr>
        <w:t>成交候选供应商的推荐原则及标准</w:t>
      </w:r>
    </w:p>
    <w:p w14:paraId="66E836A0">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23.1</w:t>
      </w:r>
      <w:r>
        <w:rPr>
          <w:rFonts w:hint="eastAsia" w:ascii="宋体" w:hAnsi="宋体" w:eastAsia="宋体"/>
          <w:color w:val="auto"/>
          <w:sz w:val="24"/>
          <w:highlight w:val="none"/>
        </w:rPr>
        <w:t>磋商小组</w:t>
      </w:r>
      <w:r>
        <w:rPr>
          <w:rFonts w:ascii="宋体" w:hAnsi="宋体" w:eastAsia="宋体"/>
          <w:color w:val="auto"/>
          <w:sz w:val="24"/>
          <w:highlight w:val="none"/>
        </w:rPr>
        <w:t>依据本项目</w:t>
      </w:r>
      <w:r>
        <w:rPr>
          <w:rFonts w:hint="eastAsia" w:ascii="宋体" w:hAnsi="宋体" w:eastAsia="宋体"/>
          <w:color w:val="auto"/>
          <w:sz w:val="24"/>
          <w:highlight w:val="none"/>
        </w:rPr>
        <w:t>磋商</w:t>
      </w:r>
      <w:r>
        <w:rPr>
          <w:rFonts w:ascii="宋体" w:hAnsi="宋体" w:eastAsia="宋体"/>
          <w:color w:val="auto"/>
          <w:sz w:val="24"/>
          <w:highlight w:val="none"/>
        </w:rPr>
        <w:t>文件所约定的</w:t>
      </w:r>
      <w:r>
        <w:rPr>
          <w:rFonts w:hint="eastAsia" w:ascii="宋体" w:hAnsi="宋体" w:eastAsia="宋体"/>
          <w:color w:val="auto"/>
          <w:sz w:val="24"/>
          <w:highlight w:val="none"/>
        </w:rPr>
        <w:t>评审</w:t>
      </w:r>
      <w:r>
        <w:rPr>
          <w:rFonts w:ascii="宋体" w:hAnsi="宋体" w:eastAsia="宋体"/>
          <w:color w:val="auto"/>
          <w:sz w:val="24"/>
          <w:highlight w:val="none"/>
        </w:rPr>
        <w:t>方法</w:t>
      </w:r>
      <w:r>
        <w:rPr>
          <w:rFonts w:hint="eastAsia" w:ascii="宋体" w:hAnsi="宋体" w:eastAsia="宋体"/>
          <w:color w:val="auto"/>
          <w:sz w:val="24"/>
          <w:highlight w:val="none"/>
        </w:rPr>
        <w:t>和标准</w:t>
      </w:r>
      <w:r>
        <w:rPr>
          <w:rFonts w:ascii="宋体" w:hAnsi="宋体" w:eastAsia="宋体"/>
          <w:color w:val="auto"/>
          <w:sz w:val="24"/>
          <w:highlight w:val="none"/>
        </w:rPr>
        <w:t>，</w:t>
      </w:r>
      <w:r>
        <w:rPr>
          <w:rFonts w:hint="eastAsia" w:ascii="宋体" w:hAnsi="宋体" w:eastAsia="宋体"/>
          <w:color w:val="auto"/>
          <w:sz w:val="24"/>
          <w:highlight w:val="none"/>
        </w:rPr>
        <w:t>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14:paraId="2A5D35DD">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ascii="宋体" w:hAnsi="宋体" w:eastAsia="宋体"/>
          <w:b/>
          <w:color w:val="auto"/>
          <w:sz w:val="24"/>
          <w:highlight w:val="none"/>
        </w:rPr>
        <w:t>2</w:t>
      </w:r>
      <w:r>
        <w:rPr>
          <w:rFonts w:hint="eastAsia" w:ascii="宋体" w:hAnsi="宋体" w:eastAsia="宋体"/>
          <w:b/>
          <w:color w:val="auto"/>
          <w:sz w:val="24"/>
          <w:highlight w:val="none"/>
        </w:rPr>
        <w:t>4</w:t>
      </w:r>
      <w:r>
        <w:rPr>
          <w:rFonts w:ascii="宋体" w:hAnsi="宋体" w:eastAsia="宋体"/>
          <w:b/>
          <w:color w:val="auto"/>
          <w:sz w:val="24"/>
          <w:highlight w:val="none"/>
        </w:rPr>
        <w:t>.</w:t>
      </w:r>
      <w:r>
        <w:rPr>
          <w:rFonts w:hint="eastAsia" w:ascii="宋体" w:hAnsi="宋体" w:eastAsia="宋体"/>
          <w:b/>
          <w:color w:val="auto"/>
          <w:sz w:val="24"/>
          <w:highlight w:val="none"/>
        </w:rPr>
        <w:t>确定成交候选供应商和成交供应商</w:t>
      </w:r>
    </w:p>
    <w:p w14:paraId="06D39EAB">
      <w:pPr>
        <w:keepNext w:val="0"/>
        <w:keepLines w:val="0"/>
        <w:pageBreakBefore w:val="0"/>
        <w:kinsoku/>
        <w:wordWrap w:val="0"/>
        <w:overflowPunct/>
        <w:topLinePunct w:val="0"/>
        <w:bidi w:val="0"/>
        <w:spacing w:line="440" w:lineRule="exact"/>
        <w:ind w:firstLine="470" w:firstLineChars="196"/>
        <w:jc w:val="left"/>
        <w:textAlignment w:val="auto"/>
        <w:rPr>
          <w:rFonts w:ascii="宋体" w:hAnsi="宋体" w:eastAsia="宋体"/>
          <w:color w:val="auto"/>
          <w:sz w:val="24"/>
          <w:highlight w:val="none"/>
        </w:rPr>
      </w:pPr>
      <w:r>
        <w:rPr>
          <w:rFonts w:hint="eastAsia" w:ascii="宋体" w:hAnsi="宋体" w:eastAsia="宋体"/>
          <w:color w:val="auto"/>
          <w:sz w:val="24"/>
          <w:highlight w:val="none"/>
        </w:rPr>
        <w:t>24.1磋商小组根据综合评分的结果和供应商</w:t>
      </w:r>
      <w:r>
        <w:rPr>
          <w:rFonts w:ascii="宋体" w:hAnsi="宋体" w:eastAsia="宋体"/>
          <w:color w:val="auto"/>
          <w:sz w:val="24"/>
          <w:highlight w:val="none"/>
        </w:rPr>
        <w:t>须知前附表中规定</w:t>
      </w:r>
      <w:r>
        <w:rPr>
          <w:rFonts w:hint="eastAsia" w:ascii="宋体" w:hAnsi="宋体" w:eastAsia="宋体"/>
          <w:color w:val="auto"/>
          <w:sz w:val="24"/>
          <w:highlight w:val="none"/>
        </w:rPr>
        <w:t>确定成交候选供应商，并标明排列顺序。排名第一的成交候选供应商经采购人或采购人授权的磋商小组确定为成交供应商后，由</w:t>
      </w:r>
      <w:r>
        <w:rPr>
          <w:rFonts w:ascii="宋体" w:hAnsi="宋体" w:eastAsia="宋体"/>
          <w:color w:val="auto"/>
          <w:sz w:val="24"/>
          <w:highlight w:val="none"/>
        </w:rPr>
        <w:t>采购代理机构</w:t>
      </w:r>
      <w:r>
        <w:rPr>
          <w:rFonts w:hint="eastAsia" w:ascii="宋体" w:hAnsi="宋体" w:eastAsia="宋体"/>
          <w:color w:val="auto"/>
          <w:sz w:val="24"/>
          <w:highlight w:val="none"/>
        </w:rPr>
        <w:t>在</w:t>
      </w:r>
      <w:r>
        <w:rPr>
          <w:rFonts w:hint="eastAsia" w:ascii="宋体" w:hAnsi="宋体" w:eastAsia="宋体"/>
          <w:color w:val="auto"/>
          <w:sz w:val="24"/>
          <w:highlight w:val="none"/>
          <w:lang w:val="en-US" w:eastAsia="zh-CN"/>
        </w:rPr>
        <w:t>相关</w:t>
      </w:r>
      <w:r>
        <w:rPr>
          <w:rFonts w:hint="eastAsia" w:ascii="宋体" w:hAnsi="宋体" w:eastAsia="宋体"/>
          <w:color w:val="auto"/>
          <w:sz w:val="24"/>
          <w:highlight w:val="none"/>
        </w:rPr>
        <w:t>媒体上予以公告。</w:t>
      </w:r>
    </w:p>
    <w:p w14:paraId="5F24B32A">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ascii="宋体" w:hAnsi="宋体" w:eastAsia="宋体"/>
          <w:b/>
          <w:color w:val="auto"/>
          <w:sz w:val="24"/>
          <w:highlight w:val="none"/>
        </w:rPr>
        <w:t>2</w:t>
      </w:r>
      <w:r>
        <w:rPr>
          <w:rFonts w:hint="eastAsia" w:ascii="宋体" w:hAnsi="宋体" w:eastAsia="宋体"/>
          <w:b/>
          <w:color w:val="auto"/>
          <w:sz w:val="24"/>
          <w:highlight w:val="none"/>
        </w:rPr>
        <w:t>5</w:t>
      </w:r>
      <w:r>
        <w:rPr>
          <w:rFonts w:ascii="宋体" w:hAnsi="宋体" w:eastAsia="宋体"/>
          <w:b/>
          <w:color w:val="auto"/>
          <w:sz w:val="24"/>
          <w:highlight w:val="none"/>
        </w:rPr>
        <w:t>.编写评审报告</w:t>
      </w:r>
    </w:p>
    <w:p w14:paraId="66A8DD2A">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25.1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14:paraId="77F94C87">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26</w:t>
      </w:r>
      <w:r>
        <w:rPr>
          <w:rFonts w:ascii="宋体" w:hAnsi="宋体" w:eastAsia="宋体"/>
          <w:b/>
          <w:color w:val="auto"/>
          <w:sz w:val="24"/>
          <w:highlight w:val="none"/>
        </w:rPr>
        <w:t>.</w:t>
      </w:r>
      <w:r>
        <w:rPr>
          <w:rFonts w:hint="eastAsia" w:ascii="宋体" w:hAnsi="宋体" w:eastAsia="宋体"/>
          <w:b/>
          <w:color w:val="auto"/>
          <w:sz w:val="24"/>
          <w:highlight w:val="none"/>
        </w:rPr>
        <w:t>保密要求</w:t>
      </w:r>
    </w:p>
    <w:p w14:paraId="3C7C7597">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6.1评审将在严格保密的情况下进行。</w:t>
      </w:r>
    </w:p>
    <w:p w14:paraId="642F5FBD">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6.2有关人员</w:t>
      </w:r>
      <w:r>
        <w:rPr>
          <w:rFonts w:ascii="宋体" w:hAnsi="宋体" w:eastAsia="宋体"/>
          <w:color w:val="auto"/>
          <w:sz w:val="24"/>
          <w:highlight w:val="none"/>
        </w:rPr>
        <w:t>应当</w:t>
      </w:r>
      <w:r>
        <w:rPr>
          <w:rFonts w:hint="eastAsia" w:ascii="宋体" w:hAnsi="宋体" w:eastAsia="宋体"/>
          <w:color w:val="auto"/>
          <w:sz w:val="24"/>
          <w:highlight w:val="none"/>
        </w:rPr>
        <w:t>遵</w:t>
      </w:r>
      <w:r>
        <w:rPr>
          <w:rFonts w:ascii="宋体" w:hAnsi="宋体" w:eastAsia="宋体"/>
          <w:color w:val="auto"/>
          <w:sz w:val="24"/>
          <w:highlight w:val="none"/>
        </w:rPr>
        <w:t>守</w:t>
      </w:r>
      <w:r>
        <w:rPr>
          <w:rFonts w:hint="eastAsia" w:ascii="宋体" w:hAnsi="宋体" w:eastAsia="宋体"/>
          <w:color w:val="auto"/>
          <w:sz w:val="24"/>
          <w:highlight w:val="none"/>
        </w:rPr>
        <w:t>评审</w:t>
      </w:r>
      <w:r>
        <w:rPr>
          <w:rFonts w:ascii="宋体" w:hAnsi="宋体" w:eastAsia="宋体"/>
          <w:color w:val="auto"/>
          <w:sz w:val="24"/>
          <w:highlight w:val="none"/>
        </w:rPr>
        <w:t>工作纪律，不得</w:t>
      </w:r>
      <w:r>
        <w:rPr>
          <w:rFonts w:hint="eastAsia" w:ascii="宋体" w:hAnsi="宋体" w:eastAsia="宋体"/>
          <w:color w:val="auto"/>
          <w:sz w:val="24"/>
          <w:highlight w:val="none"/>
        </w:rPr>
        <w:t>泄露评审文件</w:t>
      </w:r>
      <w:r>
        <w:rPr>
          <w:rFonts w:ascii="宋体" w:hAnsi="宋体" w:eastAsia="宋体"/>
          <w:color w:val="auto"/>
          <w:sz w:val="24"/>
          <w:highlight w:val="none"/>
        </w:rPr>
        <w:t>、</w:t>
      </w:r>
      <w:r>
        <w:rPr>
          <w:rFonts w:hint="eastAsia" w:ascii="宋体" w:hAnsi="宋体" w:eastAsia="宋体"/>
          <w:color w:val="auto"/>
          <w:sz w:val="24"/>
          <w:highlight w:val="none"/>
        </w:rPr>
        <w:t>评审</w:t>
      </w:r>
      <w:r>
        <w:rPr>
          <w:rFonts w:ascii="宋体" w:hAnsi="宋体" w:eastAsia="宋体"/>
          <w:color w:val="auto"/>
          <w:sz w:val="24"/>
          <w:highlight w:val="none"/>
        </w:rPr>
        <w:t>情况和</w:t>
      </w:r>
      <w:r>
        <w:rPr>
          <w:rFonts w:hint="eastAsia" w:ascii="宋体" w:hAnsi="宋体" w:eastAsia="宋体"/>
          <w:color w:val="auto"/>
          <w:sz w:val="24"/>
          <w:highlight w:val="none"/>
        </w:rPr>
        <w:t>评审</w:t>
      </w:r>
      <w:r>
        <w:rPr>
          <w:rFonts w:ascii="宋体" w:hAnsi="宋体" w:eastAsia="宋体"/>
          <w:color w:val="auto"/>
          <w:sz w:val="24"/>
          <w:highlight w:val="none"/>
        </w:rPr>
        <w:t>中获悉的</w:t>
      </w:r>
      <w:r>
        <w:rPr>
          <w:rFonts w:hint="eastAsia" w:ascii="宋体" w:hAnsi="宋体" w:eastAsia="宋体"/>
          <w:color w:val="auto"/>
          <w:sz w:val="24"/>
          <w:highlight w:val="none"/>
        </w:rPr>
        <w:t>国家秘密、</w:t>
      </w:r>
      <w:r>
        <w:rPr>
          <w:rFonts w:ascii="宋体" w:hAnsi="宋体" w:eastAsia="宋体"/>
          <w:color w:val="auto"/>
          <w:sz w:val="24"/>
          <w:highlight w:val="none"/>
        </w:rPr>
        <w:t>商业秘密。</w:t>
      </w:r>
    </w:p>
    <w:p w14:paraId="6F064C61">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ascii="宋体" w:hAnsi="宋体" w:eastAsia="宋体"/>
          <w:b/>
          <w:color w:val="auto"/>
          <w:sz w:val="24"/>
          <w:highlight w:val="none"/>
        </w:rPr>
        <w:t>2</w:t>
      </w:r>
      <w:r>
        <w:rPr>
          <w:rFonts w:hint="eastAsia" w:ascii="宋体" w:hAnsi="宋体" w:eastAsia="宋体"/>
          <w:b/>
          <w:color w:val="auto"/>
          <w:sz w:val="24"/>
          <w:highlight w:val="none"/>
        </w:rPr>
        <w:t>7</w:t>
      </w:r>
      <w:r>
        <w:rPr>
          <w:rFonts w:ascii="宋体" w:hAnsi="宋体" w:eastAsia="宋体"/>
          <w:b/>
          <w:color w:val="auto"/>
          <w:sz w:val="24"/>
          <w:highlight w:val="none"/>
        </w:rPr>
        <w:t>.成交结果公告</w:t>
      </w:r>
    </w:p>
    <w:p w14:paraId="2B4B51D5">
      <w:pPr>
        <w:keepNext w:val="0"/>
        <w:keepLines w:val="0"/>
        <w:pageBreakBefore w:val="0"/>
        <w:kinsoku/>
        <w:wordWrap w:val="0"/>
        <w:overflowPunct/>
        <w:topLinePunct w:val="0"/>
        <w:bidi w:val="0"/>
        <w:snapToGrid w:val="0"/>
        <w:spacing w:line="440" w:lineRule="exact"/>
        <w:ind w:firstLine="480" w:firstLineChars="200"/>
        <w:jc w:val="left"/>
        <w:textAlignment w:val="auto"/>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7</w:t>
      </w:r>
      <w:r>
        <w:rPr>
          <w:rFonts w:ascii="宋体" w:hAnsi="宋体" w:eastAsia="宋体"/>
          <w:color w:val="auto"/>
          <w:sz w:val="24"/>
          <w:highlight w:val="none"/>
        </w:rPr>
        <w:t>.1为体现“公开、公平、公正”的原则，磋商结束后，</w:t>
      </w:r>
      <w:r>
        <w:rPr>
          <w:rFonts w:hint="eastAsia" w:ascii="宋体" w:hAnsi="宋体" w:eastAsia="宋体"/>
          <w:color w:val="auto"/>
          <w:sz w:val="24"/>
          <w:highlight w:val="none"/>
        </w:rPr>
        <w:t>采购代理机构将在</w:t>
      </w:r>
      <w:r>
        <w:rPr>
          <w:rFonts w:hint="eastAsia" w:ascii="宋体" w:hAnsi="宋体" w:eastAsia="宋体"/>
          <w:color w:val="auto"/>
          <w:sz w:val="24"/>
          <w:highlight w:val="none"/>
          <w:lang w:eastAsia="zh-CN"/>
        </w:rPr>
        <w:t>磋商公告发布的同一媒介</w:t>
      </w:r>
      <w:r>
        <w:rPr>
          <w:rFonts w:ascii="宋体" w:hAnsi="宋体" w:eastAsia="宋体"/>
          <w:color w:val="auto"/>
          <w:sz w:val="24"/>
          <w:highlight w:val="none"/>
        </w:rPr>
        <w:t>上发布成交结果公告。</w:t>
      </w:r>
    </w:p>
    <w:p w14:paraId="25C9C871">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7</w:t>
      </w:r>
      <w:r>
        <w:rPr>
          <w:rFonts w:ascii="宋体" w:hAnsi="宋体" w:eastAsia="宋体"/>
          <w:color w:val="auto"/>
          <w:sz w:val="24"/>
          <w:highlight w:val="none"/>
        </w:rPr>
        <w:t>.2成交结果公告内容应当包括采购人及其委托的采购代理机构的名称、地址、联系方式，项目名称和项目编号，成交供应商名称、地址和成交金额，成交结果公告期限以及</w:t>
      </w:r>
      <w:r>
        <w:rPr>
          <w:rFonts w:hint="eastAsia" w:ascii="宋体" w:hAnsi="宋体" w:eastAsia="宋体"/>
          <w:color w:val="auto"/>
          <w:sz w:val="24"/>
          <w:highlight w:val="none"/>
          <w:u w:val="single"/>
        </w:rPr>
        <w:t>供应商须知前附表</w:t>
      </w:r>
      <w:r>
        <w:rPr>
          <w:rFonts w:ascii="宋体" w:hAnsi="宋体" w:eastAsia="宋体"/>
          <w:color w:val="auto"/>
          <w:sz w:val="24"/>
          <w:highlight w:val="none"/>
        </w:rPr>
        <w:t>中约定进行公告的内容。</w:t>
      </w:r>
    </w:p>
    <w:p w14:paraId="3A8F6227">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ascii="宋体" w:hAnsi="宋体" w:eastAsia="宋体"/>
          <w:b/>
          <w:color w:val="auto"/>
          <w:sz w:val="24"/>
          <w:highlight w:val="none"/>
        </w:rPr>
        <w:t>2</w:t>
      </w:r>
      <w:r>
        <w:rPr>
          <w:rFonts w:hint="eastAsia" w:ascii="宋体" w:hAnsi="宋体" w:eastAsia="宋体"/>
          <w:b/>
          <w:color w:val="auto"/>
          <w:sz w:val="24"/>
          <w:highlight w:val="none"/>
        </w:rPr>
        <w:t>8</w:t>
      </w:r>
      <w:r>
        <w:rPr>
          <w:rFonts w:ascii="宋体" w:hAnsi="宋体" w:eastAsia="宋体"/>
          <w:b/>
          <w:color w:val="auto"/>
          <w:sz w:val="24"/>
          <w:highlight w:val="none"/>
        </w:rPr>
        <w:t>.成交通知书</w:t>
      </w:r>
    </w:p>
    <w:p w14:paraId="068688A1">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8</w:t>
      </w:r>
      <w:r>
        <w:rPr>
          <w:rFonts w:ascii="宋体" w:hAnsi="宋体" w:eastAsia="宋体"/>
          <w:color w:val="auto"/>
          <w:sz w:val="24"/>
          <w:highlight w:val="none"/>
        </w:rPr>
        <w:t>.1采购代理机构发布成交结果公告的同时向成交供应商发出成交通知书。</w:t>
      </w:r>
    </w:p>
    <w:p w14:paraId="7F692C3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8</w:t>
      </w:r>
      <w:r>
        <w:rPr>
          <w:rFonts w:ascii="宋体" w:hAnsi="宋体" w:eastAsia="宋体"/>
          <w:color w:val="auto"/>
          <w:sz w:val="24"/>
          <w:highlight w:val="none"/>
        </w:rPr>
        <w:t>.2成交通知书对采购人和成交供应商具有同等法律效力。成交通知书发出以后，采购人改变成交结果或者成交供应商放弃成交资格，应当承担相应的法律责任。</w:t>
      </w:r>
    </w:p>
    <w:p w14:paraId="0A309C33">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8</w:t>
      </w:r>
      <w:r>
        <w:rPr>
          <w:rFonts w:ascii="宋体" w:hAnsi="宋体" w:eastAsia="宋体"/>
          <w:color w:val="auto"/>
          <w:sz w:val="24"/>
          <w:highlight w:val="none"/>
        </w:rPr>
        <w:t>.3成交通知书是合同的组成部分。</w:t>
      </w:r>
    </w:p>
    <w:p w14:paraId="4DAE1BED">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29</w:t>
      </w:r>
      <w:r>
        <w:rPr>
          <w:rFonts w:ascii="宋体" w:hAnsi="宋体" w:eastAsia="宋体"/>
          <w:b/>
          <w:color w:val="auto"/>
          <w:sz w:val="24"/>
          <w:highlight w:val="none"/>
        </w:rPr>
        <w:t>.告知</w:t>
      </w:r>
      <w:r>
        <w:rPr>
          <w:rFonts w:hint="eastAsia" w:ascii="宋体" w:hAnsi="宋体" w:eastAsia="宋体"/>
          <w:b/>
          <w:color w:val="auto"/>
          <w:sz w:val="24"/>
          <w:highlight w:val="none"/>
        </w:rPr>
        <w:t>磋商</w:t>
      </w:r>
      <w:r>
        <w:rPr>
          <w:rFonts w:ascii="宋体" w:hAnsi="宋体" w:eastAsia="宋体"/>
          <w:b/>
          <w:color w:val="auto"/>
          <w:sz w:val="24"/>
          <w:highlight w:val="none"/>
        </w:rPr>
        <w:t>结果</w:t>
      </w:r>
    </w:p>
    <w:p w14:paraId="0F0E8861">
      <w:pPr>
        <w:keepNext w:val="0"/>
        <w:keepLines w:val="0"/>
        <w:pageBreakBefore w:val="0"/>
        <w:kinsoku/>
        <w:wordWrap w:val="0"/>
        <w:overflowPunct/>
        <w:topLinePunct w:val="0"/>
        <w:bidi w:val="0"/>
        <w:spacing w:line="440" w:lineRule="exact"/>
        <w:ind w:firstLine="480" w:firstLineChars="200"/>
        <w:jc w:val="left"/>
        <w:textAlignment w:val="auto"/>
        <w:rPr>
          <w:rFonts w:ascii="宋体" w:hAnsi="宋体" w:eastAsia="宋体"/>
          <w:color w:val="auto"/>
          <w:sz w:val="24"/>
          <w:highlight w:val="none"/>
        </w:rPr>
      </w:pPr>
      <w:r>
        <w:rPr>
          <w:rFonts w:hint="eastAsia" w:ascii="宋体" w:hAnsi="宋体" w:eastAsia="宋体"/>
          <w:color w:val="auto"/>
          <w:sz w:val="24"/>
          <w:highlight w:val="none"/>
        </w:rPr>
        <w:t>29</w:t>
      </w:r>
      <w:r>
        <w:rPr>
          <w:rFonts w:ascii="宋体" w:hAnsi="宋体" w:eastAsia="宋体"/>
          <w:color w:val="auto"/>
          <w:sz w:val="24"/>
          <w:highlight w:val="none"/>
        </w:rPr>
        <w:t>.1采购代理机构对未成交的供应商不做未成交原因的解释。</w:t>
      </w:r>
    </w:p>
    <w:p w14:paraId="4FFF4C41">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30</w:t>
      </w:r>
      <w:r>
        <w:rPr>
          <w:rFonts w:ascii="宋体" w:hAnsi="宋体" w:eastAsia="宋体"/>
          <w:b/>
          <w:color w:val="auto"/>
          <w:sz w:val="24"/>
          <w:highlight w:val="none"/>
        </w:rPr>
        <w:t>.履约保证金</w:t>
      </w:r>
    </w:p>
    <w:p w14:paraId="35DB78C0">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30</w:t>
      </w:r>
      <w:r>
        <w:rPr>
          <w:rFonts w:ascii="宋体" w:hAnsi="宋体" w:eastAsia="宋体"/>
          <w:color w:val="auto"/>
          <w:sz w:val="24"/>
          <w:highlight w:val="none"/>
        </w:rPr>
        <w:t>.1成交供应商应按照</w:t>
      </w:r>
      <w:r>
        <w:rPr>
          <w:rFonts w:ascii="宋体" w:hAnsi="宋体" w:eastAsia="宋体"/>
          <w:color w:val="auto"/>
          <w:sz w:val="24"/>
          <w:highlight w:val="none"/>
          <w:u w:val="single"/>
        </w:rPr>
        <w:t>供应商须知前附表</w:t>
      </w:r>
      <w:r>
        <w:rPr>
          <w:rFonts w:ascii="宋体" w:hAnsi="宋体" w:eastAsia="宋体"/>
          <w:color w:val="auto"/>
          <w:sz w:val="24"/>
          <w:highlight w:val="none"/>
        </w:rPr>
        <w:t>规定</w:t>
      </w:r>
      <w:r>
        <w:rPr>
          <w:rFonts w:hint="eastAsia" w:ascii="宋体" w:hAnsi="宋体" w:eastAsia="宋体"/>
          <w:color w:val="auto"/>
          <w:sz w:val="24"/>
          <w:highlight w:val="none"/>
        </w:rPr>
        <w:t>缴纳</w:t>
      </w:r>
      <w:r>
        <w:rPr>
          <w:rFonts w:ascii="宋体" w:hAnsi="宋体" w:eastAsia="宋体"/>
          <w:color w:val="auto"/>
          <w:sz w:val="24"/>
          <w:highlight w:val="none"/>
        </w:rPr>
        <w:t>履约保证金。</w:t>
      </w:r>
    </w:p>
    <w:p w14:paraId="3CB08246">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30</w:t>
      </w:r>
      <w:r>
        <w:rPr>
          <w:rFonts w:ascii="宋体" w:hAnsi="宋体" w:eastAsia="宋体"/>
          <w:color w:val="auto"/>
          <w:sz w:val="24"/>
          <w:highlight w:val="none"/>
        </w:rPr>
        <w:t>.2如果成交供应商没有按照上述履约保证金的规定执行，将视为放弃成交资格。在此情况下，采购人可确定下一成交候选供应商为成交供应商，也可以重新开展采购活动。</w:t>
      </w:r>
    </w:p>
    <w:p w14:paraId="02FDF257">
      <w:pPr>
        <w:keepNext w:val="0"/>
        <w:keepLines w:val="0"/>
        <w:pageBreakBefore w:val="0"/>
        <w:kinsoku/>
        <w:wordWrap w:val="0"/>
        <w:overflowPunct/>
        <w:topLinePunct w:val="0"/>
        <w:bidi w:val="0"/>
        <w:spacing w:line="440" w:lineRule="exact"/>
        <w:ind w:firstLine="437"/>
        <w:jc w:val="left"/>
        <w:textAlignment w:val="auto"/>
        <w:outlineLvl w:val="3"/>
        <w:rPr>
          <w:rFonts w:hint="eastAsia" w:ascii="宋体" w:hAnsi="宋体" w:eastAsia="宋体"/>
          <w:b/>
          <w:color w:val="auto"/>
          <w:sz w:val="24"/>
          <w:highlight w:val="none"/>
          <w:lang w:eastAsia="zh-CN"/>
        </w:rPr>
      </w:pPr>
      <w:r>
        <w:rPr>
          <w:rFonts w:hint="eastAsia" w:ascii="宋体" w:hAnsi="宋体" w:eastAsia="宋体"/>
          <w:b/>
          <w:color w:val="auto"/>
          <w:sz w:val="24"/>
          <w:highlight w:val="none"/>
        </w:rPr>
        <w:t>31</w:t>
      </w:r>
      <w:r>
        <w:rPr>
          <w:rFonts w:ascii="宋体" w:hAnsi="宋体" w:eastAsia="宋体"/>
          <w:b/>
          <w:color w:val="auto"/>
          <w:sz w:val="24"/>
          <w:highlight w:val="none"/>
        </w:rPr>
        <w:t>.</w:t>
      </w:r>
      <w:r>
        <w:rPr>
          <w:rFonts w:hint="eastAsia" w:ascii="宋体" w:hAnsi="宋体" w:eastAsia="宋体"/>
          <w:b/>
          <w:color w:val="auto"/>
          <w:sz w:val="24"/>
          <w:highlight w:val="none"/>
          <w:lang w:eastAsia="zh-CN"/>
        </w:rPr>
        <w:t>采购代理服务费</w:t>
      </w:r>
    </w:p>
    <w:p w14:paraId="107D5531">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31</w:t>
      </w:r>
      <w:r>
        <w:rPr>
          <w:rFonts w:ascii="宋体" w:hAnsi="宋体" w:eastAsia="宋体"/>
          <w:color w:val="auto"/>
          <w:sz w:val="24"/>
          <w:highlight w:val="none"/>
        </w:rPr>
        <w:t>.1本项目</w:t>
      </w:r>
      <w:r>
        <w:rPr>
          <w:rFonts w:hint="eastAsia" w:ascii="宋体" w:hAnsi="宋体" w:eastAsia="宋体"/>
          <w:color w:val="auto"/>
          <w:sz w:val="24"/>
          <w:highlight w:val="none"/>
          <w:lang w:eastAsia="zh-CN"/>
        </w:rPr>
        <w:t>采购代理服务费</w:t>
      </w:r>
      <w:r>
        <w:rPr>
          <w:rFonts w:ascii="宋体" w:hAnsi="宋体" w:eastAsia="宋体"/>
          <w:color w:val="auto"/>
          <w:sz w:val="24"/>
          <w:highlight w:val="none"/>
        </w:rPr>
        <w:t>的收取按</w:t>
      </w:r>
      <w:r>
        <w:rPr>
          <w:rFonts w:hint="eastAsia" w:ascii="宋体" w:hAnsi="宋体" w:eastAsia="宋体"/>
          <w:color w:val="auto"/>
          <w:sz w:val="24"/>
          <w:highlight w:val="none"/>
          <w:u w:val="single"/>
        </w:rPr>
        <w:t>供应商</w:t>
      </w:r>
      <w:r>
        <w:rPr>
          <w:rFonts w:ascii="宋体" w:hAnsi="宋体" w:eastAsia="宋体"/>
          <w:color w:val="auto"/>
          <w:sz w:val="24"/>
          <w:highlight w:val="none"/>
          <w:u w:val="single"/>
        </w:rPr>
        <w:t>须知前附表</w:t>
      </w:r>
      <w:r>
        <w:rPr>
          <w:rFonts w:ascii="宋体" w:hAnsi="宋体" w:eastAsia="宋体"/>
          <w:color w:val="auto"/>
          <w:sz w:val="24"/>
          <w:highlight w:val="none"/>
        </w:rPr>
        <w:t>的规定执行。</w:t>
      </w:r>
    </w:p>
    <w:p w14:paraId="4721AE42">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hint="eastAsia" w:ascii="宋体" w:hAnsi="宋体" w:eastAsia="宋体"/>
          <w:b/>
          <w:color w:val="auto"/>
          <w:sz w:val="24"/>
          <w:highlight w:val="none"/>
        </w:rPr>
        <w:t>32</w:t>
      </w:r>
      <w:r>
        <w:rPr>
          <w:rFonts w:ascii="宋体" w:hAnsi="宋体" w:eastAsia="宋体"/>
          <w:b/>
          <w:color w:val="auto"/>
          <w:sz w:val="24"/>
          <w:highlight w:val="none"/>
        </w:rPr>
        <w:t>.签订合同</w:t>
      </w:r>
    </w:p>
    <w:p w14:paraId="789DDC35">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32</w:t>
      </w:r>
      <w:r>
        <w:rPr>
          <w:rFonts w:ascii="宋体" w:hAnsi="宋体" w:eastAsia="宋体"/>
          <w:color w:val="auto"/>
          <w:sz w:val="24"/>
          <w:highlight w:val="none"/>
        </w:rPr>
        <w:t>.1</w:t>
      </w:r>
      <w:r>
        <w:rPr>
          <w:rFonts w:hint="eastAsia" w:ascii="宋体" w:hAnsi="宋体" w:eastAsia="宋体"/>
          <w:color w:val="auto"/>
          <w:sz w:val="24"/>
          <w:highlight w:val="none"/>
        </w:rPr>
        <w:t>采购人与</w:t>
      </w:r>
      <w:r>
        <w:rPr>
          <w:rFonts w:ascii="宋体" w:hAnsi="宋体" w:eastAsia="宋体"/>
          <w:color w:val="auto"/>
          <w:sz w:val="24"/>
          <w:highlight w:val="none"/>
        </w:rPr>
        <w:t>成交供应商应当自发出成交通知书之日起30日内签订合同。</w:t>
      </w:r>
    </w:p>
    <w:p w14:paraId="0550F0D1">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32</w:t>
      </w:r>
      <w:r>
        <w:rPr>
          <w:rFonts w:ascii="宋体" w:hAnsi="宋体" w:eastAsia="宋体"/>
          <w:color w:val="auto"/>
          <w:sz w:val="24"/>
          <w:highlight w:val="none"/>
        </w:rPr>
        <w:t>.2磋商文件、成交供应商的响应文件及其澄清文件等，均为签订合同的依据。</w:t>
      </w:r>
    </w:p>
    <w:p w14:paraId="40D0A3ED">
      <w:pPr>
        <w:keepNext w:val="0"/>
        <w:keepLines w:val="0"/>
        <w:pageBreakBefore w:val="0"/>
        <w:kinsoku/>
        <w:wordWrap w:val="0"/>
        <w:overflowPunct/>
        <w:topLinePunct w:val="0"/>
        <w:bidi w:val="0"/>
        <w:spacing w:line="440" w:lineRule="exact"/>
        <w:ind w:firstLine="470" w:firstLineChars="196"/>
        <w:jc w:val="left"/>
        <w:textAlignment w:val="auto"/>
        <w:rPr>
          <w:rFonts w:ascii="宋体" w:hAnsi="宋体" w:eastAsia="宋体"/>
          <w:color w:val="auto"/>
          <w:sz w:val="24"/>
          <w:highlight w:val="none"/>
        </w:rPr>
      </w:pPr>
      <w:r>
        <w:rPr>
          <w:rFonts w:hint="eastAsia" w:ascii="宋体" w:hAnsi="宋体" w:eastAsia="宋体"/>
          <w:color w:val="auto"/>
          <w:sz w:val="24"/>
          <w:highlight w:val="none"/>
        </w:rPr>
        <w:t>32</w:t>
      </w:r>
      <w:r>
        <w:rPr>
          <w:rFonts w:ascii="宋体" w:hAnsi="宋体" w:eastAsia="宋体"/>
          <w:color w:val="auto"/>
          <w:sz w:val="24"/>
          <w:highlight w:val="none"/>
        </w:rPr>
        <w:t>.3 成交供应商拒绝与采购人签订合同的，采购人可以按照评审报告推荐的成交候选供应商名单排序，确定下一成交候选供应商为成交供应商，也可以重新开展采购活动。</w:t>
      </w:r>
      <w:r>
        <w:rPr>
          <w:rFonts w:hint="eastAsia" w:ascii="宋体" w:hAnsi="宋体" w:eastAsia="宋体"/>
          <w:color w:val="auto"/>
          <w:sz w:val="24"/>
          <w:highlight w:val="none"/>
        </w:rPr>
        <w:t>成交供应商拒绝签订采购合同的不得参加对该项目重新开展的采购活动。</w:t>
      </w:r>
    </w:p>
    <w:p w14:paraId="10AF142F">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ascii="宋体" w:hAnsi="宋体" w:eastAsia="宋体"/>
          <w:b/>
          <w:color w:val="auto"/>
          <w:sz w:val="24"/>
          <w:highlight w:val="none"/>
        </w:rPr>
        <w:t>3</w:t>
      </w:r>
      <w:r>
        <w:rPr>
          <w:rFonts w:hint="eastAsia" w:ascii="宋体" w:hAnsi="宋体" w:eastAsia="宋体"/>
          <w:b/>
          <w:color w:val="auto"/>
          <w:sz w:val="24"/>
          <w:highlight w:val="none"/>
        </w:rPr>
        <w:t>3</w:t>
      </w:r>
      <w:r>
        <w:rPr>
          <w:rFonts w:ascii="宋体" w:hAnsi="宋体" w:eastAsia="宋体"/>
          <w:b/>
          <w:color w:val="auto"/>
          <w:sz w:val="24"/>
          <w:highlight w:val="none"/>
        </w:rPr>
        <w:t>.廉洁自律规定</w:t>
      </w:r>
    </w:p>
    <w:p w14:paraId="0983DC66">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highlight w:val="none"/>
        </w:rPr>
        <w:t>3</w:t>
      </w:r>
      <w:r>
        <w:rPr>
          <w:rFonts w:ascii="宋体" w:hAnsi="宋体" w:eastAsia="宋体"/>
          <w:color w:val="auto"/>
          <w:sz w:val="24"/>
          <w:highlight w:val="none"/>
        </w:rPr>
        <w:t>.1采购代理机构工作人员不得以不正当手段获取采购代理业务，不得与采购人、供应商恶意串通。</w:t>
      </w:r>
    </w:p>
    <w:p w14:paraId="77E1AA6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highlight w:val="none"/>
        </w:rPr>
        <w:t>3</w:t>
      </w:r>
      <w:r>
        <w:rPr>
          <w:rFonts w:ascii="宋体" w:hAnsi="宋体" w:eastAsia="宋体"/>
          <w:color w:val="auto"/>
          <w:sz w:val="24"/>
          <w:highlight w:val="none"/>
        </w:rPr>
        <w:t>.2采购代理机构工作人员不得接受采购人或者供应商组织的宴请、旅游、娱乐，不得收受礼品、现金、有价证券等，不得向采购人或者供应商报销应当由个人承担的费用。</w:t>
      </w:r>
    </w:p>
    <w:p w14:paraId="42D87662">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ascii="宋体" w:hAnsi="宋体" w:eastAsia="宋体"/>
          <w:b/>
          <w:color w:val="auto"/>
          <w:sz w:val="24"/>
          <w:highlight w:val="none"/>
        </w:rPr>
        <w:t>3</w:t>
      </w:r>
      <w:r>
        <w:rPr>
          <w:rFonts w:hint="eastAsia" w:ascii="宋体" w:hAnsi="宋体" w:eastAsia="宋体"/>
          <w:b/>
          <w:color w:val="auto"/>
          <w:sz w:val="24"/>
          <w:highlight w:val="none"/>
        </w:rPr>
        <w:t>4</w:t>
      </w:r>
      <w:r>
        <w:rPr>
          <w:rFonts w:ascii="宋体" w:hAnsi="宋体" w:eastAsia="宋体"/>
          <w:b/>
          <w:color w:val="auto"/>
          <w:sz w:val="24"/>
          <w:highlight w:val="none"/>
        </w:rPr>
        <w:t>.质疑的提出与接收</w:t>
      </w:r>
    </w:p>
    <w:p w14:paraId="1ACF984F">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szCs w:val="22"/>
          <w:highlight w:val="none"/>
        </w:rPr>
      </w:pPr>
      <w:r>
        <w:rPr>
          <w:rFonts w:ascii="宋体" w:hAnsi="宋体" w:eastAsia="宋体"/>
          <w:color w:val="auto"/>
          <w:sz w:val="24"/>
          <w:highlight w:val="none"/>
        </w:rPr>
        <w:t>3</w:t>
      </w:r>
      <w:r>
        <w:rPr>
          <w:rFonts w:hint="eastAsia" w:ascii="宋体" w:hAnsi="宋体" w:eastAsia="宋体"/>
          <w:color w:val="auto"/>
          <w:sz w:val="24"/>
          <w:highlight w:val="none"/>
        </w:rPr>
        <w:t>4</w:t>
      </w:r>
      <w:r>
        <w:rPr>
          <w:rFonts w:ascii="宋体" w:hAnsi="宋体" w:eastAsia="宋体"/>
          <w:color w:val="auto"/>
          <w:sz w:val="24"/>
          <w:highlight w:val="none"/>
        </w:rPr>
        <w:t>.1供应商认为磋商文件、采购过程、成交结果使自己的</w:t>
      </w:r>
      <w:r>
        <w:rPr>
          <w:rFonts w:ascii="宋体" w:hAnsi="宋体" w:eastAsia="宋体"/>
          <w:color w:val="auto"/>
          <w:sz w:val="24"/>
          <w:szCs w:val="22"/>
          <w:highlight w:val="none"/>
        </w:rPr>
        <w:t>权益受到损害的，可以在</w:t>
      </w:r>
      <w:r>
        <w:rPr>
          <w:rFonts w:hint="eastAsia" w:ascii="宋体" w:hAnsi="宋体" w:eastAsia="宋体"/>
          <w:color w:val="auto"/>
          <w:sz w:val="24"/>
          <w:szCs w:val="22"/>
          <w:highlight w:val="none"/>
          <w:lang w:val="en-US" w:eastAsia="zh-CN"/>
        </w:rPr>
        <w:t>质疑期</w:t>
      </w:r>
      <w:r>
        <w:rPr>
          <w:rFonts w:ascii="宋体" w:hAnsi="宋体" w:eastAsia="宋体"/>
          <w:color w:val="auto"/>
          <w:sz w:val="24"/>
          <w:szCs w:val="22"/>
          <w:highlight w:val="none"/>
        </w:rPr>
        <w:t>内向采购人或其委托的采购代理机构提出质疑。</w:t>
      </w:r>
    </w:p>
    <w:p w14:paraId="7EEC94D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highlight w:val="none"/>
        </w:rPr>
        <w:t>4</w:t>
      </w:r>
      <w:r>
        <w:rPr>
          <w:rFonts w:ascii="宋体" w:hAnsi="宋体" w:eastAsia="宋体"/>
          <w:color w:val="auto"/>
          <w:sz w:val="24"/>
          <w:highlight w:val="none"/>
        </w:rPr>
        <w:t>.2质疑供应商应</w:t>
      </w:r>
      <w:r>
        <w:rPr>
          <w:rFonts w:hint="eastAsia" w:ascii="宋体" w:hAnsi="宋体" w:eastAsia="宋体"/>
          <w:color w:val="auto"/>
          <w:sz w:val="24"/>
          <w:highlight w:val="none"/>
          <w:lang w:val="en-US" w:eastAsia="zh-CN"/>
        </w:rPr>
        <w:t>按本须知34.4的要求</w:t>
      </w:r>
      <w:r>
        <w:rPr>
          <w:rFonts w:ascii="宋体" w:hAnsi="宋体" w:eastAsia="宋体"/>
          <w:color w:val="auto"/>
          <w:sz w:val="24"/>
          <w:highlight w:val="none"/>
        </w:rPr>
        <w:t>，在</w:t>
      </w:r>
      <w:r>
        <w:rPr>
          <w:rFonts w:hint="eastAsia" w:ascii="宋体" w:hAnsi="宋体" w:eastAsia="宋体" w:cs="宋体"/>
          <w:color w:val="auto"/>
          <w:sz w:val="24"/>
          <w:highlight w:val="none"/>
          <w:u w:val="single"/>
        </w:rPr>
        <w:t>供应商须知前附表</w:t>
      </w:r>
      <w:r>
        <w:rPr>
          <w:rFonts w:hint="eastAsia" w:ascii="宋体" w:hAnsi="宋体" w:eastAsia="宋体" w:cs="宋体"/>
          <w:color w:val="auto"/>
          <w:sz w:val="24"/>
          <w:highlight w:val="none"/>
          <w:u w:val="none"/>
          <w:lang w:val="en-US" w:eastAsia="zh-CN"/>
        </w:rPr>
        <w:t>规定的</w:t>
      </w:r>
      <w:r>
        <w:rPr>
          <w:rFonts w:hint="eastAsia" w:ascii="宋体" w:hAnsi="宋体" w:eastAsia="宋体"/>
          <w:color w:val="auto"/>
          <w:sz w:val="24"/>
          <w:highlight w:val="none"/>
          <w:lang w:val="en-US" w:eastAsia="zh-CN"/>
        </w:rPr>
        <w:t>质疑期</w:t>
      </w:r>
      <w:r>
        <w:rPr>
          <w:rFonts w:ascii="宋体" w:hAnsi="宋体" w:eastAsia="宋体"/>
          <w:color w:val="auto"/>
          <w:sz w:val="24"/>
          <w:highlight w:val="none"/>
        </w:rPr>
        <w:t>内以</w:t>
      </w:r>
      <w:r>
        <w:rPr>
          <w:rFonts w:hint="eastAsia" w:ascii="宋体" w:hAnsi="宋体" w:eastAsia="宋体"/>
          <w:color w:val="auto"/>
          <w:sz w:val="24"/>
          <w:highlight w:val="none"/>
        </w:rPr>
        <w:t>书面</w:t>
      </w:r>
      <w:r>
        <w:rPr>
          <w:rFonts w:ascii="宋体" w:hAnsi="宋体" w:eastAsia="宋体"/>
          <w:color w:val="auto"/>
          <w:sz w:val="24"/>
          <w:highlight w:val="none"/>
        </w:rPr>
        <w:t>形式提出质疑，</w:t>
      </w:r>
      <w:r>
        <w:rPr>
          <w:rFonts w:hint="eastAsia" w:ascii="宋体" w:hAnsi="宋体" w:eastAsia="宋体"/>
          <w:color w:val="auto"/>
          <w:sz w:val="24"/>
          <w:highlight w:val="none"/>
        </w:rPr>
        <w:t>超出</w:t>
      </w:r>
      <w:r>
        <w:rPr>
          <w:rFonts w:hint="eastAsia" w:ascii="宋体" w:hAnsi="宋体" w:eastAsia="宋体"/>
          <w:color w:val="auto"/>
          <w:sz w:val="24"/>
          <w:highlight w:val="none"/>
          <w:lang w:val="en-US" w:eastAsia="zh-CN"/>
        </w:rPr>
        <w:t>质疑期</w:t>
      </w:r>
      <w:r>
        <w:rPr>
          <w:rFonts w:hint="eastAsia" w:ascii="宋体" w:hAnsi="宋体" w:eastAsia="宋体"/>
          <w:color w:val="auto"/>
          <w:sz w:val="24"/>
          <w:highlight w:val="none"/>
        </w:rPr>
        <w:t>提交的质疑将被拒绝。</w:t>
      </w:r>
      <w:r>
        <w:rPr>
          <w:rFonts w:ascii="宋体" w:hAnsi="宋体" w:eastAsia="宋体"/>
          <w:color w:val="auto"/>
          <w:sz w:val="24"/>
          <w:highlight w:val="none"/>
        </w:rPr>
        <w:t>针对同一采购程序环节的质疑应一次性提出。</w:t>
      </w:r>
    </w:p>
    <w:p w14:paraId="0941EC6E">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超出质疑期的、重复提出的、分次提出的或内容、形式不符合</w:t>
      </w:r>
      <w:r>
        <w:rPr>
          <w:rFonts w:hint="eastAsia" w:ascii="宋体" w:hAnsi="宋体" w:eastAsia="宋体"/>
          <w:color w:val="auto"/>
          <w:sz w:val="24"/>
          <w:highlight w:val="none"/>
          <w:lang w:val="en-US" w:eastAsia="zh-CN"/>
        </w:rPr>
        <w:t>本文件规定</w:t>
      </w:r>
      <w:r>
        <w:rPr>
          <w:rFonts w:hint="eastAsia" w:ascii="宋体" w:hAnsi="宋体" w:eastAsia="宋体"/>
          <w:color w:val="auto"/>
          <w:sz w:val="24"/>
          <w:highlight w:val="none"/>
        </w:rPr>
        <w:t>的，质疑供应商将依法承担不利后果。</w:t>
      </w:r>
    </w:p>
    <w:p w14:paraId="58CF921A">
      <w:pPr>
        <w:keepNext w:val="0"/>
        <w:keepLines w:val="0"/>
        <w:pageBreakBefore w:val="0"/>
        <w:widowControl w:val="0"/>
        <w:kinsoku/>
        <w:wordWrap w:val="0"/>
        <w:overflowPunct/>
        <w:topLinePunct w:val="0"/>
        <w:autoSpaceDE/>
        <w:autoSpaceDN/>
        <w:bidi w:val="0"/>
        <w:adjustRightInd/>
        <w:snapToGrid/>
        <w:spacing w:line="440" w:lineRule="exact"/>
        <w:ind w:firstLine="435"/>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34.3采购代理机构质疑函接收部门、联系电话和通讯地址，见</w:t>
      </w:r>
      <w:r>
        <w:rPr>
          <w:rFonts w:hint="eastAsia" w:ascii="宋体" w:hAnsi="宋体" w:eastAsia="宋体" w:cs="宋体"/>
          <w:color w:val="auto"/>
          <w:sz w:val="24"/>
          <w:highlight w:val="none"/>
          <w:u w:val="single"/>
        </w:rPr>
        <w:t>供应商须知前附表</w:t>
      </w:r>
      <w:r>
        <w:rPr>
          <w:rFonts w:hint="eastAsia" w:ascii="宋体" w:hAnsi="宋体" w:eastAsia="宋体" w:cs="宋体"/>
          <w:color w:val="auto"/>
          <w:sz w:val="24"/>
          <w:highlight w:val="none"/>
        </w:rPr>
        <w:t>。</w:t>
      </w:r>
    </w:p>
    <w:p w14:paraId="4448B7B6">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34.4提出质疑的要求</w:t>
      </w:r>
    </w:p>
    <w:p w14:paraId="1F5E4C55">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val="en-US" w:eastAsia="zh-CN"/>
        </w:rPr>
        <w:t>34.4.1</w:t>
      </w:r>
      <w:r>
        <w:rPr>
          <w:rFonts w:hint="eastAsia" w:ascii="宋体" w:hAnsi="宋体" w:eastAsia="宋体" w:cs="宋体"/>
          <w:bCs/>
          <w:color w:val="auto"/>
          <w:sz w:val="24"/>
          <w:highlight w:val="none"/>
        </w:rPr>
        <w:t>质疑应以书面形式实名提出，书面质疑材料应当包括以下内容：</w:t>
      </w:r>
    </w:p>
    <w:p w14:paraId="193A9764">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1</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质疑人的名称、地址、有效联系方式；</w:t>
      </w:r>
    </w:p>
    <w:p w14:paraId="17CB0D90">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2</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项目名称、项目编号、包别号（如有）；</w:t>
      </w:r>
    </w:p>
    <w:p w14:paraId="1D6FD3C3">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3</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被质疑人名称；</w:t>
      </w:r>
    </w:p>
    <w:p w14:paraId="2A3A2083">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4</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具体的质疑事项、基本事实及必要的证明材料；</w:t>
      </w:r>
    </w:p>
    <w:p w14:paraId="28806BB1">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5</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明确的请求及主张；</w:t>
      </w:r>
    </w:p>
    <w:p w14:paraId="1954BBFA">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6</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提起质疑的日期。</w:t>
      </w:r>
    </w:p>
    <w:p w14:paraId="5903B716">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val="en-US" w:eastAsia="zh-CN"/>
        </w:rPr>
        <w:t>34.4.2</w:t>
      </w:r>
      <w:r>
        <w:rPr>
          <w:rFonts w:hint="eastAsia" w:ascii="宋体" w:hAnsi="宋体" w:eastAsia="宋体" w:cs="宋体"/>
          <w:bCs/>
          <w:color w:val="auto"/>
          <w:sz w:val="24"/>
          <w:highlight w:val="none"/>
        </w:rPr>
        <w:t>质疑人为法人或者其他组织的，应当由法定代表人或其委托代理人（需有委托授权书）签字并加盖公章。</w:t>
      </w:r>
    </w:p>
    <w:p w14:paraId="5ADB35FF">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val="en-US" w:eastAsia="zh-CN"/>
        </w:rPr>
        <w:t>34.4.3</w:t>
      </w:r>
      <w:r>
        <w:rPr>
          <w:rFonts w:hint="eastAsia" w:ascii="宋体" w:hAnsi="宋体" w:eastAsia="宋体" w:cs="宋体"/>
          <w:bCs/>
          <w:color w:val="auto"/>
          <w:sz w:val="24"/>
          <w:highlight w:val="none"/>
        </w:rPr>
        <w:t>质疑人需要修改、补充质疑材料的，应当在质疑期内提交修改或补充材料。</w:t>
      </w:r>
    </w:p>
    <w:p w14:paraId="4752C24A">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34.5质疑</w:t>
      </w:r>
      <w:r>
        <w:rPr>
          <w:rFonts w:hint="eastAsia" w:ascii="宋体" w:hAnsi="宋体" w:eastAsia="宋体" w:cs="宋体"/>
          <w:bCs/>
          <w:color w:val="auto"/>
          <w:sz w:val="24"/>
          <w:highlight w:val="none"/>
        </w:rPr>
        <w:t>不予受理</w:t>
      </w:r>
      <w:r>
        <w:rPr>
          <w:rFonts w:hint="eastAsia" w:ascii="宋体" w:hAnsi="宋体" w:eastAsia="宋体" w:cs="宋体"/>
          <w:bCs/>
          <w:color w:val="auto"/>
          <w:sz w:val="24"/>
          <w:highlight w:val="none"/>
          <w:lang w:val="en-US" w:eastAsia="zh-CN"/>
        </w:rPr>
        <w:t>的情形</w:t>
      </w:r>
    </w:p>
    <w:p w14:paraId="15D7F7B6">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default"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en-US" w:eastAsia="zh-CN"/>
        </w:rPr>
        <w:t>质疑存在以下情形之一的，不予受理：</w:t>
      </w:r>
    </w:p>
    <w:p w14:paraId="00EB56FD">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1</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提起质疑的主体不是参与本次采购项目活动的供应商；</w:t>
      </w:r>
    </w:p>
    <w:p w14:paraId="35C49F12">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2</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提起质疑的时间超过规定时限的；</w:t>
      </w:r>
    </w:p>
    <w:p w14:paraId="6ABC487E">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3</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质疑材料不完整的；</w:t>
      </w:r>
    </w:p>
    <w:p w14:paraId="71A80B4C">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4</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质疑事项含有主观猜测等内容且未提供有效线索、难以查证的；</w:t>
      </w:r>
    </w:p>
    <w:p w14:paraId="2E929D89">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5</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对其他供应商的响应文件详细内容质疑，无法提供合法来源渠道的；</w:t>
      </w:r>
    </w:p>
    <w:p w14:paraId="3F9A7DE3">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6</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质疑事项已进入投诉处理、行政复议或行政诉讼程序的。</w:t>
      </w:r>
    </w:p>
    <w:p w14:paraId="172FADDE">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val="en-US" w:eastAsia="zh-CN"/>
        </w:rPr>
        <w:t>34.6</w:t>
      </w:r>
      <w:r>
        <w:rPr>
          <w:rFonts w:hint="eastAsia" w:ascii="宋体" w:hAnsi="宋体" w:eastAsia="宋体" w:cs="宋体"/>
          <w:bCs/>
          <w:color w:val="auto"/>
          <w:sz w:val="24"/>
          <w:highlight w:val="none"/>
        </w:rPr>
        <w:t>经审查符合质疑条件的，自收到质疑之日起即为受理。</w:t>
      </w:r>
      <w:r>
        <w:rPr>
          <w:rFonts w:hint="eastAsia" w:ascii="宋体" w:hAnsi="宋体" w:eastAsia="宋体" w:cs="宋体"/>
          <w:bCs/>
          <w:color w:val="auto"/>
          <w:sz w:val="24"/>
          <w:highlight w:val="none"/>
          <w:lang w:eastAsia="zh-CN"/>
        </w:rPr>
        <w:t>鼎信数智技术集团股份有限公司</w:t>
      </w:r>
      <w:r>
        <w:rPr>
          <w:rFonts w:hint="eastAsia" w:ascii="宋体" w:hAnsi="宋体" w:eastAsia="宋体" w:cs="宋体"/>
          <w:bCs/>
          <w:color w:val="auto"/>
          <w:sz w:val="24"/>
          <w:highlight w:val="none"/>
        </w:rPr>
        <w:t>将在质疑受理后7个工作日内作出答复或相关处理决定（需要检验、检测、鉴定、专家评审的，所需时间不计算在内），并以书面形式通知质疑人，答复的内容不得涉及商业秘密。</w:t>
      </w:r>
    </w:p>
    <w:p w14:paraId="22DA150E">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val="en-US" w:eastAsia="zh-CN"/>
        </w:rPr>
        <w:t>34.7</w:t>
      </w:r>
      <w:r>
        <w:rPr>
          <w:rFonts w:hint="eastAsia" w:ascii="宋体" w:hAnsi="宋体" w:eastAsia="宋体" w:cs="宋体"/>
          <w:bCs/>
          <w:color w:val="auto"/>
          <w:sz w:val="24"/>
          <w:highlight w:val="none"/>
        </w:rPr>
        <w:t>质疑人在答复期满前撤回质疑的，应由法定代表人或授权代表人签字确认，</w:t>
      </w:r>
      <w:r>
        <w:rPr>
          <w:rFonts w:hint="eastAsia" w:ascii="宋体" w:hAnsi="宋体" w:eastAsia="宋体" w:cs="宋体"/>
          <w:bCs/>
          <w:color w:val="auto"/>
          <w:sz w:val="24"/>
          <w:highlight w:val="none"/>
          <w:lang w:eastAsia="zh-CN"/>
        </w:rPr>
        <w:t>鼎信数智技术集团股份有限公司</w:t>
      </w:r>
      <w:r>
        <w:rPr>
          <w:rFonts w:hint="eastAsia" w:ascii="宋体" w:hAnsi="宋体" w:eastAsia="宋体" w:cs="宋体"/>
          <w:bCs/>
          <w:color w:val="auto"/>
          <w:sz w:val="24"/>
          <w:highlight w:val="none"/>
        </w:rPr>
        <w:t>即终止质疑处理程序。质疑人不得以同一理由再次提出质疑。</w:t>
      </w:r>
    </w:p>
    <w:p w14:paraId="01F8BD4C">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val="en-US" w:eastAsia="zh-CN"/>
        </w:rPr>
        <w:t>34.8</w:t>
      </w:r>
      <w:r>
        <w:rPr>
          <w:rFonts w:hint="eastAsia" w:ascii="宋体" w:hAnsi="宋体" w:eastAsia="宋体" w:cs="宋体"/>
          <w:bCs/>
          <w:color w:val="auto"/>
          <w:sz w:val="24"/>
          <w:highlight w:val="none"/>
        </w:rPr>
        <w:t>质疑人有下列情形之一的，属于虚假、恶意质疑，</w:t>
      </w:r>
      <w:r>
        <w:rPr>
          <w:rFonts w:hint="eastAsia" w:ascii="宋体" w:hAnsi="宋体" w:eastAsia="宋体" w:cs="宋体"/>
          <w:bCs/>
          <w:color w:val="auto"/>
          <w:sz w:val="24"/>
          <w:highlight w:val="none"/>
          <w:lang w:eastAsia="zh-CN"/>
        </w:rPr>
        <w:t>鼎信数智技术集团股份有限公司</w:t>
      </w:r>
      <w:r>
        <w:rPr>
          <w:rFonts w:hint="eastAsia" w:ascii="宋体" w:hAnsi="宋体" w:eastAsia="宋体" w:cs="宋体"/>
          <w:bCs/>
          <w:color w:val="auto"/>
          <w:sz w:val="24"/>
          <w:highlight w:val="none"/>
        </w:rPr>
        <w:t>将报采购人予以处理。</w:t>
      </w:r>
    </w:p>
    <w:p w14:paraId="1B26F027">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1</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一年内三次以上质疑均查无实据的；</w:t>
      </w:r>
    </w:p>
    <w:p w14:paraId="7FB9B77E">
      <w:pPr>
        <w:keepNext w:val="0"/>
        <w:keepLines w:val="0"/>
        <w:pageBreakBefore w:val="0"/>
        <w:widowControl w:val="0"/>
        <w:kinsoku/>
        <w:wordWrap w:val="0"/>
        <w:overflowPunct/>
        <w:topLinePunct w:val="0"/>
        <w:autoSpaceDE/>
        <w:autoSpaceDN/>
        <w:bidi w:val="0"/>
        <w:adjustRightInd/>
        <w:snapToGrid/>
        <w:spacing w:line="440" w:lineRule="exact"/>
        <w:ind w:firstLine="437"/>
        <w:jc w:val="left"/>
        <w:textAlignment w:val="auto"/>
        <w:outlineLvl w:val="3"/>
        <w:rPr>
          <w:rFonts w:hint="eastAsia" w:ascii="宋体" w:hAnsi="宋体" w:eastAsia="宋体" w:cs="宋体"/>
          <w:color w:val="auto"/>
          <w:sz w:val="24"/>
          <w:highlight w:val="none"/>
        </w:rPr>
      </w:pP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lang w:val="en-US" w:eastAsia="zh-CN"/>
        </w:rPr>
        <w:t>2</w:t>
      </w:r>
      <w:r>
        <w:rPr>
          <w:rFonts w:hint="eastAsia" w:ascii="宋体" w:hAnsi="宋体" w:eastAsia="宋体" w:cs="宋体"/>
          <w:bCs/>
          <w:color w:val="auto"/>
          <w:sz w:val="24"/>
          <w:highlight w:val="none"/>
          <w:lang w:eastAsia="zh-CN"/>
        </w:rPr>
        <w:t>）</w:t>
      </w:r>
      <w:r>
        <w:rPr>
          <w:rFonts w:hint="eastAsia" w:ascii="宋体" w:hAnsi="宋体" w:eastAsia="宋体" w:cs="宋体"/>
          <w:bCs/>
          <w:color w:val="auto"/>
          <w:sz w:val="24"/>
          <w:highlight w:val="none"/>
        </w:rPr>
        <w:t>捏造事实恶意诬陷他人、有意提供虚假质疑材料的或者通过非法手段获取材料的。</w:t>
      </w:r>
    </w:p>
    <w:p w14:paraId="565DD79C">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r>
        <w:rPr>
          <w:rFonts w:ascii="宋体" w:hAnsi="宋体" w:eastAsia="宋体"/>
          <w:b/>
          <w:color w:val="auto"/>
          <w:sz w:val="24"/>
          <w:highlight w:val="none"/>
        </w:rPr>
        <w:t>3</w:t>
      </w:r>
      <w:r>
        <w:rPr>
          <w:rFonts w:hint="eastAsia" w:ascii="宋体" w:hAnsi="宋体" w:eastAsia="宋体"/>
          <w:b/>
          <w:color w:val="auto"/>
          <w:sz w:val="24"/>
          <w:highlight w:val="none"/>
        </w:rPr>
        <w:t>5</w:t>
      </w:r>
      <w:r>
        <w:rPr>
          <w:rFonts w:ascii="宋体" w:hAnsi="宋体" w:eastAsia="宋体"/>
          <w:b/>
          <w:color w:val="auto"/>
          <w:sz w:val="24"/>
          <w:highlight w:val="none"/>
        </w:rPr>
        <w:t>.需要补充的其他内容</w:t>
      </w:r>
    </w:p>
    <w:p w14:paraId="3C8A81A5">
      <w:pPr>
        <w:keepNext w:val="0"/>
        <w:keepLines w:val="0"/>
        <w:pageBreakBefore w:val="0"/>
        <w:kinsoku/>
        <w:wordWrap w:val="0"/>
        <w:overflowPunct/>
        <w:topLinePunct w:val="0"/>
        <w:bidi w:val="0"/>
        <w:spacing w:line="440" w:lineRule="exact"/>
        <w:ind w:firstLine="435"/>
        <w:jc w:val="left"/>
        <w:textAlignment w:val="auto"/>
        <w:rPr>
          <w:rFonts w:hint="eastAsia" w:ascii="宋体" w:hAnsi="宋体" w:eastAsia="宋体"/>
          <w:color w:val="auto"/>
          <w:sz w:val="24"/>
          <w:highlight w:val="none"/>
        </w:rPr>
      </w:pPr>
      <w:r>
        <w:rPr>
          <w:rFonts w:hint="eastAsia" w:ascii="宋体" w:hAnsi="宋体" w:eastAsia="宋体"/>
          <w:color w:val="auto"/>
          <w:sz w:val="24"/>
          <w:highlight w:val="none"/>
        </w:rPr>
        <w:t>需要补充的其他内容，见</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w:t>
      </w:r>
    </w:p>
    <w:p w14:paraId="4D19880F">
      <w:pPr>
        <w:keepNext w:val="0"/>
        <w:keepLines w:val="0"/>
        <w:pageBreakBefore w:val="0"/>
        <w:kinsoku/>
        <w:wordWrap w:val="0"/>
        <w:overflowPunct/>
        <w:topLinePunct w:val="0"/>
        <w:bidi w:val="0"/>
        <w:spacing w:line="440" w:lineRule="exact"/>
        <w:textAlignment w:val="auto"/>
        <w:rPr>
          <w:rFonts w:ascii="宋体" w:hAnsi="宋体" w:eastAsia="宋体"/>
          <w:b/>
          <w:color w:val="auto"/>
          <w:sz w:val="28"/>
          <w:highlight w:val="none"/>
        </w:rPr>
      </w:pPr>
      <w:r>
        <w:rPr>
          <w:rFonts w:ascii="宋体" w:hAnsi="宋体" w:eastAsia="宋体"/>
          <w:color w:val="auto"/>
          <w:sz w:val="24"/>
          <w:highlight w:val="none"/>
        </w:rPr>
        <w:br w:type="page"/>
      </w:r>
    </w:p>
    <w:p w14:paraId="186E495B">
      <w:pPr>
        <w:pageBreakBefore w:val="0"/>
        <w:kinsoku/>
        <w:wordWrap w:val="0"/>
        <w:overflowPunct/>
        <w:topLinePunct w:val="0"/>
        <w:bidi w:val="0"/>
        <w:spacing w:line="360" w:lineRule="auto"/>
        <w:jc w:val="center"/>
        <w:textAlignment w:val="auto"/>
        <w:outlineLvl w:val="1"/>
        <w:rPr>
          <w:rFonts w:hint="eastAsia" w:ascii="华文中宋" w:hAnsi="华文中宋" w:eastAsia="华文中宋" w:cs="Times New Roman"/>
          <w:b/>
          <w:bCs/>
          <w:color w:val="auto"/>
          <w:kern w:val="44"/>
          <w:sz w:val="44"/>
          <w:szCs w:val="44"/>
          <w:highlight w:val="none"/>
          <w:lang w:val="en-US" w:eastAsia="zh-CN" w:bidi="ar-SA"/>
        </w:rPr>
      </w:pPr>
      <w:bookmarkStart w:id="14" w:name="_Toc17809"/>
      <w:r>
        <w:rPr>
          <w:rFonts w:hint="eastAsia" w:ascii="华文中宋" w:hAnsi="华文中宋" w:eastAsia="华文中宋" w:cs="Times New Roman"/>
          <w:b/>
          <w:bCs/>
          <w:color w:val="auto"/>
          <w:kern w:val="44"/>
          <w:sz w:val="44"/>
          <w:szCs w:val="44"/>
          <w:highlight w:val="none"/>
          <w:lang w:val="en-US" w:eastAsia="zh-CN" w:bidi="ar-SA"/>
        </w:rPr>
        <w:t>第三章  采购需求</w:t>
      </w:r>
      <w:bookmarkEnd w:id="14"/>
    </w:p>
    <w:p w14:paraId="4E8F2277">
      <w:pPr>
        <w:keepNext w:val="0"/>
        <w:keepLines w:val="0"/>
        <w:pageBreakBefore w:val="0"/>
        <w:kinsoku/>
        <w:wordWrap/>
        <w:overflowPunct/>
        <w:topLinePunct w:val="0"/>
        <w:autoSpaceDE/>
        <w:autoSpaceDN/>
        <w:bidi w:val="0"/>
        <w:adjustRightInd/>
        <w:spacing w:line="360" w:lineRule="auto"/>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前注：</w:t>
      </w:r>
    </w:p>
    <w:p w14:paraId="7FA6A2DB">
      <w:pPr>
        <w:keepNext w:val="0"/>
        <w:keepLines w:val="0"/>
        <w:pageBreakBefore w:val="0"/>
        <w:kinsoku/>
        <w:wordWrap/>
        <w:overflowPunct/>
        <w:topLinePunct w:val="0"/>
        <w:autoSpaceDE/>
        <w:autoSpaceDN/>
        <w:bidi w:val="0"/>
        <w:adjustRightInd/>
        <w:spacing w:line="360" w:lineRule="auto"/>
        <w:ind w:firstLine="437"/>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本说明中提出的技术方案仅为参考，如无明确限制，供应商可以进行优化，提供满足用户实际需要的更优（或者性能实质上不低于的）服务方案，且此方案须经磋商小组评审认可。</w:t>
      </w:r>
    </w:p>
    <w:p w14:paraId="030A51F4">
      <w:pPr>
        <w:keepNext w:val="0"/>
        <w:keepLines w:val="0"/>
        <w:pageBreakBefore w:val="0"/>
        <w:kinsoku/>
        <w:wordWrap/>
        <w:overflowPunct/>
        <w:topLinePunct w:val="0"/>
        <w:autoSpaceDE/>
        <w:autoSpaceDN/>
        <w:bidi w:val="0"/>
        <w:adjustRightInd/>
        <w:spacing w:line="360" w:lineRule="auto"/>
        <w:ind w:firstLine="437"/>
        <w:textAlignment w:val="auto"/>
        <w:rPr>
          <w:rFonts w:hint="eastAsia" w:ascii="宋体" w:hAnsi="宋体" w:eastAsia="宋体" w:cs="宋体"/>
          <w:b/>
          <w:color w:val="auto"/>
          <w:sz w:val="24"/>
          <w:szCs w:val="18"/>
          <w:highlight w:val="none"/>
        </w:rPr>
      </w:pPr>
      <w:r>
        <w:rPr>
          <w:rFonts w:hint="eastAsia" w:ascii="宋体" w:hAnsi="宋体" w:eastAsia="宋体" w:cs="宋体"/>
          <w:b/>
          <w:color w:val="auto"/>
          <w:sz w:val="24"/>
          <w:szCs w:val="18"/>
          <w:highlight w:val="none"/>
        </w:rPr>
        <w:t>一、采购需求前附表</w:t>
      </w:r>
    </w:p>
    <w:tbl>
      <w:tblPr>
        <w:tblStyle w:val="2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2032"/>
        <w:gridCol w:w="5483"/>
      </w:tblGrid>
      <w:tr w14:paraId="510B5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7" w:type="dxa"/>
            <w:noWrap w:val="0"/>
            <w:vAlign w:val="center"/>
          </w:tcPr>
          <w:p w14:paraId="0B5504FB">
            <w:pPr>
              <w:pStyle w:val="33"/>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pacing w:line="36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序号</w:t>
            </w:r>
          </w:p>
        </w:tc>
        <w:tc>
          <w:tcPr>
            <w:tcW w:w="2032" w:type="dxa"/>
            <w:noWrap w:val="0"/>
            <w:vAlign w:val="center"/>
          </w:tcPr>
          <w:p w14:paraId="69C8E5DE">
            <w:pPr>
              <w:pStyle w:val="32"/>
              <w:keepNext w:val="0"/>
              <w:keepLines w:val="0"/>
              <w:pageBreakBefore w:val="0"/>
              <w:widowControl w:val="0"/>
              <w:kinsoku/>
              <w:wordWrap/>
              <w:overflowPunct/>
              <w:topLinePunct w:val="0"/>
              <w:autoSpaceDE/>
              <w:autoSpaceDN/>
              <w:bidi w:val="0"/>
              <w:adjustRightInd/>
              <w:spacing w:before="0" w:beforeAutospacing="0" w:after="0" w:afterAutospacing="0" w:line="360" w:lineRule="auto"/>
              <w:textAlignment w:val="auto"/>
              <w:rPr>
                <w:rFonts w:hint="eastAsia" w:ascii="宋体" w:hAnsi="宋体" w:eastAsia="宋体" w:cs="宋体"/>
                <w:b w:val="0"/>
                <w:bCs/>
                <w:color w:val="auto"/>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bidi="ar-SA"/>
              </w:rPr>
              <w:t>条款名称</w:t>
            </w:r>
          </w:p>
        </w:tc>
        <w:tc>
          <w:tcPr>
            <w:tcW w:w="5483" w:type="dxa"/>
            <w:noWrap w:val="0"/>
            <w:vAlign w:val="center"/>
          </w:tcPr>
          <w:p w14:paraId="07333BFF">
            <w:pPr>
              <w:pStyle w:val="32"/>
              <w:keepNext w:val="0"/>
              <w:keepLines w:val="0"/>
              <w:pageBreakBefore w:val="0"/>
              <w:widowControl w:val="0"/>
              <w:kinsoku/>
              <w:wordWrap/>
              <w:overflowPunct/>
              <w:topLinePunct w:val="0"/>
              <w:autoSpaceDE/>
              <w:autoSpaceDN/>
              <w:bidi w:val="0"/>
              <w:adjustRightInd/>
              <w:spacing w:before="0" w:beforeAutospacing="0" w:after="0" w:afterAutospacing="0" w:line="360" w:lineRule="auto"/>
              <w:textAlignment w:val="auto"/>
              <w:rPr>
                <w:rFonts w:hint="eastAsia" w:ascii="宋体" w:hAnsi="宋体" w:eastAsia="宋体" w:cs="宋体"/>
                <w:b w:val="0"/>
                <w:bCs/>
                <w:color w:val="auto"/>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bidi="ar-SA"/>
              </w:rPr>
              <w:t>内容、说明与要求</w:t>
            </w:r>
          </w:p>
        </w:tc>
      </w:tr>
      <w:tr w14:paraId="1A4F1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jc w:val="center"/>
        </w:trPr>
        <w:tc>
          <w:tcPr>
            <w:tcW w:w="1007" w:type="dxa"/>
            <w:noWrap w:val="0"/>
            <w:vAlign w:val="center"/>
          </w:tcPr>
          <w:p w14:paraId="401E3B35">
            <w:pPr>
              <w:pStyle w:val="33"/>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pacing w:line="36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1</w:t>
            </w:r>
          </w:p>
        </w:tc>
        <w:tc>
          <w:tcPr>
            <w:tcW w:w="2032" w:type="dxa"/>
            <w:noWrap w:val="0"/>
            <w:vAlign w:val="center"/>
          </w:tcPr>
          <w:p w14:paraId="5A360829">
            <w:pPr>
              <w:keepNext w:val="0"/>
              <w:keepLines w:val="0"/>
              <w:pageBreakBefore w:val="0"/>
              <w:kinsoku/>
              <w:wordWrap/>
              <w:overflowPunct/>
              <w:topLinePunct w:val="0"/>
              <w:autoSpaceDE/>
              <w:autoSpaceDN/>
              <w:bidi w:val="0"/>
              <w:adjustRightInd/>
              <w:spacing w:line="360" w:lineRule="auto"/>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付款方式</w:t>
            </w:r>
          </w:p>
        </w:tc>
        <w:tc>
          <w:tcPr>
            <w:tcW w:w="5483" w:type="dxa"/>
            <w:noWrap w:val="0"/>
            <w:vAlign w:val="center"/>
          </w:tcPr>
          <w:p w14:paraId="6A6399DB">
            <w:pPr>
              <w:keepNext w:val="0"/>
              <w:keepLines w:val="0"/>
              <w:pageBreakBefore w:val="0"/>
              <w:widowControl/>
              <w:suppressLineNumbers w:val="0"/>
              <w:kinsoku/>
              <w:wordWrap/>
              <w:overflowPunct/>
              <w:topLinePunct w:val="0"/>
              <w:autoSpaceDE/>
              <w:autoSpaceDN/>
              <w:bidi w:val="0"/>
              <w:adjustRightInd/>
              <w:spacing w:line="360" w:lineRule="auto"/>
              <w:jc w:val="left"/>
              <w:textAlignment w:val="auto"/>
              <w:rPr>
                <w:rFonts w:hint="eastAsia" w:ascii="宋体" w:hAnsi="宋体" w:eastAsia="宋体" w:cs="宋体"/>
                <w:b w:val="0"/>
                <w:bCs/>
                <w:color w:val="auto"/>
                <w:sz w:val="24"/>
                <w:szCs w:val="24"/>
                <w:highlight w:val="none"/>
                <w:u w:val="single"/>
              </w:rPr>
            </w:pPr>
            <w:r>
              <w:rPr>
                <w:rFonts w:hint="eastAsia" w:ascii="宋体" w:hAnsi="宋体" w:eastAsia="宋体" w:cs="宋体"/>
                <w:b w:val="0"/>
                <w:bCs/>
                <w:kern w:val="0"/>
                <w:sz w:val="24"/>
                <w:szCs w:val="24"/>
                <w:highlight w:val="none"/>
                <w:lang w:val="en-US" w:eastAsia="zh-CN" w:bidi="ar-SA"/>
              </w:rPr>
              <w:t>签订合同后10个工作日内支付合同总价的70%作为启动经费，项目达到合同约定要求验收合格后，支付剩余30%的合同款，付款前第三方提供等额增值发票。</w:t>
            </w:r>
          </w:p>
        </w:tc>
      </w:tr>
      <w:tr w14:paraId="0B26A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7" w:type="dxa"/>
            <w:noWrap w:val="0"/>
            <w:vAlign w:val="center"/>
          </w:tcPr>
          <w:p w14:paraId="33AD2FB4">
            <w:pPr>
              <w:pStyle w:val="33"/>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pacing w:line="36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2</w:t>
            </w:r>
          </w:p>
        </w:tc>
        <w:tc>
          <w:tcPr>
            <w:tcW w:w="2032" w:type="dxa"/>
            <w:noWrap w:val="0"/>
            <w:vAlign w:val="center"/>
          </w:tcPr>
          <w:p w14:paraId="51069451">
            <w:pPr>
              <w:pStyle w:val="32"/>
              <w:keepNext w:val="0"/>
              <w:keepLines w:val="0"/>
              <w:pageBreakBefore w:val="0"/>
              <w:widowControl w:val="0"/>
              <w:kinsoku/>
              <w:wordWrap/>
              <w:overflowPunct/>
              <w:topLinePunct w:val="0"/>
              <w:autoSpaceDE/>
              <w:autoSpaceDN/>
              <w:bidi w:val="0"/>
              <w:adjustRightInd/>
              <w:spacing w:before="0" w:beforeAutospacing="0" w:after="0" w:afterAutospacing="0" w:line="360" w:lineRule="auto"/>
              <w:textAlignment w:val="auto"/>
              <w:rPr>
                <w:rFonts w:hint="eastAsia" w:ascii="宋体" w:hAnsi="宋体" w:eastAsia="宋体" w:cs="宋体"/>
                <w:b w:val="0"/>
                <w:bCs/>
                <w:color w:val="auto"/>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bidi="ar-SA"/>
              </w:rPr>
              <w:t>服务地点</w:t>
            </w:r>
          </w:p>
        </w:tc>
        <w:tc>
          <w:tcPr>
            <w:tcW w:w="5483" w:type="dxa"/>
            <w:noWrap w:val="0"/>
            <w:vAlign w:val="center"/>
          </w:tcPr>
          <w:p w14:paraId="5CE8A403">
            <w:pPr>
              <w:pStyle w:val="32"/>
              <w:keepNext w:val="0"/>
              <w:keepLines w:val="0"/>
              <w:pageBreakBefore w:val="0"/>
              <w:widowControl w:val="0"/>
              <w:kinsoku/>
              <w:wordWrap/>
              <w:overflowPunct/>
              <w:topLinePunct w:val="0"/>
              <w:autoSpaceDE/>
              <w:autoSpaceDN/>
              <w:bidi w:val="0"/>
              <w:adjustRightInd/>
              <w:spacing w:before="0" w:beforeAutospacing="0" w:after="0" w:afterAutospacing="0" w:line="360" w:lineRule="auto"/>
              <w:jc w:val="both"/>
              <w:textAlignment w:val="auto"/>
              <w:rPr>
                <w:rFonts w:hint="eastAsia" w:ascii="宋体" w:hAnsi="宋体" w:eastAsia="宋体" w:cs="宋体"/>
                <w:b w:val="0"/>
                <w:bCs/>
                <w:color w:val="auto"/>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bidi="ar-SA"/>
              </w:rPr>
              <w:t>安徽省，采购人指定地点</w:t>
            </w:r>
          </w:p>
        </w:tc>
      </w:tr>
      <w:tr w14:paraId="1BA10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7" w:type="dxa"/>
            <w:noWrap w:val="0"/>
            <w:vAlign w:val="center"/>
          </w:tcPr>
          <w:p w14:paraId="060DFEB7">
            <w:pPr>
              <w:pStyle w:val="33"/>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pacing w:line="36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3</w:t>
            </w:r>
          </w:p>
        </w:tc>
        <w:tc>
          <w:tcPr>
            <w:tcW w:w="2032" w:type="dxa"/>
            <w:noWrap w:val="0"/>
            <w:vAlign w:val="center"/>
          </w:tcPr>
          <w:p w14:paraId="4E7D65DC">
            <w:pPr>
              <w:keepNext w:val="0"/>
              <w:keepLines w:val="0"/>
              <w:pageBreakBefore w:val="0"/>
              <w:kinsoku/>
              <w:wordWrap/>
              <w:overflowPunct/>
              <w:topLinePunct w:val="0"/>
              <w:autoSpaceDE/>
              <w:autoSpaceDN/>
              <w:bidi w:val="0"/>
              <w:adjustRightInd/>
              <w:spacing w:line="360" w:lineRule="auto"/>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eastAsia="zh-CN"/>
              </w:rPr>
              <w:t>服务</w:t>
            </w:r>
            <w:r>
              <w:rPr>
                <w:rFonts w:hint="eastAsia" w:ascii="宋体" w:hAnsi="宋体" w:eastAsia="宋体" w:cs="宋体"/>
                <w:b w:val="0"/>
                <w:bCs/>
                <w:color w:val="auto"/>
                <w:sz w:val="24"/>
                <w:szCs w:val="24"/>
                <w:highlight w:val="none"/>
              </w:rPr>
              <w:t>期限</w:t>
            </w:r>
          </w:p>
        </w:tc>
        <w:tc>
          <w:tcPr>
            <w:tcW w:w="5483" w:type="dxa"/>
            <w:noWrap w:val="0"/>
            <w:vAlign w:val="center"/>
          </w:tcPr>
          <w:p w14:paraId="47F1316C">
            <w:pPr>
              <w:keepNext w:val="0"/>
              <w:keepLines w:val="0"/>
              <w:pageBreakBefore w:val="0"/>
              <w:widowControl/>
              <w:kinsoku/>
              <w:wordWrap/>
              <w:overflowPunct/>
              <w:topLinePunct w:val="0"/>
              <w:autoSpaceDE/>
              <w:autoSpaceDN/>
              <w:bidi w:val="0"/>
              <w:adjustRightInd/>
              <w:spacing w:line="360" w:lineRule="auto"/>
              <w:jc w:val="left"/>
              <w:textAlignment w:val="auto"/>
              <w:outlineLvl w:val="9"/>
              <w:rPr>
                <w:rFonts w:hint="eastAsia" w:ascii="宋体" w:hAnsi="宋体" w:eastAsia="宋体" w:cs="宋体"/>
                <w:b w:val="0"/>
                <w:bCs/>
                <w:color w:val="auto"/>
                <w:sz w:val="24"/>
                <w:szCs w:val="24"/>
                <w:highlight w:val="none"/>
                <w:lang w:eastAsia="zh-CN"/>
              </w:rPr>
            </w:pPr>
            <w:r>
              <w:rPr>
                <w:rFonts w:hint="eastAsia" w:ascii="宋体" w:hAnsi="宋体" w:eastAsia="宋体" w:cs="宋体"/>
                <w:bCs/>
                <w:color w:val="auto"/>
                <w:kern w:val="0"/>
                <w:sz w:val="24"/>
                <w:szCs w:val="24"/>
                <w:highlight w:val="none"/>
                <w:u w:val="none"/>
              </w:rPr>
              <w:t>合同签订采用1+1+1方式，总体不超过三年。上一年合同期满后，成交供应商经考核合格，在预算保证的前提下，</w:t>
            </w:r>
            <w:r>
              <w:rPr>
                <w:rFonts w:hint="eastAsia" w:ascii="宋体" w:hAnsi="宋体" w:eastAsia="宋体" w:cs="宋体"/>
                <w:bCs/>
                <w:color w:val="auto"/>
                <w:kern w:val="0"/>
                <w:sz w:val="24"/>
                <w:szCs w:val="24"/>
                <w:highlight w:val="none"/>
                <w:u w:val="none"/>
                <w:lang w:eastAsia="zh-CN"/>
              </w:rPr>
              <w:t>双方协商一致情况下，</w:t>
            </w:r>
            <w:r>
              <w:rPr>
                <w:rFonts w:hint="eastAsia" w:ascii="宋体" w:hAnsi="宋体" w:eastAsia="宋体" w:cs="宋体"/>
                <w:bCs/>
                <w:color w:val="auto"/>
                <w:kern w:val="0"/>
                <w:sz w:val="24"/>
                <w:szCs w:val="24"/>
                <w:highlight w:val="none"/>
                <w:u w:val="none"/>
              </w:rPr>
              <w:t>续签下一年合同。具体时间节点以采购人要求为准</w:t>
            </w:r>
            <w:r>
              <w:rPr>
                <w:rFonts w:hint="eastAsia" w:ascii="宋体" w:hAnsi="宋体" w:eastAsia="宋体" w:cs="宋体"/>
                <w:bCs/>
                <w:color w:val="auto"/>
                <w:kern w:val="0"/>
                <w:sz w:val="24"/>
                <w:szCs w:val="24"/>
                <w:highlight w:val="none"/>
                <w:u w:val="none"/>
                <w:lang w:eastAsia="zh-CN"/>
              </w:rPr>
              <w:t>。</w:t>
            </w:r>
          </w:p>
        </w:tc>
      </w:tr>
      <w:tr w14:paraId="5DF37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7" w:type="dxa"/>
            <w:noWrap w:val="0"/>
            <w:vAlign w:val="center"/>
          </w:tcPr>
          <w:p w14:paraId="01F9CC33">
            <w:pPr>
              <w:pStyle w:val="33"/>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pacing w:line="360" w:lineRule="auto"/>
              <w:jc w:val="center"/>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4</w:t>
            </w:r>
          </w:p>
        </w:tc>
        <w:tc>
          <w:tcPr>
            <w:tcW w:w="2032" w:type="dxa"/>
            <w:noWrap w:val="0"/>
            <w:vAlign w:val="center"/>
          </w:tcPr>
          <w:p w14:paraId="3D44D447">
            <w:pPr>
              <w:pStyle w:val="32"/>
              <w:keepNext w:val="0"/>
              <w:keepLines w:val="0"/>
              <w:pageBreakBefore w:val="0"/>
              <w:widowControl w:val="0"/>
              <w:kinsoku/>
              <w:wordWrap/>
              <w:overflowPunct/>
              <w:topLinePunct w:val="0"/>
              <w:autoSpaceDE/>
              <w:autoSpaceDN/>
              <w:bidi w:val="0"/>
              <w:adjustRightInd/>
              <w:spacing w:before="0" w:beforeAutospacing="0" w:after="0" w:afterAutospacing="0" w:line="360" w:lineRule="auto"/>
              <w:textAlignment w:val="auto"/>
              <w:rPr>
                <w:rFonts w:hint="eastAsia" w:ascii="宋体" w:hAnsi="宋体" w:eastAsia="宋体" w:cs="宋体"/>
                <w:b w:val="0"/>
                <w:bCs/>
                <w:color w:val="auto"/>
                <w:sz w:val="24"/>
                <w:szCs w:val="24"/>
                <w:highlight w:val="none"/>
                <w:lang w:val="en-US" w:eastAsia="zh-CN" w:bidi="ar-SA"/>
              </w:rPr>
            </w:pPr>
            <w:r>
              <w:rPr>
                <w:rFonts w:hint="eastAsia" w:ascii="宋体" w:hAnsi="宋体" w:eastAsia="宋体" w:cs="宋体"/>
                <w:b w:val="0"/>
                <w:bCs/>
                <w:color w:val="auto"/>
                <w:sz w:val="24"/>
                <w:szCs w:val="24"/>
                <w:highlight w:val="none"/>
                <w:lang w:val="en-US" w:eastAsia="zh-CN" w:bidi="ar-SA"/>
              </w:rPr>
              <w:t>本项目采购标的所属行业</w:t>
            </w:r>
          </w:p>
        </w:tc>
        <w:tc>
          <w:tcPr>
            <w:tcW w:w="5483" w:type="dxa"/>
            <w:noWrap w:val="0"/>
            <w:vAlign w:val="center"/>
          </w:tcPr>
          <w:p w14:paraId="54760F47">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eastAsia="宋体" w:cs="宋体"/>
                <w:b w:val="0"/>
                <w:bCs/>
                <w:color w:val="auto"/>
                <w:sz w:val="24"/>
                <w:szCs w:val="24"/>
                <w:highlight w:val="none"/>
                <w:u w:val="single"/>
              </w:rPr>
            </w:pPr>
            <w:r>
              <w:rPr>
                <w:rFonts w:hint="eastAsia" w:ascii="宋体" w:hAnsi="宋体" w:eastAsia="宋体" w:cs="宋体"/>
                <w:b w:val="0"/>
                <w:bCs/>
                <w:color w:val="auto"/>
                <w:sz w:val="24"/>
                <w:szCs w:val="24"/>
                <w:highlight w:val="none"/>
                <w:lang w:val="en-US" w:eastAsia="zh-CN"/>
              </w:rPr>
              <w:t>其他未列明行业</w:t>
            </w:r>
          </w:p>
        </w:tc>
      </w:tr>
    </w:tbl>
    <w:p w14:paraId="21F9AD04">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仿宋_GB2312"/>
          <w:b/>
          <w:sz w:val="24"/>
          <w:szCs w:val="18"/>
          <w:highlight w:val="none"/>
        </w:rPr>
      </w:pPr>
      <w:bookmarkStart w:id="15" w:name="_Hlk16461016"/>
      <w:r>
        <w:rPr>
          <w:rFonts w:hint="eastAsia" w:ascii="宋体" w:hAnsi="宋体" w:eastAsia="宋体" w:cs="@仿宋_GB2312"/>
          <w:b/>
          <w:sz w:val="24"/>
          <w:szCs w:val="18"/>
          <w:highlight w:val="none"/>
          <w:lang w:eastAsia="zh-CN"/>
        </w:rPr>
        <w:t>二</w:t>
      </w:r>
      <w:r>
        <w:rPr>
          <w:rFonts w:hint="eastAsia" w:ascii="宋体" w:hAnsi="宋体" w:eastAsia="宋体" w:cs="@仿宋_GB2312"/>
          <w:b/>
          <w:sz w:val="24"/>
          <w:szCs w:val="18"/>
          <w:highlight w:val="none"/>
        </w:rPr>
        <w:t>、项目概况</w:t>
      </w:r>
    </w:p>
    <w:p w14:paraId="2AD8C69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为贯彻落实《国务院关于规划建设保障性住房的指导意见》（国发〔</w:t>
      </w:r>
      <w:r>
        <w:rPr>
          <w:rFonts w:hint="eastAsia" w:ascii="宋体" w:hAnsi="宋体" w:eastAsia="宋体" w:cs="宋体"/>
          <w:sz w:val="24"/>
          <w:szCs w:val="24"/>
          <w:highlight w:val="none"/>
          <w:lang w:val="en-US" w:eastAsia="zh-CN"/>
        </w:rPr>
        <w:t>2023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14号</w:t>
      </w:r>
      <w:r>
        <w:rPr>
          <w:rFonts w:hint="eastAsia" w:ascii="宋体" w:hAnsi="宋体" w:eastAsia="宋体" w:cs="宋体"/>
          <w:sz w:val="24"/>
          <w:szCs w:val="24"/>
          <w:highlight w:val="none"/>
          <w:lang w:eastAsia="zh-CN"/>
        </w:rPr>
        <w:t>）《国务院办公厅关于在超大特大城市积极稳步推进城中村改造的指导意见》（国办发〔</w:t>
      </w:r>
      <w:r>
        <w:rPr>
          <w:rFonts w:hint="eastAsia" w:ascii="宋体" w:hAnsi="宋体" w:eastAsia="宋体" w:cs="宋体"/>
          <w:sz w:val="24"/>
          <w:szCs w:val="24"/>
          <w:highlight w:val="none"/>
          <w:lang w:val="en-US" w:eastAsia="zh-CN"/>
        </w:rPr>
        <w:t>2023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25号</w:t>
      </w:r>
      <w:r>
        <w:rPr>
          <w:rFonts w:hint="eastAsia" w:ascii="宋体" w:hAnsi="宋体" w:eastAsia="宋体" w:cs="宋体"/>
          <w:sz w:val="24"/>
          <w:szCs w:val="24"/>
          <w:highlight w:val="none"/>
          <w:lang w:eastAsia="zh-CN"/>
        </w:rPr>
        <w:t>）《国务院办公厅关于加快发展保障性租赁住房的意见》（国办发〔</w:t>
      </w:r>
      <w:r>
        <w:rPr>
          <w:rFonts w:hint="eastAsia" w:ascii="宋体" w:hAnsi="宋体" w:eastAsia="宋体" w:cs="宋体"/>
          <w:sz w:val="24"/>
          <w:szCs w:val="24"/>
          <w:highlight w:val="none"/>
          <w:lang w:val="en-US" w:eastAsia="zh-CN"/>
        </w:rPr>
        <w:t>2021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22号</w:t>
      </w:r>
      <w:r>
        <w:rPr>
          <w:rFonts w:hint="eastAsia" w:ascii="宋体" w:hAnsi="宋体" w:eastAsia="宋体" w:cs="宋体"/>
          <w:sz w:val="24"/>
          <w:szCs w:val="24"/>
          <w:highlight w:val="none"/>
          <w:lang w:eastAsia="zh-CN"/>
        </w:rPr>
        <w:t>）等文件精神，按照省委、省政府工作部署，</w:t>
      </w:r>
      <w:r>
        <w:rPr>
          <w:rFonts w:hint="eastAsia" w:ascii="宋体" w:hAnsi="宋体" w:eastAsia="宋体" w:cs="宋体"/>
          <w:sz w:val="24"/>
          <w:szCs w:val="24"/>
          <w:highlight w:val="none"/>
          <w:lang w:val="en-US" w:eastAsia="zh-CN"/>
        </w:rPr>
        <w:t>突出“稳、新、好”字，抢抓政策机遇，落实好一揽子存量和增量政策，加力实施城中村和城市危旧房改造，加大保障性住房筹集和供给，保障居民安居乐业，兜牢住房民生底线，提升保障服务水平，让人民群众不断有新的获得感。</w:t>
      </w:r>
    </w:p>
    <w:p w14:paraId="49A21C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2025年全省计划改造城中村5.4万户、筹集安置住房7.8万套，改造城市危旧房1.24万套；新增保障性租赁住房3.26万套（间），发放公租房租赁补贴2万户。</w:t>
      </w:r>
      <w:r>
        <w:rPr>
          <w:rFonts w:hint="eastAsia" w:ascii="宋体" w:hAnsi="宋体" w:eastAsia="宋体" w:cs="宋体"/>
          <w:sz w:val="24"/>
          <w:szCs w:val="24"/>
          <w:highlight w:val="none"/>
          <w:lang w:eastAsia="zh-CN"/>
        </w:rPr>
        <w:t>为确保年度目标任务落地实施，采取第三方现场核实评估：</w:t>
      </w:r>
    </w:p>
    <w:p w14:paraId="2E79C153">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highlight w:val="none"/>
          <w:lang w:val="en-US" w:eastAsia="zh-CN" w:bidi="ar"/>
        </w:rPr>
      </w:pPr>
      <w:r>
        <w:rPr>
          <w:rFonts w:hint="eastAsia" w:ascii="宋体" w:hAnsi="宋体" w:eastAsia="宋体" w:cs="宋体"/>
          <w:sz w:val="24"/>
          <w:szCs w:val="24"/>
          <w:highlight w:val="none"/>
          <w:lang w:eastAsia="zh-CN" w:bidi="ar"/>
        </w:rPr>
        <w:t>年度目标任务实施情况。对照</w:t>
      </w:r>
      <w:r>
        <w:rPr>
          <w:rFonts w:hint="eastAsia" w:ascii="宋体" w:hAnsi="宋体" w:eastAsia="宋体" w:cs="宋体"/>
          <w:sz w:val="24"/>
          <w:szCs w:val="24"/>
          <w:highlight w:val="none"/>
          <w:lang w:eastAsia="zh-CN"/>
        </w:rPr>
        <w:t>该年度</w:t>
      </w:r>
      <w:r>
        <w:rPr>
          <w:rFonts w:hint="eastAsia" w:ascii="宋体" w:hAnsi="宋体" w:eastAsia="宋体" w:cs="宋体"/>
          <w:sz w:val="24"/>
          <w:szCs w:val="24"/>
          <w:highlight w:val="none"/>
          <w:lang w:val="en-US" w:eastAsia="zh-CN" w:bidi="ar"/>
        </w:rPr>
        <w:t>安徽省城镇住房保障工作要点确定的年度目标任务和工作要求，对城镇保障性安居工程完成情况进行现场核实，对保障性住房、城中村改造，以及公租房、保障性租赁住房、棚户区改造（城市危旧房改造）建设进度情况进行客观评估，反馈年度目标任务实施情况，指出存在的问题，提出下一步工作建议。</w:t>
      </w:r>
    </w:p>
    <w:p w14:paraId="01C6FCBC">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bidi="ar"/>
        </w:rPr>
      </w:pPr>
      <w:r>
        <w:rPr>
          <w:rFonts w:hint="eastAsia" w:ascii="宋体" w:hAnsi="宋体" w:eastAsia="宋体" w:cs="宋体"/>
          <w:sz w:val="24"/>
          <w:szCs w:val="24"/>
          <w:highlight w:val="none"/>
          <w:lang w:val="en-US" w:eastAsia="zh-CN" w:bidi="ar"/>
        </w:rPr>
        <w:t>重点内容：</w:t>
      </w:r>
    </w:p>
    <w:p w14:paraId="626E23DE">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bidi="ar"/>
        </w:rPr>
      </w:pPr>
      <w:r>
        <w:rPr>
          <w:rFonts w:hint="eastAsia" w:ascii="宋体" w:hAnsi="宋体" w:eastAsia="宋体" w:cs="宋体"/>
          <w:sz w:val="24"/>
          <w:szCs w:val="24"/>
          <w:highlight w:val="none"/>
          <w:lang w:val="en-US" w:eastAsia="zh-CN" w:bidi="ar"/>
        </w:rPr>
        <w:t>保障性住房：项目开工（筹集）情况、施工现场建设及管理等情况；</w:t>
      </w:r>
    </w:p>
    <w:p w14:paraId="1F938ACD">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highlight w:val="none"/>
          <w:lang w:val="en-US" w:eastAsia="zh-CN" w:bidi="ar"/>
        </w:rPr>
      </w:pPr>
      <w:r>
        <w:rPr>
          <w:rFonts w:hint="eastAsia" w:ascii="宋体" w:hAnsi="宋体" w:eastAsia="宋体" w:cs="宋体"/>
          <w:sz w:val="24"/>
          <w:szCs w:val="24"/>
          <w:highlight w:val="none"/>
          <w:lang w:val="en-US" w:eastAsia="zh-CN" w:bidi="ar"/>
        </w:rPr>
        <w:t>城中村改造：城中村征迁补偿协议签订及征迁现场情况、安置房建设开工进展情况；</w:t>
      </w:r>
    </w:p>
    <w:p w14:paraId="57C0CFF0">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highlight w:val="none"/>
          <w:lang w:val="en-US" w:eastAsia="zh-CN" w:bidi="ar"/>
        </w:rPr>
      </w:pPr>
      <w:r>
        <w:rPr>
          <w:rFonts w:hint="eastAsia" w:ascii="宋体" w:hAnsi="宋体" w:eastAsia="宋体" w:cs="宋体"/>
          <w:sz w:val="24"/>
          <w:szCs w:val="24"/>
          <w:highlight w:val="none"/>
          <w:lang w:val="en-US" w:eastAsia="zh-CN" w:bidi="ar"/>
        </w:rPr>
        <w:t>公租房：补贴发放情况，年度计划项目筹集（建设）进展情况、政府投资公租房配租使用情况。</w:t>
      </w:r>
    </w:p>
    <w:p w14:paraId="2F5D814C">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highlight w:val="none"/>
          <w:lang w:val="en-US" w:eastAsia="zh-CN" w:bidi="ar"/>
        </w:rPr>
      </w:pPr>
      <w:r>
        <w:rPr>
          <w:rFonts w:hint="eastAsia" w:ascii="宋体" w:hAnsi="宋体" w:eastAsia="宋体" w:cs="宋体"/>
          <w:sz w:val="24"/>
          <w:szCs w:val="24"/>
          <w:highlight w:val="none"/>
          <w:lang w:val="en-US" w:eastAsia="zh-CN" w:bidi="ar"/>
        </w:rPr>
        <w:t>保障性租赁住房：年度计划项目筹集（建设）进展情况、项目认定书发放情况、竣工和配租使用情况，租赁补贴发放情况。</w:t>
      </w:r>
    </w:p>
    <w:p w14:paraId="3E78BE45">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highlight w:val="none"/>
          <w:lang w:val="en-US" w:eastAsia="zh-CN" w:bidi="ar"/>
        </w:rPr>
      </w:pPr>
      <w:r>
        <w:rPr>
          <w:rFonts w:hint="eastAsia" w:ascii="宋体" w:hAnsi="宋体" w:eastAsia="宋体" w:cs="宋体"/>
          <w:sz w:val="24"/>
          <w:szCs w:val="24"/>
          <w:highlight w:val="none"/>
          <w:lang w:val="en-US" w:eastAsia="zh-CN" w:bidi="ar"/>
        </w:rPr>
        <w:t>棚户区改造：列入年度基本建成计划的项目，达到基本建成条件完成情况；2022年及以前开工项目竣工情况。</w:t>
      </w:r>
    </w:p>
    <w:p w14:paraId="7BB8C3FD">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highlight w:val="none"/>
          <w:lang w:val="en-US" w:eastAsia="zh-CN" w:bidi="ar"/>
        </w:rPr>
      </w:pPr>
      <w:r>
        <w:rPr>
          <w:rFonts w:hint="eastAsia" w:ascii="宋体" w:hAnsi="宋体" w:eastAsia="宋体" w:cs="宋体"/>
          <w:sz w:val="24"/>
          <w:szCs w:val="24"/>
          <w:highlight w:val="none"/>
          <w:lang w:val="en-US" w:eastAsia="zh-CN" w:bidi="ar"/>
        </w:rPr>
        <w:t>城市危旧房改造：列入改造计划的C、D级危房和非成套住房采取工程措施改造处置情况，用于拆除新建方式改造的安置房建设情况（含货币化安置）。</w:t>
      </w:r>
    </w:p>
    <w:p w14:paraId="3D8AF5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textAlignment w:val="auto"/>
        <w:rPr>
          <w:rFonts w:hint="default" w:ascii="宋体" w:hAnsi="宋体" w:eastAsia="宋体" w:cs="宋体"/>
          <w:sz w:val="24"/>
          <w:szCs w:val="24"/>
          <w:highlight w:val="none"/>
          <w:lang w:val="en-US" w:eastAsia="zh-CN" w:bidi="ar"/>
        </w:rPr>
      </w:pPr>
      <w:r>
        <w:rPr>
          <w:rFonts w:hint="eastAsia" w:ascii="宋体" w:hAnsi="宋体" w:eastAsia="宋体" w:cs="宋体"/>
          <w:sz w:val="24"/>
          <w:szCs w:val="24"/>
          <w:highlight w:val="none"/>
          <w:lang w:val="en-US" w:eastAsia="zh-CN" w:bidi="ar"/>
        </w:rPr>
        <w:t xml:space="preserve">    （三）其它事项：安置房分配有关重点项目核查，以及常态化暗访、信访、民声呼应等渠道反映以及上级交办需要现场核实的有关保障性安居工程事项。</w:t>
      </w:r>
    </w:p>
    <w:p w14:paraId="3B64B90A">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sz w:val="24"/>
          <w:szCs w:val="18"/>
          <w:highlight w:val="none"/>
        </w:rPr>
      </w:pPr>
      <w:r>
        <w:rPr>
          <w:rFonts w:hint="eastAsia" w:ascii="宋体" w:hAnsi="宋体" w:eastAsia="宋体" w:cs="宋体"/>
          <w:b/>
          <w:sz w:val="24"/>
          <w:szCs w:val="18"/>
          <w:highlight w:val="none"/>
          <w:lang w:eastAsia="zh-CN"/>
        </w:rPr>
        <w:t>三</w:t>
      </w:r>
      <w:r>
        <w:rPr>
          <w:rFonts w:hint="eastAsia" w:ascii="宋体" w:hAnsi="宋体" w:eastAsia="宋体" w:cs="宋体"/>
          <w:b/>
          <w:sz w:val="24"/>
          <w:szCs w:val="18"/>
          <w:highlight w:val="none"/>
        </w:rPr>
        <w:t>、服务需求</w:t>
      </w:r>
    </w:p>
    <w:p w14:paraId="0E9D68F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（一）服务范围</w:t>
      </w:r>
    </w:p>
    <w:p w14:paraId="5CE48DC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bidi="ar"/>
        </w:rPr>
      </w:pPr>
      <w:r>
        <w:rPr>
          <w:rFonts w:hint="eastAsia" w:ascii="宋体" w:hAnsi="宋体" w:eastAsia="宋体" w:cs="宋体"/>
          <w:sz w:val="24"/>
          <w:szCs w:val="24"/>
          <w:highlight w:val="none"/>
        </w:rPr>
        <w:t>第三方机构对各市、县</w:t>
      </w:r>
      <w:r>
        <w:rPr>
          <w:rFonts w:hint="eastAsia" w:ascii="宋体" w:hAnsi="宋体" w:eastAsia="宋体" w:cs="宋体"/>
          <w:sz w:val="24"/>
          <w:szCs w:val="24"/>
          <w:highlight w:val="none"/>
          <w:lang w:eastAsia="zh-CN"/>
        </w:rPr>
        <w:t>该年度</w:t>
      </w:r>
      <w:r>
        <w:rPr>
          <w:rFonts w:hint="eastAsia" w:ascii="宋体" w:hAnsi="宋体" w:eastAsia="宋体" w:cs="宋体"/>
          <w:sz w:val="24"/>
          <w:szCs w:val="24"/>
          <w:highlight w:val="none"/>
        </w:rPr>
        <w:t>目标任务完成进展情况、重点工作开展情况以及有关政策落实情况开展现场核实。现场核实要求实现16个省辖市</w:t>
      </w:r>
      <w:r>
        <w:rPr>
          <w:rFonts w:hint="eastAsia" w:ascii="宋体" w:hAnsi="宋体" w:eastAsia="宋体" w:cs="宋体"/>
          <w:sz w:val="24"/>
          <w:szCs w:val="24"/>
          <w:highlight w:val="none"/>
          <w:lang w:eastAsia="zh-CN"/>
        </w:rPr>
        <w:t>及</w:t>
      </w:r>
      <w:r>
        <w:rPr>
          <w:rFonts w:hint="eastAsia" w:ascii="宋体" w:hAnsi="宋体" w:eastAsia="宋体" w:cs="宋体"/>
          <w:sz w:val="24"/>
          <w:szCs w:val="24"/>
          <w:highlight w:val="none"/>
          <w:lang w:val="en-US" w:eastAsia="zh-CN"/>
        </w:rPr>
        <w:t>2个省直管县（市）</w:t>
      </w:r>
      <w:r>
        <w:rPr>
          <w:rFonts w:hint="eastAsia" w:ascii="宋体" w:hAnsi="宋体" w:eastAsia="宋体" w:cs="宋体"/>
          <w:sz w:val="24"/>
          <w:szCs w:val="24"/>
          <w:highlight w:val="none"/>
        </w:rPr>
        <w:t>目标任务和重点工作涉及项目</w:t>
      </w:r>
      <w:r>
        <w:rPr>
          <w:rFonts w:hint="eastAsia" w:ascii="宋体" w:hAnsi="宋体" w:eastAsia="宋体" w:cs="宋体"/>
          <w:sz w:val="24"/>
          <w:szCs w:val="24"/>
          <w:highlight w:val="none"/>
          <w:lang w:eastAsia="zh-CN"/>
        </w:rPr>
        <w:t>年内</w:t>
      </w:r>
      <w:r>
        <w:rPr>
          <w:rFonts w:hint="eastAsia" w:ascii="宋体" w:hAnsi="宋体" w:eastAsia="宋体" w:cs="宋体"/>
          <w:sz w:val="24"/>
          <w:szCs w:val="24"/>
          <w:highlight w:val="none"/>
        </w:rPr>
        <w:t>全覆盖，对发现问题较多的，要增加核实频次，对已经达到年度目标要求的城市和项目可不再重复核实</w:t>
      </w:r>
      <w:r>
        <w:rPr>
          <w:rFonts w:hint="eastAsia" w:ascii="宋体" w:hAnsi="宋体" w:eastAsia="宋体" w:cs="宋体"/>
          <w:sz w:val="24"/>
          <w:szCs w:val="24"/>
          <w:highlight w:val="none"/>
          <w:lang w:val="en-US" w:eastAsia="zh-CN" w:bidi="ar"/>
        </w:rPr>
        <w:t>。</w:t>
      </w:r>
    </w:p>
    <w:p w14:paraId="3236BE25">
      <w:pPr>
        <w:keepNext w:val="0"/>
        <w:keepLines w:val="0"/>
        <w:numPr>
          <w:ilvl w:val="0"/>
          <w:numId w:val="0"/>
        </w:num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对审计发现问题</w:t>
      </w:r>
      <w:r>
        <w:rPr>
          <w:rFonts w:hint="eastAsia" w:ascii="宋体" w:hAnsi="宋体" w:eastAsia="宋体" w:cs="宋体"/>
          <w:sz w:val="24"/>
          <w:szCs w:val="24"/>
          <w:highlight w:val="none"/>
          <w:lang w:eastAsia="zh-CN"/>
        </w:rPr>
        <w:t>的</w:t>
      </w:r>
      <w:r>
        <w:rPr>
          <w:rFonts w:hint="eastAsia" w:ascii="宋体" w:hAnsi="宋体" w:eastAsia="宋体" w:cs="宋体"/>
          <w:sz w:val="24"/>
          <w:szCs w:val="24"/>
          <w:highlight w:val="none"/>
        </w:rPr>
        <w:t>整改项目、列入</w:t>
      </w:r>
      <w:r>
        <w:rPr>
          <w:rFonts w:hint="eastAsia" w:ascii="宋体" w:hAnsi="宋体" w:eastAsia="宋体" w:cs="宋体"/>
          <w:sz w:val="24"/>
          <w:szCs w:val="24"/>
          <w:highlight w:val="none"/>
          <w:lang w:eastAsia="zh-CN"/>
        </w:rPr>
        <w:t>该年度</w:t>
      </w:r>
      <w:r>
        <w:rPr>
          <w:rFonts w:hint="eastAsia" w:ascii="宋体" w:hAnsi="宋体" w:eastAsia="宋体" w:cs="宋体"/>
          <w:sz w:val="24"/>
          <w:szCs w:val="24"/>
          <w:highlight w:val="none"/>
          <w:lang w:val="en-US" w:eastAsia="zh-CN"/>
        </w:rPr>
        <w:t>计划的三大工程项目，以及全省重点调度项目名单等有关</w:t>
      </w:r>
      <w:r>
        <w:rPr>
          <w:rFonts w:hint="eastAsia" w:ascii="宋体" w:hAnsi="宋体" w:eastAsia="宋体" w:cs="宋体"/>
          <w:sz w:val="24"/>
          <w:szCs w:val="24"/>
          <w:highlight w:val="none"/>
          <w:lang w:eastAsia="zh-CN"/>
        </w:rPr>
        <w:t>保障性安居工程</w:t>
      </w:r>
      <w:r>
        <w:rPr>
          <w:rFonts w:hint="eastAsia" w:ascii="宋体" w:hAnsi="宋体" w:eastAsia="宋体" w:cs="宋体"/>
          <w:sz w:val="24"/>
          <w:szCs w:val="24"/>
          <w:highlight w:val="none"/>
        </w:rPr>
        <w:t>项目，核实比例要求达到100%</w:t>
      </w:r>
      <w:r>
        <w:rPr>
          <w:rFonts w:hint="eastAsia" w:ascii="宋体" w:hAnsi="宋体" w:eastAsia="宋体" w:cs="宋体"/>
          <w:sz w:val="24"/>
          <w:szCs w:val="24"/>
          <w:highlight w:val="none"/>
          <w:lang w:eastAsia="zh-CN"/>
        </w:rPr>
        <w:t>。</w:t>
      </w:r>
    </w:p>
    <w:p w14:paraId="0544E52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bidi="ar"/>
        </w:rPr>
        <w:t>（二）</w:t>
      </w:r>
      <w:r>
        <w:rPr>
          <w:rFonts w:hint="eastAsia" w:ascii="宋体" w:hAnsi="宋体" w:eastAsia="宋体" w:cs="宋体"/>
          <w:b/>
          <w:bCs/>
          <w:sz w:val="24"/>
          <w:szCs w:val="24"/>
          <w:highlight w:val="none"/>
        </w:rPr>
        <w:t>服务要求</w:t>
      </w:r>
    </w:p>
    <w:p w14:paraId="33548C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highlight w:val="none"/>
          <w:lang w:val="en-US" w:eastAsia="zh-CN"/>
        </w:rPr>
      </w:pPr>
      <w:r>
        <w:rPr>
          <w:rFonts w:hint="eastAsia" w:ascii="宋体" w:hAnsi="宋体" w:eastAsia="宋体" w:cs="宋体"/>
          <w:sz w:val="24"/>
          <w:szCs w:val="24"/>
          <w:highlight w:val="none"/>
        </w:rPr>
        <w:t>第三方机构按月、分市向省住房城乡建设厅书面报告实地核实情况，报告要重点反映各地目标任务完成情况、</w:t>
      </w:r>
      <w:r>
        <w:rPr>
          <w:rFonts w:hint="eastAsia" w:ascii="宋体" w:hAnsi="宋体" w:eastAsia="宋体" w:cs="宋体"/>
          <w:sz w:val="24"/>
          <w:szCs w:val="24"/>
          <w:highlight w:val="none"/>
          <w:lang w:eastAsia="zh-CN"/>
        </w:rPr>
        <w:t>有关</w:t>
      </w:r>
      <w:r>
        <w:rPr>
          <w:rFonts w:hint="eastAsia" w:ascii="宋体" w:hAnsi="宋体" w:eastAsia="宋体" w:cs="宋体"/>
          <w:sz w:val="24"/>
          <w:szCs w:val="24"/>
          <w:highlight w:val="none"/>
        </w:rPr>
        <w:t>工作开展情况、政策落实情况，</w:t>
      </w:r>
      <w:r>
        <w:rPr>
          <w:rFonts w:hint="eastAsia" w:ascii="宋体" w:hAnsi="宋体" w:eastAsia="宋体" w:cs="宋体"/>
          <w:sz w:val="24"/>
          <w:szCs w:val="24"/>
          <w:highlight w:val="none"/>
          <w:lang w:eastAsia="zh-CN"/>
        </w:rPr>
        <w:t>以及发现</w:t>
      </w:r>
      <w:r>
        <w:rPr>
          <w:rFonts w:hint="eastAsia" w:ascii="宋体" w:hAnsi="宋体" w:eastAsia="宋体" w:cs="宋体"/>
          <w:sz w:val="24"/>
          <w:szCs w:val="24"/>
          <w:highlight w:val="none"/>
        </w:rPr>
        <w:t>存在</w:t>
      </w:r>
      <w:r>
        <w:rPr>
          <w:rFonts w:hint="eastAsia" w:ascii="宋体" w:hAnsi="宋体" w:eastAsia="宋体" w:cs="宋体"/>
          <w:sz w:val="24"/>
          <w:szCs w:val="24"/>
          <w:highlight w:val="none"/>
          <w:lang w:eastAsia="zh-CN"/>
        </w:rPr>
        <w:t>的</w:t>
      </w:r>
      <w:r>
        <w:rPr>
          <w:rFonts w:hint="eastAsia" w:ascii="宋体" w:hAnsi="宋体" w:eastAsia="宋体" w:cs="宋体"/>
          <w:sz w:val="24"/>
          <w:szCs w:val="24"/>
          <w:highlight w:val="none"/>
        </w:rPr>
        <w:t>问题</w:t>
      </w:r>
      <w:r>
        <w:rPr>
          <w:rFonts w:hint="eastAsia" w:ascii="宋体" w:hAnsi="宋体" w:eastAsia="宋体" w:cs="宋体"/>
          <w:sz w:val="24"/>
          <w:szCs w:val="24"/>
          <w:highlight w:val="none"/>
          <w:lang w:eastAsia="zh-CN"/>
        </w:rPr>
        <w:t>，并有针对性提出</w:t>
      </w:r>
      <w:r>
        <w:rPr>
          <w:rFonts w:hint="eastAsia" w:ascii="宋体" w:hAnsi="宋体" w:eastAsia="宋体" w:cs="宋体"/>
          <w:sz w:val="24"/>
          <w:szCs w:val="24"/>
          <w:highlight w:val="none"/>
        </w:rPr>
        <w:t>有关</w:t>
      </w:r>
      <w:r>
        <w:rPr>
          <w:rFonts w:hint="eastAsia" w:ascii="宋体" w:hAnsi="宋体" w:eastAsia="宋体" w:cs="宋体"/>
          <w:sz w:val="24"/>
          <w:szCs w:val="24"/>
          <w:highlight w:val="none"/>
          <w:lang w:eastAsia="zh-CN"/>
        </w:rPr>
        <w:t>工作</w:t>
      </w:r>
      <w:r>
        <w:rPr>
          <w:rFonts w:hint="eastAsia" w:ascii="宋体" w:hAnsi="宋体" w:eastAsia="宋体" w:cs="宋体"/>
          <w:sz w:val="24"/>
          <w:szCs w:val="24"/>
          <w:highlight w:val="none"/>
        </w:rPr>
        <w:t>建议。核实发现弄虚作假、虚报瞒报等重大事项，要及时</w:t>
      </w:r>
      <w:r>
        <w:rPr>
          <w:rFonts w:hint="eastAsia" w:ascii="宋体" w:hAnsi="宋体" w:eastAsia="宋体" w:cs="宋体"/>
          <w:sz w:val="24"/>
          <w:szCs w:val="24"/>
          <w:highlight w:val="none"/>
          <w:lang w:eastAsia="zh-CN"/>
        </w:rPr>
        <w:t>如实</w:t>
      </w:r>
      <w:r>
        <w:rPr>
          <w:rFonts w:hint="eastAsia" w:ascii="宋体" w:hAnsi="宋体" w:eastAsia="宋体" w:cs="宋体"/>
          <w:sz w:val="24"/>
          <w:szCs w:val="24"/>
          <w:highlight w:val="none"/>
        </w:rPr>
        <w:t>报告。</w:t>
      </w:r>
    </w:p>
    <w:p w14:paraId="7CFFBB97">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highlight w:val="none"/>
          <w:lang w:bidi="ar"/>
        </w:rPr>
      </w:pPr>
      <w:r>
        <w:rPr>
          <w:rFonts w:hint="eastAsia" w:ascii="宋体" w:hAnsi="宋体" w:eastAsia="宋体" w:cs="宋体"/>
          <w:b/>
          <w:bCs/>
          <w:sz w:val="24"/>
          <w:szCs w:val="24"/>
          <w:highlight w:val="none"/>
          <w:lang w:eastAsia="zh-CN" w:bidi="ar"/>
        </w:rPr>
        <w:t>（三）</w:t>
      </w:r>
      <w:r>
        <w:rPr>
          <w:rFonts w:hint="eastAsia" w:ascii="宋体" w:hAnsi="宋体" w:eastAsia="宋体" w:cs="宋体"/>
          <w:b/>
          <w:bCs/>
          <w:sz w:val="24"/>
          <w:szCs w:val="24"/>
          <w:highlight w:val="none"/>
          <w:lang w:bidi="ar"/>
        </w:rPr>
        <w:t>服务时间</w:t>
      </w:r>
    </w:p>
    <w:p w14:paraId="2433F8D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sz w:val="24"/>
          <w:szCs w:val="24"/>
          <w:highlight w:val="none"/>
          <w:lang w:val="en-US" w:eastAsia="zh-CN" w:bidi="ar"/>
        </w:rPr>
      </w:pPr>
      <w:r>
        <w:rPr>
          <w:rFonts w:hint="eastAsia" w:ascii="宋体" w:hAnsi="宋体" w:eastAsia="宋体" w:cs="宋体"/>
          <w:sz w:val="24"/>
          <w:szCs w:val="24"/>
          <w:highlight w:val="none"/>
        </w:rPr>
        <w:t>第三方机构要于</w:t>
      </w:r>
      <w:r>
        <w:rPr>
          <w:rFonts w:hint="eastAsia" w:ascii="宋体" w:hAnsi="宋体" w:eastAsia="宋体" w:cs="宋体"/>
          <w:sz w:val="24"/>
          <w:szCs w:val="24"/>
          <w:highlight w:val="none"/>
          <w:lang w:eastAsia="zh-CN"/>
        </w:rPr>
        <w:t>该年度</w:t>
      </w:r>
      <w:r>
        <w:rPr>
          <w:rFonts w:hint="eastAsia" w:ascii="宋体" w:hAnsi="宋体" w:eastAsia="宋体" w:cs="宋体"/>
          <w:sz w:val="24"/>
          <w:szCs w:val="24"/>
          <w:highlight w:val="none"/>
        </w:rPr>
        <w:t>合同签订之日起7个工作日内开展现场核实工作，分组进行核实工作，每次每组核实人员不少于2人。现场核实工作要严格按照时间节点要求开展，</w:t>
      </w:r>
      <w:r>
        <w:rPr>
          <w:rFonts w:hint="eastAsia" w:ascii="宋体" w:hAnsi="宋体" w:eastAsia="宋体" w:cs="宋体"/>
          <w:sz w:val="24"/>
          <w:szCs w:val="24"/>
          <w:highlight w:val="none"/>
          <w:lang w:eastAsia="zh-CN"/>
        </w:rPr>
        <w:t>列入年度目标任务的项目，每年</w:t>
      </w:r>
      <w:r>
        <w:rPr>
          <w:rFonts w:hint="eastAsia" w:ascii="宋体" w:hAnsi="宋体" w:eastAsia="宋体" w:cs="宋体"/>
          <w:sz w:val="24"/>
          <w:szCs w:val="24"/>
          <w:highlight w:val="none"/>
          <w:lang w:val="en-US" w:eastAsia="zh-CN"/>
        </w:rPr>
        <w:t>6月底前核实不低于任务量40%，</w:t>
      </w:r>
      <w:r>
        <w:rPr>
          <w:rFonts w:hint="eastAsia" w:ascii="宋体" w:hAnsi="宋体" w:eastAsia="宋体" w:cs="宋体"/>
          <w:sz w:val="24"/>
          <w:szCs w:val="24"/>
          <w:highlight w:val="none"/>
          <w:lang w:eastAsia="zh-CN"/>
        </w:rPr>
        <w:t>每年</w:t>
      </w:r>
      <w:r>
        <w:rPr>
          <w:rFonts w:hint="eastAsia" w:ascii="宋体" w:hAnsi="宋体" w:eastAsia="宋体" w:cs="宋体"/>
          <w:sz w:val="24"/>
          <w:szCs w:val="24"/>
          <w:highlight w:val="none"/>
        </w:rPr>
        <w:t>11月底前，现场核实比例要求达到100%</w:t>
      </w:r>
      <w:r>
        <w:rPr>
          <w:rFonts w:hint="eastAsia" w:ascii="宋体" w:hAnsi="宋体" w:eastAsia="宋体" w:cs="宋体"/>
          <w:sz w:val="24"/>
          <w:szCs w:val="24"/>
          <w:highlight w:val="none"/>
          <w:lang w:eastAsia="zh-CN"/>
        </w:rPr>
        <w:t>，其他项目年底前全部完成。</w:t>
      </w:r>
      <w:r>
        <w:rPr>
          <w:rFonts w:hint="eastAsia" w:ascii="宋体" w:hAnsi="宋体" w:eastAsia="宋体" w:cs="宋体"/>
          <w:b w:val="0"/>
          <w:bCs w:val="0"/>
          <w:sz w:val="24"/>
          <w:szCs w:val="24"/>
          <w:highlight w:val="none"/>
          <w:lang w:eastAsia="zh-CN" w:bidi="ar"/>
        </w:rPr>
        <w:t>第三方机构现场核实评估人员要每月将</w:t>
      </w:r>
      <w:r>
        <w:rPr>
          <w:rFonts w:hint="eastAsia" w:ascii="宋体" w:hAnsi="宋体" w:eastAsia="宋体" w:cs="宋体"/>
          <w:b w:val="0"/>
          <w:bCs w:val="0"/>
          <w:sz w:val="24"/>
          <w:szCs w:val="24"/>
          <w:highlight w:val="none"/>
          <w:lang w:val="en-US" w:eastAsia="zh-CN" w:bidi="ar"/>
        </w:rPr>
        <w:t>现场核实情况于次月5日前提交现场核实评估报告；全年核实评估报告，于</w:t>
      </w:r>
      <w:r>
        <w:rPr>
          <w:rFonts w:hint="eastAsia" w:ascii="宋体" w:hAnsi="宋体" w:eastAsia="宋体" w:cs="宋体"/>
          <w:sz w:val="24"/>
          <w:szCs w:val="24"/>
          <w:highlight w:val="none"/>
          <w:lang w:eastAsia="zh-CN"/>
        </w:rPr>
        <w:t>该年度</w:t>
      </w:r>
      <w:r>
        <w:rPr>
          <w:rFonts w:hint="eastAsia" w:ascii="宋体" w:hAnsi="宋体" w:eastAsia="宋体" w:cs="宋体"/>
          <w:b w:val="0"/>
          <w:bCs w:val="0"/>
          <w:sz w:val="24"/>
          <w:szCs w:val="24"/>
          <w:highlight w:val="none"/>
          <w:lang w:val="en-US" w:eastAsia="zh-CN" w:bidi="ar"/>
        </w:rPr>
        <w:t>12月5日前提交。</w:t>
      </w:r>
    </w:p>
    <w:p w14:paraId="51F61D6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lang w:eastAsia="zh-CN"/>
        </w:rPr>
        <w:t>（四）</w:t>
      </w:r>
      <w:r>
        <w:rPr>
          <w:rFonts w:hint="eastAsia" w:ascii="宋体" w:hAnsi="宋体" w:eastAsia="宋体" w:cs="宋体"/>
          <w:b/>
          <w:bCs/>
          <w:sz w:val="24"/>
          <w:szCs w:val="24"/>
          <w:highlight w:val="none"/>
        </w:rPr>
        <w:t>服务标准。</w:t>
      </w:r>
      <w:r>
        <w:rPr>
          <w:rFonts w:hint="eastAsia" w:ascii="宋体" w:hAnsi="宋体" w:eastAsia="宋体" w:cs="宋体"/>
          <w:b w:val="0"/>
          <w:bCs w:val="0"/>
          <w:sz w:val="24"/>
          <w:szCs w:val="24"/>
          <w:highlight w:val="none"/>
          <w:lang w:eastAsia="zh-CN"/>
        </w:rPr>
        <w:t>现场核实评估</w:t>
      </w:r>
      <w:r>
        <w:rPr>
          <w:rFonts w:hint="eastAsia" w:ascii="宋体" w:hAnsi="宋体" w:eastAsia="宋体" w:cs="宋体"/>
          <w:sz w:val="24"/>
          <w:szCs w:val="24"/>
          <w:highlight w:val="none"/>
        </w:rPr>
        <w:t>报告内容要</w:t>
      </w:r>
      <w:r>
        <w:rPr>
          <w:rFonts w:hint="eastAsia" w:ascii="宋体" w:hAnsi="宋体" w:eastAsia="宋体" w:cs="宋体"/>
          <w:sz w:val="24"/>
          <w:szCs w:val="24"/>
          <w:highlight w:val="none"/>
          <w:lang w:eastAsia="zh-CN"/>
        </w:rPr>
        <w:t>全面、</w:t>
      </w:r>
      <w:r>
        <w:rPr>
          <w:rFonts w:hint="eastAsia" w:ascii="宋体" w:hAnsi="宋体" w:eastAsia="宋体" w:cs="宋体"/>
          <w:sz w:val="24"/>
          <w:szCs w:val="24"/>
          <w:highlight w:val="none"/>
        </w:rPr>
        <w:t>客观</w:t>
      </w:r>
      <w:r>
        <w:rPr>
          <w:rFonts w:hint="eastAsia" w:ascii="宋体" w:hAnsi="宋体" w:eastAsia="宋体" w:cs="宋体"/>
          <w:sz w:val="24"/>
          <w:szCs w:val="24"/>
          <w:highlight w:val="none"/>
          <w:lang w:eastAsia="zh-CN"/>
        </w:rPr>
        <w:t>、准确、及时</w:t>
      </w:r>
      <w:r>
        <w:rPr>
          <w:rFonts w:hint="eastAsia" w:ascii="宋体" w:hAnsi="宋体" w:eastAsia="宋体" w:cs="宋体"/>
          <w:sz w:val="24"/>
          <w:szCs w:val="24"/>
          <w:highlight w:val="none"/>
        </w:rPr>
        <w:t>反映</w:t>
      </w:r>
      <w:r>
        <w:rPr>
          <w:rFonts w:hint="eastAsia" w:ascii="宋体" w:hAnsi="宋体" w:eastAsia="宋体" w:cs="宋体"/>
          <w:sz w:val="24"/>
          <w:szCs w:val="24"/>
          <w:highlight w:val="none"/>
          <w:lang w:eastAsia="zh-CN"/>
        </w:rPr>
        <w:t>保障性安居工作情况，第三方机构对评估报告的</w:t>
      </w:r>
      <w:r>
        <w:rPr>
          <w:rFonts w:hint="eastAsia" w:ascii="宋体" w:hAnsi="宋体" w:eastAsia="宋体" w:cs="宋体"/>
          <w:sz w:val="24"/>
          <w:szCs w:val="24"/>
          <w:highlight w:val="none"/>
        </w:rPr>
        <w:t>真实性负责，不得瞒报</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漏报</w:t>
      </w:r>
      <w:r>
        <w:rPr>
          <w:rFonts w:hint="eastAsia" w:ascii="宋体" w:hAnsi="宋体" w:eastAsia="宋体" w:cs="宋体"/>
          <w:sz w:val="24"/>
          <w:szCs w:val="24"/>
          <w:highlight w:val="none"/>
          <w:lang w:eastAsia="zh-CN"/>
        </w:rPr>
        <w:t>、迟报</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按月现场核实评估报告侧重于项目的进展情况以及以及竣工项目交付使用情况；年度现场核实评估报告侧重于全年项目开工、基本建成、竣工、交付使用情况的全面评价，总结经验做法、分析问题原因，对下一年度相关工作提出建议。</w:t>
      </w:r>
      <w:r>
        <w:rPr>
          <w:rFonts w:hint="eastAsia" w:ascii="宋体" w:hAnsi="宋体" w:eastAsia="宋体" w:cs="宋体"/>
          <w:sz w:val="24"/>
          <w:szCs w:val="24"/>
          <w:highlight w:val="none"/>
        </w:rPr>
        <w:t>如果存在虚假报送或瞒报漏报行为，每发现一次，将按合同价款的5%扣减费用。</w:t>
      </w:r>
    </w:p>
    <w:p w14:paraId="2C99346A">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sz w:val="24"/>
          <w:szCs w:val="18"/>
          <w:highlight w:val="none"/>
        </w:rPr>
      </w:pPr>
      <w:r>
        <w:rPr>
          <w:rFonts w:hint="eastAsia" w:ascii="宋体" w:hAnsi="宋体" w:eastAsia="宋体" w:cs="宋体"/>
          <w:b/>
          <w:bCs/>
          <w:sz w:val="24"/>
          <w:szCs w:val="24"/>
          <w:highlight w:val="none"/>
          <w:lang w:val="en-US" w:eastAsia="zh-CN"/>
        </w:rPr>
        <w:t xml:space="preserve"> </w:t>
      </w:r>
      <w:r>
        <w:rPr>
          <w:rFonts w:hint="eastAsia" w:ascii="宋体" w:hAnsi="宋体" w:eastAsia="宋体" w:cs="宋体"/>
          <w:b/>
          <w:sz w:val="24"/>
          <w:szCs w:val="18"/>
          <w:highlight w:val="none"/>
          <w:lang w:eastAsia="zh-CN"/>
        </w:rPr>
        <w:t>四</w:t>
      </w:r>
      <w:r>
        <w:rPr>
          <w:rFonts w:hint="eastAsia" w:ascii="宋体" w:hAnsi="宋体" w:eastAsia="宋体" w:cs="宋体"/>
          <w:b/>
          <w:sz w:val="24"/>
          <w:szCs w:val="18"/>
          <w:highlight w:val="none"/>
        </w:rPr>
        <w:t>、报价要求</w:t>
      </w:r>
    </w:p>
    <w:p w14:paraId="147F74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8"/>
          <w:highlight w:val="none"/>
        </w:rPr>
      </w:pPr>
      <w:r>
        <w:rPr>
          <w:rFonts w:hint="eastAsia" w:ascii="宋体" w:hAnsi="宋体" w:eastAsia="宋体" w:cs="宋体"/>
          <w:sz w:val="24"/>
          <w:szCs w:val="24"/>
          <w:highlight w:val="none"/>
        </w:rPr>
        <w:t>本项目报总价，包含</w:t>
      </w:r>
      <w:r>
        <w:rPr>
          <w:rFonts w:hint="eastAsia" w:ascii="宋体" w:hAnsi="宋体" w:eastAsia="宋体" w:cs="宋体"/>
          <w:sz w:val="24"/>
          <w:szCs w:val="28"/>
          <w:highlight w:val="none"/>
        </w:rPr>
        <w:t>完成本项目所需全部费用：</w:t>
      </w:r>
    </w:p>
    <w:p w14:paraId="3C84D6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1、报价包含为完成本项目的一切可预见和不可预见的费用。</w:t>
      </w:r>
    </w:p>
    <w:p w14:paraId="03E883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sz w:val="24"/>
          <w:szCs w:val="24"/>
          <w:highlight w:val="none"/>
        </w:rPr>
      </w:pPr>
      <w:r>
        <w:rPr>
          <w:rFonts w:hint="eastAsia" w:ascii="宋体" w:hAnsi="宋体" w:eastAsia="宋体" w:cs="宋体"/>
          <w:sz w:val="24"/>
          <w:szCs w:val="24"/>
          <w:highlight w:val="none"/>
        </w:rPr>
        <w:t>2、最终报价不得超过本项目预算。</w:t>
      </w:r>
    </w:p>
    <w:bookmarkEnd w:id="15"/>
    <w:p w14:paraId="0B3C5B2F">
      <w:pPr>
        <w:keepNext w:val="0"/>
        <w:keepLines w:val="0"/>
        <w:pageBreakBefore w:val="0"/>
        <w:widowControl w:val="0"/>
        <w:kinsoku/>
        <w:wordWrap/>
        <w:overflowPunct/>
        <w:topLinePunct w:val="0"/>
        <w:bidi w:val="0"/>
        <w:snapToGrid/>
        <w:spacing w:line="360" w:lineRule="auto"/>
        <w:ind w:firstLine="480" w:firstLineChars="200"/>
        <w:textAlignment w:val="auto"/>
        <w:rPr>
          <w:rFonts w:ascii="宋体" w:hAnsi="宋体" w:eastAsia="宋体"/>
          <w:sz w:val="24"/>
          <w:highlight w:val="none"/>
        </w:rPr>
      </w:pPr>
    </w:p>
    <w:p w14:paraId="3E2983F5">
      <w:pPr>
        <w:spacing w:line="360" w:lineRule="auto"/>
        <w:ind w:firstLine="480" w:firstLineChars="200"/>
        <w:rPr>
          <w:rFonts w:ascii="宋体" w:hAnsi="宋体" w:eastAsia="宋体"/>
          <w:color w:val="auto"/>
          <w:sz w:val="24"/>
          <w:highlight w:val="none"/>
        </w:rPr>
      </w:pPr>
      <w:r>
        <w:rPr>
          <w:rFonts w:ascii="宋体" w:hAnsi="宋体" w:eastAsia="宋体"/>
          <w:sz w:val="24"/>
          <w:highlight w:val="none"/>
        </w:rPr>
        <w:br w:type="page"/>
      </w:r>
    </w:p>
    <w:p w14:paraId="460D1B98">
      <w:pPr>
        <w:pageBreakBefore w:val="0"/>
        <w:kinsoku/>
        <w:wordWrap w:val="0"/>
        <w:overflowPunct/>
        <w:topLinePunct w:val="0"/>
        <w:bidi w:val="0"/>
        <w:spacing w:line="360" w:lineRule="auto"/>
        <w:jc w:val="center"/>
        <w:textAlignment w:val="auto"/>
        <w:outlineLvl w:val="1"/>
        <w:rPr>
          <w:rFonts w:hint="eastAsia" w:ascii="华文中宋" w:hAnsi="华文中宋" w:eastAsia="华文中宋" w:cs="Times New Roman"/>
          <w:b/>
          <w:bCs/>
          <w:color w:val="auto"/>
          <w:kern w:val="44"/>
          <w:sz w:val="44"/>
          <w:szCs w:val="44"/>
          <w:highlight w:val="none"/>
          <w:lang w:val="en-US" w:eastAsia="zh-CN" w:bidi="ar-SA"/>
        </w:rPr>
      </w:pPr>
      <w:bookmarkStart w:id="16" w:name="_Toc18055"/>
      <w:bookmarkStart w:id="17" w:name="_Toc3206"/>
      <w:r>
        <w:rPr>
          <w:rFonts w:hint="eastAsia" w:ascii="华文中宋" w:hAnsi="华文中宋" w:eastAsia="华文中宋" w:cs="Times New Roman"/>
          <w:b/>
          <w:bCs/>
          <w:color w:val="auto"/>
          <w:kern w:val="44"/>
          <w:sz w:val="44"/>
          <w:szCs w:val="44"/>
          <w:highlight w:val="none"/>
          <w:lang w:val="en-US" w:eastAsia="zh-CN" w:bidi="ar-SA"/>
        </w:rPr>
        <w:t>第四章  评审方法和标准</w:t>
      </w:r>
      <w:bookmarkEnd w:id="16"/>
      <w:bookmarkEnd w:id="17"/>
    </w:p>
    <w:p w14:paraId="459E7638">
      <w:pPr>
        <w:spacing w:line="360" w:lineRule="auto"/>
        <w:ind w:firstLine="437"/>
        <w:jc w:val="left"/>
        <w:outlineLvl w:val="2"/>
        <w:rPr>
          <w:rFonts w:ascii="宋体" w:hAnsi="宋体" w:eastAsia="宋体"/>
          <w:b/>
          <w:color w:val="auto"/>
          <w:sz w:val="24"/>
          <w:highlight w:val="none"/>
        </w:rPr>
      </w:pPr>
      <w:r>
        <w:rPr>
          <w:rFonts w:hint="eastAsia" w:ascii="宋体" w:hAnsi="宋体" w:eastAsia="宋体"/>
          <w:b/>
          <w:color w:val="auto"/>
          <w:sz w:val="24"/>
          <w:highlight w:val="none"/>
        </w:rPr>
        <w:t>一、总则</w:t>
      </w:r>
    </w:p>
    <w:p w14:paraId="7FE01E8D">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本项目将按照磋商文件第二章 供应商须知的相关要求</w:t>
      </w:r>
      <w:r>
        <w:rPr>
          <w:rFonts w:ascii="宋体" w:hAnsi="宋体" w:eastAsia="宋体"/>
          <w:color w:val="auto"/>
          <w:sz w:val="24"/>
          <w:highlight w:val="none"/>
        </w:rPr>
        <w:t>及本章的规定</w:t>
      </w:r>
      <w:r>
        <w:rPr>
          <w:rFonts w:hint="eastAsia" w:ascii="宋体" w:hAnsi="宋体" w:eastAsia="宋体"/>
          <w:color w:val="auto"/>
          <w:sz w:val="24"/>
          <w:highlight w:val="none"/>
        </w:rPr>
        <w:t>评审</w:t>
      </w:r>
      <w:r>
        <w:rPr>
          <w:rFonts w:ascii="宋体" w:hAnsi="宋体" w:eastAsia="宋体"/>
          <w:color w:val="auto"/>
          <w:sz w:val="24"/>
          <w:highlight w:val="none"/>
        </w:rPr>
        <w:t>。</w:t>
      </w:r>
    </w:p>
    <w:p w14:paraId="61028B0F">
      <w:pPr>
        <w:spacing w:line="360" w:lineRule="auto"/>
        <w:ind w:firstLine="437"/>
        <w:jc w:val="left"/>
        <w:outlineLvl w:val="2"/>
        <w:rPr>
          <w:rFonts w:ascii="宋体" w:hAnsi="宋体" w:eastAsia="宋体"/>
          <w:b/>
          <w:color w:val="auto"/>
          <w:sz w:val="24"/>
          <w:highlight w:val="none"/>
        </w:rPr>
      </w:pPr>
      <w:r>
        <w:rPr>
          <w:rFonts w:hint="eastAsia" w:ascii="宋体" w:hAnsi="宋体" w:eastAsia="宋体"/>
          <w:b/>
          <w:color w:val="auto"/>
          <w:sz w:val="24"/>
          <w:highlight w:val="none"/>
        </w:rPr>
        <w:t>二、评审方法</w:t>
      </w:r>
    </w:p>
    <w:p w14:paraId="480B403D">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2.1初审</w:t>
      </w:r>
    </w:p>
    <w:p w14:paraId="5F6963C3">
      <w:pPr>
        <w:spacing w:line="360" w:lineRule="auto"/>
        <w:ind w:firstLine="435"/>
        <w:jc w:val="left"/>
        <w:rPr>
          <w:rFonts w:hint="eastAsia" w:ascii="宋体" w:hAnsi="宋体" w:eastAsia="宋体"/>
          <w:i/>
          <w:iCs/>
          <w:color w:val="auto"/>
          <w:sz w:val="24"/>
          <w:highlight w:val="none"/>
          <w:lang w:eastAsia="zh-CN"/>
        </w:rPr>
      </w:pPr>
      <w:r>
        <w:rPr>
          <w:rFonts w:hint="eastAsia" w:ascii="宋体" w:hAnsi="宋体" w:eastAsia="宋体"/>
          <w:color w:val="auto"/>
          <w:sz w:val="24"/>
          <w:highlight w:val="none"/>
        </w:rPr>
        <w:t>磋商小组对供应商的响应文件进行初审，以确定其是否满足磋商文件的实质性要求。初审表如下：</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653"/>
        <w:gridCol w:w="2260"/>
        <w:gridCol w:w="3867"/>
      </w:tblGrid>
      <w:tr w14:paraId="1DF3C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495" w:type="dxa"/>
            <w:gridSpan w:val="4"/>
            <w:tcBorders>
              <w:bottom w:val="single" w:color="auto" w:sz="4" w:space="0"/>
            </w:tcBorders>
            <w:noWrap w:val="0"/>
            <w:vAlign w:val="center"/>
          </w:tcPr>
          <w:p w14:paraId="78A90539">
            <w:pPr>
              <w:adjustRightInd w:val="0"/>
              <w:snapToGrid w:val="0"/>
              <w:spacing w:line="360" w:lineRule="auto"/>
              <w:ind w:right="-10"/>
              <w:jc w:val="center"/>
              <w:rPr>
                <w:rFonts w:ascii="宋体" w:hAnsi="宋体" w:eastAsia="宋体"/>
                <w:color w:val="auto"/>
                <w:sz w:val="24"/>
                <w:highlight w:val="none"/>
              </w:rPr>
            </w:pPr>
            <w:r>
              <w:rPr>
                <w:rFonts w:hint="eastAsia" w:ascii="宋体" w:hAnsi="宋体" w:eastAsia="宋体"/>
                <w:b/>
                <w:color w:val="auto"/>
                <w:sz w:val="24"/>
                <w:szCs w:val="22"/>
                <w:highlight w:val="none"/>
              </w:rPr>
              <w:t>初审表</w:t>
            </w:r>
          </w:p>
        </w:tc>
      </w:tr>
      <w:tr w14:paraId="30597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noWrap w:val="0"/>
            <w:vAlign w:val="center"/>
          </w:tcPr>
          <w:p w14:paraId="4070588D">
            <w:pPr>
              <w:adjustRightInd w:val="0"/>
              <w:snapToGrid w:val="0"/>
              <w:spacing w:line="360" w:lineRule="auto"/>
              <w:ind w:right="-10"/>
              <w:jc w:val="center"/>
              <w:rPr>
                <w:rFonts w:ascii="宋体" w:hAnsi="宋体" w:eastAsia="宋体"/>
                <w:color w:val="auto"/>
                <w:sz w:val="24"/>
                <w:highlight w:val="none"/>
              </w:rPr>
            </w:pPr>
            <w:r>
              <w:rPr>
                <w:rFonts w:hint="eastAsia" w:ascii="宋体" w:hAnsi="宋体" w:eastAsia="宋体"/>
                <w:color w:val="auto"/>
                <w:sz w:val="24"/>
                <w:highlight w:val="none"/>
              </w:rPr>
              <w:t>序号</w:t>
            </w:r>
          </w:p>
        </w:tc>
        <w:tc>
          <w:tcPr>
            <w:tcW w:w="1653" w:type="dxa"/>
            <w:tcBorders>
              <w:bottom w:val="single" w:color="auto" w:sz="4" w:space="0"/>
            </w:tcBorders>
            <w:noWrap w:val="0"/>
            <w:vAlign w:val="center"/>
          </w:tcPr>
          <w:p w14:paraId="1EE40514">
            <w:pPr>
              <w:pStyle w:val="33"/>
              <w:widowControl w:val="0"/>
              <w:pBdr>
                <w:bottom w:val="none" w:color="auto" w:sz="0" w:space="0"/>
              </w:pBdr>
              <w:tabs>
                <w:tab w:val="clear" w:pos="4153"/>
                <w:tab w:val="clear" w:pos="8306"/>
              </w:tabs>
              <w:snapToGrid w:val="0"/>
              <w:spacing w:line="360" w:lineRule="auto"/>
              <w:ind w:right="-10"/>
              <w:jc w:val="center"/>
              <w:textAlignment w:val="auto"/>
              <w:rPr>
                <w:rFonts w:ascii="宋体" w:hAnsi="宋体" w:eastAsia="宋体" w:cs="@仿宋_GB2312"/>
                <w:color w:val="auto"/>
                <w:kern w:val="2"/>
                <w:szCs w:val="24"/>
                <w:highlight w:val="none"/>
                <w:lang w:val="en-US" w:eastAsia="zh-CN" w:bidi="ar-SA"/>
              </w:rPr>
            </w:pPr>
            <w:r>
              <w:rPr>
                <w:rFonts w:hint="eastAsia" w:ascii="宋体" w:hAnsi="宋体" w:eastAsia="宋体" w:cs="@仿宋_GB2312"/>
                <w:color w:val="auto"/>
                <w:kern w:val="2"/>
                <w:szCs w:val="24"/>
                <w:highlight w:val="none"/>
                <w:lang w:val="en-US" w:eastAsia="zh-CN" w:bidi="ar-SA"/>
              </w:rPr>
              <w:t>评审指标</w:t>
            </w:r>
          </w:p>
        </w:tc>
        <w:tc>
          <w:tcPr>
            <w:tcW w:w="2260" w:type="dxa"/>
            <w:tcBorders>
              <w:bottom w:val="single" w:color="auto" w:sz="4" w:space="0"/>
            </w:tcBorders>
            <w:noWrap w:val="0"/>
            <w:vAlign w:val="center"/>
          </w:tcPr>
          <w:p w14:paraId="7E5EC4BA">
            <w:pPr>
              <w:adjustRightInd w:val="0"/>
              <w:snapToGrid w:val="0"/>
              <w:spacing w:line="360" w:lineRule="auto"/>
              <w:ind w:right="-10"/>
              <w:jc w:val="center"/>
              <w:rPr>
                <w:rFonts w:ascii="宋体" w:hAnsi="宋体" w:eastAsia="宋体"/>
                <w:color w:val="auto"/>
                <w:sz w:val="24"/>
                <w:highlight w:val="none"/>
              </w:rPr>
            </w:pPr>
            <w:r>
              <w:rPr>
                <w:rFonts w:hint="eastAsia" w:ascii="宋体" w:hAnsi="宋体" w:eastAsia="宋体"/>
                <w:color w:val="auto"/>
                <w:sz w:val="24"/>
                <w:highlight w:val="none"/>
              </w:rPr>
              <w:t>评审标准</w:t>
            </w:r>
          </w:p>
        </w:tc>
        <w:tc>
          <w:tcPr>
            <w:tcW w:w="3867" w:type="dxa"/>
            <w:tcBorders>
              <w:bottom w:val="single" w:color="auto" w:sz="4" w:space="0"/>
            </w:tcBorders>
            <w:noWrap w:val="0"/>
            <w:vAlign w:val="center"/>
          </w:tcPr>
          <w:p w14:paraId="5A8C82FE">
            <w:pPr>
              <w:adjustRightInd w:val="0"/>
              <w:snapToGrid w:val="0"/>
              <w:spacing w:line="360" w:lineRule="auto"/>
              <w:ind w:right="-10"/>
              <w:jc w:val="center"/>
              <w:rPr>
                <w:rFonts w:ascii="宋体" w:hAnsi="宋体" w:eastAsia="宋体"/>
                <w:color w:val="auto"/>
                <w:sz w:val="24"/>
                <w:highlight w:val="none"/>
              </w:rPr>
            </w:pPr>
            <w:r>
              <w:rPr>
                <w:rFonts w:hint="eastAsia" w:ascii="宋体" w:hAnsi="宋体" w:eastAsia="宋体"/>
                <w:color w:val="auto"/>
                <w:sz w:val="24"/>
                <w:highlight w:val="none"/>
              </w:rPr>
              <w:t>格式及材料要求</w:t>
            </w:r>
          </w:p>
        </w:tc>
      </w:tr>
      <w:tr w14:paraId="51FC6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5" w:hRule="atLeast"/>
          <w:jc w:val="center"/>
        </w:trPr>
        <w:tc>
          <w:tcPr>
            <w:tcW w:w="715" w:type="dxa"/>
            <w:noWrap w:val="0"/>
            <w:vAlign w:val="center"/>
          </w:tcPr>
          <w:p w14:paraId="71EB7951">
            <w:pPr>
              <w:adjustRightInd w:val="0"/>
              <w:snapToGrid w:val="0"/>
              <w:spacing w:line="360" w:lineRule="auto"/>
              <w:ind w:right="-10"/>
              <w:jc w:val="center"/>
              <w:rPr>
                <w:rFonts w:hint="eastAsia" w:ascii="宋体" w:hAnsi="宋体" w:eastAsia="宋体" w:cs="宋体"/>
                <w:b w:val="0"/>
                <w:bCs w:val="0"/>
                <w:color w:val="auto"/>
                <w:sz w:val="24"/>
                <w:highlight w:val="none"/>
              </w:rPr>
            </w:pPr>
            <w:r>
              <w:rPr>
                <w:rFonts w:hint="eastAsia" w:ascii="宋体" w:hAnsi="宋体" w:eastAsia="宋体" w:cs="宋体"/>
                <w:b w:val="0"/>
                <w:bCs w:val="0"/>
                <w:color w:val="auto"/>
                <w:sz w:val="24"/>
                <w:highlight w:val="none"/>
              </w:rPr>
              <w:t>1</w:t>
            </w:r>
          </w:p>
          <w:p w14:paraId="44C6834A">
            <w:pPr>
              <w:adjustRightInd w:val="0"/>
              <w:snapToGrid w:val="0"/>
              <w:spacing w:line="360" w:lineRule="auto"/>
              <w:ind w:right="-10"/>
              <w:jc w:val="center"/>
              <w:rPr>
                <w:rFonts w:hint="eastAsia" w:ascii="宋体" w:hAnsi="宋体" w:eastAsia="宋体" w:cs="宋体"/>
                <w:b w:val="0"/>
                <w:bCs w:val="0"/>
                <w:color w:val="auto"/>
                <w:sz w:val="24"/>
                <w:highlight w:val="none"/>
                <w:lang w:eastAsia="zh-CN"/>
              </w:rPr>
            </w:pPr>
            <w:r>
              <w:rPr>
                <w:rFonts w:hint="eastAsia" w:ascii="宋体" w:hAnsi="宋体" w:eastAsia="宋体" w:cs="宋体"/>
                <w:b w:val="0"/>
                <w:bCs w:val="0"/>
                <w:color w:val="auto"/>
                <w:sz w:val="24"/>
                <w:highlight w:val="none"/>
                <w:lang w:val="en-US" w:eastAsia="zh-CN"/>
              </w:rPr>
              <w:t xml:space="preserve"> </w:t>
            </w:r>
          </w:p>
        </w:tc>
        <w:tc>
          <w:tcPr>
            <w:tcW w:w="1653" w:type="dxa"/>
            <w:noWrap w:val="0"/>
            <w:vAlign w:val="center"/>
          </w:tcPr>
          <w:p w14:paraId="0C4CDEF1">
            <w:pPr>
              <w:spacing w:after="50" w:line="360" w:lineRule="auto"/>
              <w:ind w:right="-10" w:rightChars="0"/>
              <w:jc w:val="center"/>
              <w:rPr>
                <w:rFonts w:hint="eastAsia" w:ascii="宋体" w:hAnsi="宋体" w:eastAsia="宋体"/>
                <w:color w:val="auto"/>
                <w:sz w:val="24"/>
                <w:szCs w:val="28"/>
                <w:highlight w:val="none"/>
                <w:lang w:eastAsia="zh-CN"/>
              </w:rPr>
            </w:pPr>
            <w:r>
              <w:rPr>
                <w:rFonts w:hint="eastAsia" w:ascii="宋体" w:hAnsi="宋体" w:eastAsia="宋体"/>
                <w:color w:val="auto"/>
                <w:sz w:val="24"/>
                <w:szCs w:val="28"/>
                <w:highlight w:val="none"/>
              </w:rPr>
              <w:t>营业执照</w:t>
            </w:r>
          </w:p>
        </w:tc>
        <w:tc>
          <w:tcPr>
            <w:tcW w:w="2260" w:type="dxa"/>
            <w:tcBorders>
              <w:bottom w:val="single" w:color="auto" w:sz="4" w:space="0"/>
            </w:tcBorders>
            <w:noWrap w:val="0"/>
            <w:vAlign w:val="center"/>
          </w:tcPr>
          <w:p w14:paraId="51C27AF4">
            <w:pPr>
              <w:spacing w:after="50" w:line="360" w:lineRule="auto"/>
              <w:ind w:right="-10" w:rightChars="0"/>
              <w:jc w:val="center"/>
              <w:rPr>
                <w:rFonts w:hint="eastAsia" w:ascii="宋体" w:hAnsi="宋体" w:eastAsia="宋体"/>
                <w:color w:val="auto"/>
                <w:sz w:val="24"/>
                <w:szCs w:val="28"/>
                <w:highlight w:val="none"/>
                <w:lang w:eastAsia="zh-CN"/>
              </w:rPr>
            </w:pPr>
            <w:r>
              <w:rPr>
                <w:rFonts w:hint="eastAsia" w:ascii="宋体" w:hAnsi="宋体" w:eastAsia="宋体"/>
                <w:color w:val="auto"/>
                <w:sz w:val="24"/>
                <w:szCs w:val="28"/>
                <w:highlight w:val="none"/>
              </w:rPr>
              <w:t>合法有效</w:t>
            </w:r>
          </w:p>
        </w:tc>
        <w:tc>
          <w:tcPr>
            <w:tcW w:w="3867" w:type="dxa"/>
            <w:noWrap w:val="0"/>
            <w:vAlign w:val="center"/>
          </w:tcPr>
          <w:p w14:paraId="3BB51806">
            <w:pPr>
              <w:spacing w:line="360" w:lineRule="auto"/>
              <w:jc w:val="left"/>
              <w:rPr>
                <w:rFonts w:ascii="宋体" w:hAnsi="宋体" w:eastAsia="宋体"/>
                <w:color w:val="auto"/>
                <w:sz w:val="24"/>
                <w:highlight w:val="none"/>
              </w:rPr>
            </w:pPr>
            <w:r>
              <w:rPr>
                <w:rFonts w:hint="eastAsia" w:ascii="宋体" w:hAnsi="宋体" w:eastAsia="宋体"/>
                <w:color w:val="auto"/>
                <w:sz w:val="24"/>
                <w:highlight w:val="none"/>
              </w:rPr>
              <w:t>提供有效的供应商营业执照（或事业单位法人登记证书）的复印件或影印件，应完整的体现出营业执照（或事业单位法人登记证书）全部内容。联合体参加磋商的联合体各方均须提供。</w:t>
            </w:r>
          </w:p>
        </w:tc>
      </w:tr>
      <w:tr w14:paraId="415DE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2" w:hRule="atLeast"/>
          <w:jc w:val="center"/>
        </w:trPr>
        <w:tc>
          <w:tcPr>
            <w:tcW w:w="715" w:type="dxa"/>
            <w:tcBorders>
              <w:bottom w:val="single" w:color="auto" w:sz="4" w:space="0"/>
            </w:tcBorders>
            <w:noWrap w:val="0"/>
            <w:vAlign w:val="center"/>
          </w:tcPr>
          <w:p w14:paraId="65A5CD30">
            <w:pPr>
              <w:adjustRightInd w:val="0"/>
              <w:snapToGrid w:val="0"/>
              <w:spacing w:line="360" w:lineRule="auto"/>
              <w:ind w:right="-10"/>
              <w:jc w:val="center"/>
              <w:rPr>
                <w:rFonts w:hint="eastAsia" w:ascii="宋体" w:hAnsi="宋体" w:eastAsia="宋体" w:cs="宋体"/>
                <w:b w:val="0"/>
                <w:bCs w:val="0"/>
                <w:color w:val="auto"/>
                <w:sz w:val="24"/>
                <w:highlight w:val="none"/>
                <w:lang w:eastAsia="zh-CN"/>
              </w:rPr>
            </w:pPr>
            <w:r>
              <w:rPr>
                <w:rFonts w:hint="eastAsia" w:ascii="宋体" w:hAnsi="宋体" w:eastAsia="宋体" w:cs="宋体"/>
                <w:b w:val="0"/>
                <w:bCs w:val="0"/>
                <w:color w:val="auto"/>
                <w:sz w:val="24"/>
                <w:highlight w:val="none"/>
                <w:lang w:val="en-US" w:eastAsia="zh-CN"/>
              </w:rPr>
              <w:t>2</w:t>
            </w:r>
          </w:p>
        </w:tc>
        <w:tc>
          <w:tcPr>
            <w:tcW w:w="1653" w:type="dxa"/>
            <w:tcBorders>
              <w:bottom w:val="single" w:color="auto" w:sz="4" w:space="0"/>
            </w:tcBorders>
            <w:noWrap w:val="0"/>
            <w:vAlign w:val="center"/>
          </w:tcPr>
          <w:p w14:paraId="206B3B99">
            <w:pPr>
              <w:spacing w:after="50" w:line="360" w:lineRule="auto"/>
              <w:ind w:right="-10"/>
              <w:jc w:val="center"/>
              <w:rPr>
                <w:rFonts w:ascii="宋体" w:hAnsi="宋体" w:eastAsia="宋体"/>
                <w:color w:val="auto"/>
                <w:sz w:val="24"/>
                <w:szCs w:val="28"/>
                <w:highlight w:val="none"/>
              </w:rPr>
            </w:pPr>
            <w:r>
              <w:rPr>
                <w:rFonts w:hint="eastAsia" w:ascii="宋体" w:hAnsi="宋体" w:eastAsia="宋体"/>
                <w:color w:val="auto"/>
                <w:sz w:val="24"/>
                <w:szCs w:val="18"/>
                <w:highlight w:val="none"/>
              </w:rPr>
              <w:t>不良信用记录查询</w:t>
            </w:r>
          </w:p>
        </w:tc>
        <w:tc>
          <w:tcPr>
            <w:tcW w:w="2260" w:type="dxa"/>
            <w:tcBorders>
              <w:bottom w:val="single" w:color="auto" w:sz="4" w:space="0"/>
            </w:tcBorders>
            <w:noWrap w:val="0"/>
            <w:vAlign w:val="center"/>
          </w:tcPr>
          <w:p w14:paraId="53E5055A">
            <w:pPr>
              <w:spacing w:after="50" w:line="360" w:lineRule="auto"/>
              <w:ind w:right="-10"/>
              <w:jc w:val="center"/>
              <w:rPr>
                <w:rFonts w:ascii="宋体" w:hAnsi="宋体" w:eastAsia="宋体"/>
                <w:color w:val="auto"/>
                <w:sz w:val="24"/>
                <w:szCs w:val="28"/>
                <w:highlight w:val="none"/>
              </w:rPr>
            </w:pPr>
            <w:r>
              <w:rPr>
                <w:rFonts w:hint="eastAsia" w:ascii="宋体" w:hAnsi="宋体" w:eastAsia="宋体"/>
                <w:color w:val="auto"/>
                <w:sz w:val="24"/>
                <w:szCs w:val="28"/>
                <w:highlight w:val="none"/>
              </w:rPr>
              <w:t>供应商不得存在供应商</w:t>
            </w:r>
            <w:r>
              <w:rPr>
                <w:rFonts w:hint="eastAsia" w:ascii="宋体" w:hAnsi="宋体" w:eastAsia="宋体"/>
                <w:color w:val="auto"/>
                <w:sz w:val="24"/>
                <w:highlight w:val="none"/>
              </w:rPr>
              <w:t>须知第19.3.1.1条</w:t>
            </w:r>
            <w:r>
              <w:rPr>
                <w:rFonts w:hint="eastAsia" w:ascii="宋体" w:hAnsi="宋体" w:eastAsia="宋体"/>
                <w:color w:val="auto"/>
                <w:sz w:val="24"/>
                <w:szCs w:val="28"/>
                <w:highlight w:val="none"/>
              </w:rPr>
              <w:t>中的</w:t>
            </w:r>
            <w:r>
              <w:rPr>
                <w:rFonts w:hint="eastAsia" w:ascii="宋体" w:hAnsi="宋体" w:eastAsia="宋体"/>
                <w:color w:val="auto"/>
                <w:sz w:val="24"/>
                <w:szCs w:val="18"/>
                <w:highlight w:val="none"/>
              </w:rPr>
              <w:t>不良信用记录情形</w:t>
            </w:r>
          </w:p>
        </w:tc>
        <w:tc>
          <w:tcPr>
            <w:tcW w:w="3867" w:type="dxa"/>
            <w:tcBorders>
              <w:bottom w:val="single" w:color="auto" w:sz="4" w:space="0"/>
            </w:tcBorders>
            <w:noWrap w:val="0"/>
            <w:vAlign w:val="center"/>
          </w:tcPr>
          <w:p w14:paraId="0DBDA51D">
            <w:pPr>
              <w:adjustRightInd w:val="0"/>
              <w:snapToGrid w:val="0"/>
              <w:spacing w:line="360" w:lineRule="auto"/>
              <w:ind w:right="-10"/>
              <w:jc w:val="left"/>
              <w:rPr>
                <w:rFonts w:ascii="宋体" w:hAnsi="宋体" w:eastAsia="宋体"/>
                <w:color w:val="auto"/>
                <w:sz w:val="24"/>
                <w:highlight w:val="none"/>
              </w:rPr>
            </w:pPr>
            <w:r>
              <w:rPr>
                <w:rFonts w:hint="eastAsia" w:ascii="宋体" w:hAnsi="宋体" w:eastAsia="宋体"/>
                <w:color w:val="auto"/>
                <w:sz w:val="24"/>
                <w:highlight w:val="none"/>
              </w:rPr>
              <w:t>详见供应商须知第19.3.1条要求</w:t>
            </w:r>
          </w:p>
        </w:tc>
      </w:tr>
      <w:tr w14:paraId="3CF26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2" w:hRule="atLeast"/>
          <w:jc w:val="center"/>
        </w:trPr>
        <w:tc>
          <w:tcPr>
            <w:tcW w:w="715" w:type="dxa"/>
            <w:tcBorders>
              <w:bottom w:val="single" w:color="auto" w:sz="4" w:space="0"/>
            </w:tcBorders>
            <w:noWrap w:val="0"/>
            <w:vAlign w:val="center"/>
          </w:tcPr>
          <w:p w14:paraId="3C79F07B">
            <w:pPr>
              <w:adjustRightInd w:val="0"/>
              <w:snapToGrid w:val="0"/>
              <w:spacing w:line="360" w:lineRule="auto"/>
              <w:ind w:right="-10"/>
              <w:jc w:val="center"/>
              <w:rPr>
                <w:rFonts w:hint="default" w:ascii="宋体" w:hAnsi="宋体" w:eastAsia="宋体" w:cs="宋体"/>
                <w:b w:val="0"/>
                <w:bCs w:val="0"/>
                <w:color w:val="auto"/>
                <w:sz w:val="24"/>
                <w:highlight w:val="none"/>
                <w:lang w:val="en-US" w:eastAsia="zh-CN"/>
              </w:rPr>
            </w:pPr>
            <w:r>
              <w:rPr>
                <w:rFonts w:hint="eastAsia" w:ascii="宋体" w:hAnsi="宋体" w:eastAsia="宋体" w:cs="宋体"/>
                <w:b w:val="0"/>
                <w:bCs w:val="0"/>
                <w:color w:val="auto"/>
                <w:sz w:val="24"/>
                <w:highlight w:val="none"/>
                <w:lang w:val="en-US" w:eastAsia="zh-CN"/>
              </w:rPr>
              <w:t>3</w:t>
            </w:r>
          </w:p>
        </w:tc>
        <w:tc>
          <w:tcPr>
            <w:tcW w:w="1653" w:type="dxa"/>
            <w:tcBorders>
              <w:bottom w:val="single" w:color="auto" w:sz="4" w:space="0"/>
            </w:tcBorders>
            <w:noWrap w:val="0"/>
            <w:vAlign w:val="center"/>
          </w:tcPr>
          <w:p w14:paraId="63F68DAB">
            <w:pPr>
              <w:spacing w:after="50" w:line="360" w:lineRule="auto"/>
              <w:ind w:right="-10" w:rightChars="0"/>
              <w:jc w:val="center"/>
              <w:rPr>
                <w:rFonts w:hint="eastAsia" w:ascii="宋体" w:hAnsi="宋体" w:eastAsia="宋体"/>
                <w:color w:val="auto"/>
                <w:sz w:val="24"/>
                <w:szCs w:val="18"/>
                <w:highlight w:val="none"/>
              </w:rPr>
            </w:pPr>
            <w:r>
              <w:rPr>
                <w:rFonts w:hint="eastAsia" w:ascii="宋体" w:hAnsi="宋体" w:eastAsia="宋体"/>
                <w:color w:val="auto"/>
                <w:sz w:val="24"/>
                <w:szCs w:val="28"/>
                <w:highlight w:val="none"/>
              </w:rPr>
              <w:t>无重大违法记录声明函、无不良信用记录声明函</w:t>
            </w:r>
          </w:p>
        </w:tc>
        <w:tc>
          <w:tcPr>
            <w:tcW w:w="2260" w:type="dxa"/>
            <w:tcBorders>
              <w:bottom w:val="single" w:color="auto" w:sz="4" w:space="0"/>
            </w:tcBorders>
            <w:noWrap w:val="0"/>
            <w:vAlign w:val="center"/>
          </w:tcPr>
          <w:p w14:paraId="64C2ACF8">
            <w:pPr>
              <w:spacing w:after="50" w:line="360" w:lineRule="auto"/>
              <w:ind w:right="-10" w:rightChars="0"/>
              <w:jc w:val="center"/>
              <w:rPr>
                <w:rFonts w:hint="eastAsia" w:ascii="宋体" w:hAnsi="宋体" w:eastAsia="宋体"/>
                <w:color w:val="auto"/>
                <w:sz w:val="24"/>
                <w:szCs w:val="28"/>
                <w:highlight w:val="none"/>
              </w:rPr>
            </w:pPr>
            <w:r>
              <w:rPr>
                <w:rFonts w:hint="eastAsia" w:ascii="宋体" w:hAnsi="宋体" w:eastAsia="宋体"/>
                <w:color w:val="auto"/>
                <w:sz w:val="24"/>
                <w:szCs w:val="28"/>
                <w:highlight w:val="none"/>
              </w:rPr>
              <w:t>格式、填写要求符合磋商文件规定并加盖供应商公章</w:t>
            </w:r>
          </w:p>
        </w:tc>
        <w:tc>
          <w:tcPr>
            <w:tcW w:w="3867" w:type="dxa"/>
            <w:tcBorders>
              <w:bottom w:val="single" w:color="auto" w:sz="4" w:space="0"/>
            </w:tcBorders>
            <w:noWrap w:val="0"/>
            <w:vAlign w:val="center"/>
          </w:tcPr>
          <w:p w14:paraId="54BEAF01">
            <w:pPr>
              <w:adjustRightInd w:val="0"/>
              <w:snapToGrid w:val="0"/>
              <w:spacing w:line="360" w:lineRule="auto"/>
              <w:ind w:right="-10" w:rightChars="0"/>
              <w:jc w:val="left"/>
              <w:rPr>
                <w:rFonts w:hint="eastAsia" w:ascii="宋体" w:hAnsi="宋体" w:eastAsia="宋体"/>
                <w:color w:val="auto"/>
                <w:sz w:val="24"/>
                <w:highlight w:val="none"/>
              </w:rPr>
            </w:pPr>
            <w:r>
              <w:rPr>
                <w:rFonts w:hint="eastAsia" w:ascii="宋体" w:hAnsi="宋体" w:eastAsia="宋体"/>
                <w:color w:val="auto"/>
                <w:sz w:val="24"/>
                <w:highlight w:val="none"/>
              </w:rPr>
              <w:t>详见第六章响应文件格式四</w:t>
            </w:r>
          </w:p>
        </w:tc>
      </w:tr>
      <w:tr w14:paraId="089BE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715" w:type="dxa"/>
            <w:tcBorders>
              <w:bottom w:val="single" w:color="auto" w:sz="4" w:space="0"/>
            </w:tcBorders>
            <w:noWrap w:val="0"/>
            <w:vAlign w:val="center"/>
          </w:tcPr>
          <w:p w14:paraId="088F03F8">
            <w:pPr>
              <w:adjustRightInd w:val="0"/>
              <w:snapToGrid w:val="0"/>
              <w:spacing w:line="360" w:lineRule="auto"/>
              <w:ind w:right="-10"/>
              <w:jc w:val="center"/>
              <w:rPr>
                <w:rFonts w:hint="eastAsia" w:ascii="宋体" w:hAnsi="宋体" w:eastAsia="宋体" w:cs="宋体"/>
                <w:b w:val="0"/>
                <w:bCs w:val="0"/>
                <w:color w:val="auto"/>
                <w:sz w:val="24"/>
                <w:highlight w:val="none"/>
                <w:lang w:eastAsia="zh-CN"/>
              </w:rPr>
            </w:pPr>
            <w:r>
              <w:rPr>
                <w:rFonts w:hint="eastAsia" w:ascii="宋体" w:hAnsi="宋体" w:eastAsia="宋体" w:cs="宋体"/>
                <w:b w:val="0"/>
                <w:bCs w:val="0"/>
                <w:color w:val="auto"/>
                <w:sz w:val="24"/>
                <w:highlight w:val="none"/>
                <w:lang w:val="en-US" w:eastAsia="zh-CN"/>
              </w:rPr>
              <w:t>4</w:t>
            </w:r>
          </w:p>
        </w:tc>
        <w:tc>
          <w:tcPr>
            <w:tcW w:w="1653" w:type="dxa"/>
            <w:tcBorders>
              <w:bottom w:val="single" w:color="auto" w:sz="4" w:space="0"/>
            </w:tcBorders>
            <w:noWrap w:val="0"/>
            <w:vAlign w:val="center"/>
          </w:tcPr>
          <w:p w14:paraId="6D98CDF8">
            <w:pPr>
              <w:spacing w:after="50" w:line="360" w:lineRule="auto"/>
              <w:ind w:right="-10"/>
              <w:jc w:val="center"/>
              <w:rPr>
                <w:rFonts w:ascii="宋体" w:hAnsi="宋体" w:eastAsia="宋体"/>
                <w:color w:val="auto"/>
                <w:sz w:val="24"/>
                <w:szCs w:val="28"/>
                <w:highlight w:val="none"/>
              </w:rPr>
            </w:pPr>
            <w:r>
              <w:rPr>
                <w:rFonts w:hint="eastAsia" w:ascii="宋体" w:hAnsi="宋体" w:eastAsia="宋体"/>
                <w:color w:val="auto"/>
                <w:sz w:val="24"/>
                <w:szCs w:val="28"/>
                <w:highlight w:val="none"/>
              </w:rPr>
              <w:t>磋商响应函</w:t>
            </w:r>
          </w:p>
        </w:tc>
        <w:tc>
          <w:tcPr>
            <w:tcW w:w="2260" w:type="dxa"/>
            <w:tcBorders>
              <w:bottom w:val="single" w:color="auto" w:sz="4" w:space="0"/>
            </w:tcBorders>
            <w:noWrap w:val="0"/>
            <w:vAlign w:val="center"/>
          </w:tcPr>
          <w:p w14:paraId="024F5346">
            <w:pPr>
              <w:spacing w:after="50" w:line="360" w:lineRule="auto"/>
              <w:ind w:right="-10"/>
              <w:jc w:val="center"/>
              <w:rPr>
                <w:rFonts w:ascii="宋体" w:hAnsi="宋体" w:eastAsia="宋体"/>
                <w:color w:val="auto"/>
                <w:sz w:val="24"/>
                <w:szCs w:val="28"/>
                <w:highlight w:val="none"/>
              </w:rPr>
            </w:pPr>
            <w:r>
              <w:rPr>
                <w:rFonts w:hint="eastAsia" w:ascii="宋体" w:hAnsi="宋体" w:eastAsia="宋体"/>
                <w:color w:val="auto"/>
                <w:sz w:val="24"/>
                <w:szCs w:val="28"/>
                <w:highlight w:val="none"/>
              </w:rPr>
              <w:t>格式、填写要求符合磋商文件规定并加盖供应商公章</w:t>
            </w:r>
          </w:p>
        </w:tc>
        <w:tc>
          <w:tcPr>
            <w:tcW w:w="3867" w:type="dxa"/>
            <w:tcBorders>
              <w:bottom w:val="single" w:color="auto" w:sz="4" w:space="0"/>
            </w:tcBorders>
            <w:noWrap w:val="0"/>
            <w:vAlign w:val="center"/>
          </w:tcPr>
          <w:p w14:paraId="67339554">
            <w:pPr>
              <w:adjustRightInd w:val="0"/>
              <w:snapToGrid w:val="0"/>
              <w:spacing w:line="360" w:lineRule="auto"/>
              <w:ind w:right="-10"/>
              <w:jc w:val="left"/>
              <w:rPr>
                <w:rFonts w:ascii="宋体" w:hAnsi="宋体" w:eastAsia="宋体"/>
                <w:color w:val="auto"/>
                <w:sz w:val="24"/>
                <w:highlight w:val="none"/>
              </w:rPr>
            </w:pPr>
            <w:r>
              <w:rPr>
                <w:rFonts w:hint="eastAsia" w:ascii="宋体" w:hAnsi="宋体" w:eastAsia="宋体"/>
                <w:color w:val="auto"/>
                <w:sz w:val="24"/>
                <w:highlight w:val="none"/>
              </w:rPr>
              <w:t>详见第六章响应文件格式三</w:t>
            </w:r>
          </w:p>
        </w:tc>
      </w:tr>
      <w:tr w14:paraId="2C2C4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6" w:hRule="atLeast"/>
          <w:jc w:val="center"/>
        </w:trPr>
        <w:tc>
          <w:tcPr>
            <w:tcW w:w="715" w:type="dxa"/>
            <w:tcBorders>
              <w:bottom w:val="single" w:color="auto" w:sz="4" w:space="0"/>
            </w:tcBorders>
            <w:noWrap w:val="0"/>
            <w:vAlign w:val="center"/>
          </w:tcPr>
          <w:p w14:paraId="01672C87">
            <w:pPr>
              <w:adjustRightInd w:val="0"/>
              <w:snapToGrid w:val="0"/>
              <w:spacing w:line="360" w:lineRule="auto"/>
              <w:ind w:right="-10"/>
              <w:jc w:val="center"/>
              <w:rPr>
                <w:rFonts w:hint="eastAsia" w:ascii="宋体" w:hAnsi="宋体" w:eastAsia="宋体" w:cs="宋体"/>
                <w:b w:val="0"/>
                <w:bCs w:val="0"/>
                <w:color w:val="auto"/>
                <w:sz w:val="24"/>
                <w:highlight w:val="none"/>
              </w:rPr>
            </w:pPr>
            <w:r>
              <w:rPr>
                <w:rFonts w:hint="eastAsia" w:ascii="宋体" w:hAnsi="宋体" w:eastAsia="宋体" w:cs="宋体"/>
                <w:b w:val="0"/>
                <w:bCs w:val="0"/>
                <w:color w:val="auto"/>
                <w:sz w:val="24"/>
                <w:highlight w:val="none"/>
                <w:lang w:val="en-US" w:eastAsia="zh-CN"/>
              </w:rPr>
              <w:t>5</w:t>
            </w:r>
          </w:p>
        </w:tc>
        <w:tc>
          <w:tcPr>
            <w:tcW w:w="1653" w:type="dxa"/>
            <w:tcBorders>
              <w:bottom w:val="single" w:color="auto" w:sz="4" w:space="0"/>
            </w:tcBorders>
            <w:noWrap w:val="0"/>
            <w:vAlign w:val="center"/>
          </w:tcPr>
          <w:p w14:paraId="4CD9DB3F">
            <w:pPr>
              <w:spacing w:after="50" w:line="360" w:lineRule="auto"/>
              <w:ind w:right="-10"/>
              <w:jc w:val="center"/>
              <w:rPr>
                <w:rFonts w:ascii="宋体" w:hAnsi="宋体" w:eastAsia="宋体"/>
                <w:color w:val="auto"/>
                <w:sz w:val="24"/>
                <w:szCs w:val="28"/>
                <w:highlight w:val="none"/>
              </w:rPr>
            </w:pPr>
            <w:r>
              <w:rPr>
                <w:rFonts w:hint="eastAsia" w:ascii="宋体" w:hAnsi="宋体" w:eastAsia="宋体"/>
                <w:color w:val="auto"/>
                <w:sz w:val="24"/>
                <w:szCs w:val="28"/>
                <w:highlight w:val="none"/>
              </w:rPr>
              <w:t>磋商授权书</w:t>
            </w:r>
          </w:p>
        </w:tc>
        <w:tc>
          <w:tcPr>
            <w:tcW w:w="2260" w:type="dxa"/>
            <w:tcBorders>
              <w:bottom w:val="single" w:color="auto" w:sz="4" w:space="0"/>
            </w:tcBorders>
            <w:noWrap w:val="0"/>
            <w:vAlign w:val="center"/>
          </w:tcPr>
          <w:p w14:paraId="60B4C4D2">
            <w:pPr>
              <w:spacing w:after="50" w:line="360" w:lineRule="auto"/>
              <w:ind w:right="-10"/>
              <w:jc w:val="center"/>
              <w:rPr>
                <w:rFonts w:ascii="宋体" w:hAnsi="宋体" w:eastAsia="宋体"/>
                <w:color w:val="auto"/>
                <w:sz w:val="24"/>
                <w:szCs w:val="28"/>
                <w:highlight w:val="none"/>
              </w:rPr>
            </w:pPr>
            <w:r>
              <w:rPr>
                <w:rFonts w:hint="eastAsia" w:ascii="宋体" w:hAnsi="宋体" w:eastAsia="宋体"/>
                <w:color w:val="auto"/>
                <w:sz w:val="24"/>
                <w:szCs w:val="28"/>
                <w:highlight w:val="none"/>
              </w:rPr>
              <w:t>格式、填写要求符合磋商文件规定并加盖供应商公章</w:t>
            </w:r>
          </w:p>
        </w:tc>
        <w:tc>
          <w:tcPr>
            <w:tcW w:w="3867" w:type="dxa"/>
            <w:tcBorders>
              <w:bottom w:val="single" w:color="auto" w:sz="4" w:space="0"/>
            </w:tcBorders>
            <w:noWrap w:val="0"/>
            <w:vAlign w:val="center"/>
          </w:tcPr>
          <w:p w14:paraId="7913E626">
            <w:pPr>
              <w:adjustRightInd w:val="0"/>
              <w:snapToGrid w:val="0"/>
              <w:spacing w:line="360" w:lineRule="auto"/>
              <w:ind w:right="-10"/>
              <w:jc w:val="left"/>
              <w:rPr>
                <w:rFonts w:hint="eastAsia" w:ascii="宋体" w:hAnsi="宋体" w:eastAsia="宋体"/>
                <w:color w:val="auto"/>
                <w:sz w:val="24"/>
                <w:highlight w:val="none"/>
                <w:lang w:eastAsia="zh-CN"/>
              </w:rPr>
            </w:pPr>
            <w:r>
              <w:rPr>
                <w:rFonts w:hint="eastAsia" w:ascii="宋体" w:hAnsi="宋体" w:eastAsia="宋体"/>
                <w:color w:val="auto"/>
                <w:sz w:val="24"/>
                <w:highlight w:val="none"/>
              </w:rPr>
              <w:t>法定代表人参加磋商的无需此件，提供身份证明即可。详见第六章响应文件格式</w:t>
            </w:r>
            <w:r>
              <w:rPr>
                <w:rFonts w:hint="eastAsia" w:ascii="宋体" w:hAnsi="宋体" w:eastAsia="宋体"/>
                <w:color w:val="auto"/>
                <w:sz w:val="24"/>
                <w:highlight w:val="none"/>
                <w:lang w:eastAsia="zh-CN"/>
              </w:rPr>
              <w:t>五</w:t>
            </w:r>
          </w:p>
        </w:tc>
      </w:tr>
      <w:tr w14:paraId="0A541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287D36A6">
            <w:pPr>
              <w:jc w:val="center"/>
              <w:rPr>
                <w:rFonts w:hint="eastAsia" w:ascii="宋体" w:hAnsi="宋体" w:eastAsia="宋体" w:cs="宋体"/>
                <w:b w:val="0"/>
                <w:bCs w:val="0"/>
                <w:color w:val="auto"/>
                <w:kern w:val="2"/>
                <w:sz w:val="24"/>
                <w:highlight w:val="none"/>
                <w:lang w:val="en-US" w:eastAsia="zh-CN" w:bidi="ar-SA"/>
              </w:rPr>
            </w:pPr>
            <w:r>
              <w:rPr>
                <w:rFonts w:hint="eastAsia" w:ascii="宋体" w:hAnsi="宋体" w:eastAsia="宋体" w:cs="宋体"/>
                <w:b w:val="0"/>
                <w:bCs w:val="0"/>
                <w:color w:val="auto"/>
                <w:kern w:val="2"/>
                <w:sz w:val="24"/>
                <w:highlight w:val="none"/>
                <w:lang w:val="en-US" w:eastAsia="zh-CN" w:bidi="ar-SA"/>
              </w:rPr>
              <w:t>6</w:t>
            </w:r>
          </w:p>
        </w:tc>
        <w:tc>
          <w:tcPr>
            <w:tcW w:w="1653" w:type="dxa"/>
            <w:noWrap w:val="0"/>
            <w:vAlign w:val="center"/>
          </w:tcPr>
          <w:p w14:paraId="75FE01CC">
            <w:pPr>
              <w:jc w:val="center"/>
              <w:rPr>
                <w:rFonts w:hint="eastAsia" w:ascii="Arial" w:hAnsi="Arial" w:eastAsia="宋体" w:cs="Arial"/>
                <w:color w:val="auto"/>
                <w:kern w:val="2"/>
                <w:sz w:val="24"/>
                <w:highlight w:val="none"/>
                <w:lang w:val="en-US" w:eastAsia="zh-CN" w:bidi="ar-SA"/>
              </w:rPr>
            </w:pPr>
            <w:r>
              <w:rPr>
                <w:rFonts w:hint="eastAsia" w:ascii="Arial" w:hAnsi="Arial" w:eastAsia="宋体" w:cs="Arial"/>
                <w:color w:val="auto"/>
                <w:sz w:val="24"/>
                <w:highlight w:val="none"/>
                <w:lang w:val="en-US" w:eastAsia="zh-CN"/>
              </w:rPr>
              <w:t>磋商文件获取情况</w:t>
            </w:r>
          </w:p>
        </w:tc>
        <w:tc>
          <w:tcPr>
            <w:tcW w:w="2260" w:type="dxa"/>
            <w:noWrap w:val="0"/>
            <w:vAlign w:val="center"/>
          </w:tcPr>
          <w:p w14:paraId="0AE6EF98">
            <w:pPr>
              <w:jc w:val="center"/>
              <w:rPr>
                <w:rFonts w:hint="eastAsia" w:ascii="Arial" w:hAnsi="Arial" w:eastAsia="宋体" w:cs="Arial"/>
                <w:color w:val="auto"/>
                <w:kern w:val="2"/>
                <w:sz w:val="24"/>
                <w:highlight w:val="none"/>
                <w:lang w:val="en-US" w:eastAsia="zh-CN" w:bidi="ar-SA"/>
              </w:rPr>
            </w:pPr>
            <w:r>
              <w:rPr>
                <w:rFonts w:hint="eastAsia" w:ascii="Arial" w:hAnsi="Arial" w:eastAsia="宋体" w:cs="Arial"/>
                <w:color w:val="auto"/>
                <w:sz w:val="24"/>
                <w:highlight w:val="none"/>
                <w:lang w:val="en-US" w:eastAsia="zh-CN"/>
              </w:rPr>
              <w:t>在磋商文件获取截止时间前完成磋商文件获取</w:t>
            </w:r>
          </w:p>
        </w:tc>
        <w:tc>
          <w:tcPr>
            <w:tcW w:w="3867" w:type="dxa"/>
            <w:noWrap w:val="0"/>
            <w:vAlign w:val="center"/>
          </w:tcPr>
          <w:p w14:paraId="7526021D">
            <w:pPr>
              <w:jc w:val="left"/>
              <w:rPr>
                <w:rFonts w:hint="eastAsia" w:ascii="Arial" w:hAnsi="Arial" w:eastAsia="宋体" w:cs="Arial"/>
                <w:color w:val="auto"/>
                <w:kern w:val="2"/>
                <w:sz w:val="24"/>
                <w:highlight w:val="none"/>
                <w:lang w:val="en-US" w:eastAsia="zh-CN" w:bidi="ar-SA"/>
              </w:rPr>
            </w:pPr>
          </w:p>
        </w:tc>
      </w:tr>
      <w:tr w14:paraId="01839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6F602C3E">
            <w:pPr>
              <w:jc w:val="center"/>
              <w:rPr>
                <w:rFonts w:hint="eastAsia" w:ascii="宋体" w:hAnsi="宋体" w:eastAsia="宋体" w:cs="宋体"/>
                <w:b w:val="0"/>
                <w:bCs w:val="0"/>
                <w:color w:val="auto"/>
                <w:kern w:val="2"/>
                <w:sz w:val="24"/>
                <w:highlight w:val="none"/>
                <w:lang w:val="en-US" w:eastAsia="zh-CN" w:bidi="ar-SA"/>
              </w:rPr>
            </w:pPr>
            <w:r>
              <w:rPr>
                <w:rFonts w:hint="eastAsia" w:ascii="宋体" w:hAnsi="宋体" w:eastAsia="宋体" w:cs="宋体"/>
                <w:b w:val="0"/>
                <w:bCs w:val="0"/>
                <w:color w:val="auto"/>
                <w:kern w:val="2"/>
                <w:sz w:val="24"/>
                <w:highlight w:val="none"/>
                <w:lang w:val="en-US" w:eastAsia="zh-CN" w:bidi="ar-SA"/>
              </w:rPr>
              <w:t>7</w:t>
            </w:r>
          </w:p>
        </w:tc>
        <w:tc>
          <w:tcPr>
            <w:tcW w:w="1653" w:type="dxa"/>
            <w:noWrap w:val="0"/>
            <w:vAlign w:val="center"/>
          </w:tcPr>
          <w:p w14:paraId="60DF6EA0">
            <w:pPr>
              <w:jc w:val="center"/>
              <w:rPr>
                <w:rFonts w:hint="eastAsia" w:ascii="Arial" w:hAnsi="Arial" w:eastAsia="宋体" w:cs="Arial"/>
                <w:color w:val="auto"/>
                <w:sz w:val="24"/>
                <w:highlight w:val="none"/>
                <w:lang w:val="en-US" w:eastAsia="zh-CN"/>
              </w:rPr>
            </w:pPr>
            <w:r>
              <w:rPr>
                <w:rFonts w:hint="eastAsia" w:ascii="Arial" w:hAnsi="Arial" w:eastAsia="宋体" w:cs="Arial"/>
                <w:color w:val="auto"/>
                <w:sz w:val="24"/>
                <w:highlight w:val="none"/>
                <w:lang w:val="en-US" w:eastAsia="zh-CN"/>
              </w:rPr>
              <w:t>响应文件机器识别码</w:t>
            </w:r>
          </w:p>
        </w:tc>
        <w:tc>
          <w:tcPr>
            <w:tcW w:w="2260" w:type="dxa"/>
            <w:noWrap w:val="0"/>
            <w:vAlign w:val="center"/>
          </w:tcPr>
          <w:p w14:paraId="1383D52B">
            <w:pPr>
              <w:jc w:val="center"/>
              <w:rPr>
                <w:rFonts w:hint="eastAsia" w:ascii="Arial" w:hAnsi="Arial" w:eastAsia="宋体" w:cs="Arial"/>
                <w:color w:val="auto"/>
                <w:sz w:val="24"/>
                <w:highlight w:val="none"/>
                <w:lang w:val="en-US" w:eastAsia="zh-CN"/>
              </w:rPr>
            </w:pPr>
            <w:r>
              <w:rPr>
                <w:rFonts w:hint="eastAsia" w:ascii="Arial" w:hAnsi="Arial" w:eastAsia="宋体" w:cs="Arial"/>
                <w:color w:val="auto"/>
                <w:sz w:val="24"/>
                <w:highlight w:val="none"/>
                <w:lang w:val="en-US" w:eastAsia="zh-CN"/>
              </w:rPr>
              <w:t>不同供应商的响应文件机器识别码不得相同</w:t>
            </w:r>
          </w:p>
        </w:tc>
        <w:tc>
          <w:tcPr>
            <w:tcW w:w="3867" w:type="dxa"/>
            <w:noWrap w:val="0"/>
            <w:vAlign w:val="center"/>
          </w:tcPr>
          <w:p w14:paraId="795C386B">
            <w:pPr>
              <w:jc w:val="left"/>
              <w:rPr>
                <w:rFonts w:hint="eastAsia" w:ascii="Arial" w:hAnsi="Arial" w:eastAsia="宋体" w:cs="Arial"/>
                <w:color w:val="auto"/>
                <w:kern w:val="2"/>
                <w:sz w:val="24"/>
                <w:highlight w:val="none"/>
                <w:lang w:val="en-US" w:eastAsia="zh-CN" w:bidi="ar-SA"/>
              </w:rPr>
            </w:pPr>
          </w:p>
        </w:tc>
      </w:tr>
      <w:tr w14:paraId="1231E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4436C64C">
            <w:pPr>
              <w:adjustRightInd w:val="0"/>
              <w:snapToGrid w:val="0"/>
              <w:spacing w:line="360" w:lineRule="auto"/>
              <w:ind w:right="-10"/>
              <w:jc w:val="center"/>
              <w:rPr>
                <w:rFonts w:hint="eastAsia" w:ascii="宋体" w:hAnsi="宋体" w:eastAsia="宋体" w:cs="宋体"/>
                <w:b w:val="0"/>
                <w:bCs w:val="0"/>
                <w:color w:val="auto"/>
                <w:sz w:val="24"/>
                <w:highlight w:val="none"/>
                <w:lang w:val="en-US" w:eastAsia="zh-CN"/>
              </w:rPr>
            </w:pPr>
            <w:r>
              <w:rPr>
                <w:rFonts w:hint="eastAsia" w:ascii="宋体" w:hAnsi="宋体" w:eastAsia="宋体" w:cs="宋体"/>
                <w:b w:val="0"/>
                <w:bCs w:val="0"/>
                <w:color w:val="auto"/>
                <w:sz w:val="24"/>
                <w:highlight w:val="none"/>
                <w:lang w:val="en-US" w:eastAsia="zh-CN"/>
              </w:rPr>
              <w:t>8</w:t>
            </w:r>
          </w:p>
        </w:tc>
        <w:tc>
          <w:tcPr>
            <w:tcW w:w="1653" w:type="dxa"/>
            <w:noWrap w:val="0"/>
            <w:vAlign w:val="center"/>
          </w:tcPr>
          <w:p w14:paraId="1A2AA0F4">
            <w:pPr>
              <w:spacing w:after="50" w:line="360" w:lineRule="auto"/>
              <w:ind w:right="-10"/>
              <w:jc w:val="center"/>
              <w:rPr>
                <w:rFonts w:ascii="宋体" w:hAnsi="宋体" w:eastAsia="宋体"/>
                <w:color w:val="auto"/>
                <w:sz w:val="24"/>
                <w:szCs w:val="28"/>
                <w:highlight w:val="none"/>
              </w:rPr>
            </w:pPr>
            <w:r>
              <w:rPr>
                <w:rFonts w:hint="eastAsia" w:ascii="宋体" w:hAnsi="宋体" w:eastAsia="宋体"/>
                <w:color w:val="auto"/>
                <w:sz w:val="24"/>
                <w:szCs w:val="28"/>
                <w:highlight w:val="none"/>
              </w:rPr>
              <w:t>磋商报价</w:t>
            </w:r>
          </w:p>
        </w:tc>
        <w:tc>
          <w:tcPr>
            <w:tcW w:w="2260" w:type="dxa"/>
            <w:noWrap w:val="0"/>
            <w:vAlign w:val="center"/>
          </w:tcPr>
          <w:p w14:paraId="6786DD88">
            <w:pPr>
              <w:spacing w:after="50" w:line="360" w:lineRule="auto"/>
              <w:ind w:right="-10"/>
              <w:jc w:val="center"/>
              <w:rPr>
                <w:rFonts w:ascii="宋体" w:hAnsi="宋体" w:eastAsia="宋体"/>
                <w:color w:val="auto"/>
                <w:sz w:val="24"/>
                <w:szCs w:val="28"/>
                <w:highlight w:val="none"/>
              </w:rPr>
            </w:pPr>
            <w:r>
              <w:rPr>
                <w:rFonts w:hint="eastAsia" w:ascii="宋体" w:hAnsi="宋体" w:eastAsia="宋体"/>
                <w:color w:val="auto"/>
                <w:sz w:val="24"/>
                <w:szCs w:val="28"/>
                <w:highlight w:val="none"/>
              </w:rPr>
              <w:t>符合磋商</w:t>
            </w:r>
            <w:r>
              <w:rPr>
                <w:rFonts w:hint="eastAsia" w:ascii="宋体" w:hAnsi="宋体" w:eastAsia="宋体"/>
                <w:color w:val="auto"/>
                <w:sz w:val="24"/>
                <w:highlight w:val="none"/>
              </w:rPr>
              <w:t>文件供应商须知正文第1</w:t>
            </w:r>
            <w:r>
              <w:rPr>
                <w:rFonts w:ascii="宋体" w:hAnsi="宋体" w:eastAsia="宋体"/>
                <w:color w:val="auto"/>
                <w:sz w:val="24"/>
                <w:highlight w:val="none"/>
              </w:rPr>
              <w:t>2</w:t>
            </w:r>
            <w:r>
              <w:rPr>
                <w:rFonts w:hint="eastAsia" w:ascii="宋体" w:hAnsi="宋体" w:eastAsia="宋体"/>
                <w:color w:val="auto"/>
                <w:sz w:val="24"/>
                <w:highlight w:val="none"/>
              </w:rPr>
              <w:t>条要求</w:t>
            </w:r>
          </w:p>
        </w:tc>
        <w:tc>
          <w:tcPr>
            <w:tcW w:w="3867" w:type="dxa"/>
            <w:noWrap w:val="0"/>
            <w:vAlign w:val="center"/>
          </w:tcPr>
          <w:p w14:paraId="34638272">
            <w:pPr>
              <w:adjustRightInd w:val="0"/>
              <w:snapToGrid w:val="0"/>
              <w:spacing w:line="360" w:lineRule="auto"/>
              <w:ind w:right="-10"/>
              <w:jc w:val="left"/>
              <w:rPr>
                <w:rFonts w:ascii="宋体" w:hAnsi="宋体" w:eastAsia="宋体"/>
                <w:color w:val="auto"/>
                <w:sz w:val="24"/>
                <w:highlight w:val="none"/>
              </w:rPr>
            </w:pPr>
            <w:r>
              <w:rPr>
                <w:rFonts w:hint="eastAsia" w:ascii="宋体" w:hAnsi="宋体" w:eastAsia="宋体"/>
                <w:color w:val="auto"/>
                <w:sz w:val="24"/>
                <w:highlight w:val="none"/>
              </w:rPr>
              <w:t>详见第六章响应文件格式一、二</w:t>
            </w:r>
          </w:p>
        </w:tc>
      </w:tr>
      <w:tr w14:paraId="55FFF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018599FC">
            <w:pPr>
              <w:adjustRightInd w:val="0"/>
              <w:snapToGrid w:val="0"/>
              <w:spacing w:line="360" w:lineRule="auto"/>
              <w:ind w:right="-10"/>
              <w:jc w:val="center"/>
              <w:rPr>
                <w:rFonts w:hint="default" w:ascii="宋体" w:hAnsi="宋体" w:eastAsia="宋体" w:cs="宋体"/>
                <w:b w:val="0"/>
                <w:bCs w:val="0"/>
                <w:color w:val="auto"/>
                <w:sz w:val="24"/>
                <w:highlight w:val="none"/>
                <w:lang w:val="en-US" w:eastAsia="zh-CN"/>
              </w:rPr>
            </w:pPr>
            <w:r>
              <w:rPr>
                <w:rFonts w:hint="eastAsia" w:ascii="宋体" w:hAnsi="宋体" w:eastAsia="宋体" w:cs="宋体"/>
                <w:b w:val="0"/>
                <w:bCs w:val="0"/>
                <w:color w:val="auto"/>
                <w:sz w:val="24"/>
                <w:highlight w:val="none"/>
                <w:lang w:val="en-US" w:eastAsia="zh-CN"/>
              </w:rPr>
              <w:t>9</w:t>
            </w:r>
          </w:p>
        </w:tc>
        <w:tc>
          <w:tcPr>
            <w:tcW w:w="1653" w:type="dxa"/>
            <w:noWrap w:val="0"/>
            <w:vAlign w:val="center"/>
          </w:tcPr>
          <w:p w14:paraId="085CB912">
            <w:pPr>
              <w:spacing w:after="50" w:line="360" w:lineRule="auto"/>
              <w:ind w:right="-10" w:rightChars="0"/>
              <w:jc w:val="center"/>
              <w:rPr>
                <w:rFonts w:hint="eastAsia" w:ascii="宋体" w:hAnsi="宋体" w:eastAsia="宋体"/>
                <w:color w:val="auto"/>
                <w:sz w:val="24"/>
                <w:szCs w:val="28"/>
                <w:highlight w:val="none"/>
              </w:rPr>
            </w:pPr>
            <w:r>
              <w:rPr>
                <w:rFonts w:hint="eastAsia" w:ascii="宋体" w:hAnsi="宋体" w:eastAsia="宋体"/>
                <w:color w:val="auto"/>
                <w:sz w:val="24"/>
                <w:szCs w:val="28"/>
                <w:highlight w:val="none"/>
              </w:rPr>
              <w:t>商务响应情况</w:t>
            </w:r>
          </w:p>
        </w:tc>
        <w:tc>
          <w:tcPr>
            <w:tcW w:w="2260" w:type="dxa"/>
            <w:noWrap w:val="0"/>
            <w:vAlign w:val="center"/>
          </w:tcPr>
          <w:p w14:paraId="5A912F1E">
            <w:pPr>
              <w:spacing w:after="50" w:line="360" w:lineRule="auto"/>
              <w:ind w:right="-10" w:rightChars="0"/>
              <w:jc w:val="center"/>
              <w:rPr>
                <w:rFonts w:hint="eastAsia" w:ascii="宋体" w:hAnsi="宋体" w:eastAsia="宋体"/>
                <w:color w:val="auto"/>
                <w:sz w:val="24"/>
                <w:szCs w:val="28"/>
                <w:highlight w:val="none"/>
              </w:rPr>
            </w:pPr>
            <w:r>
              <w:rPr>
                <w:rFonts w:hint="eastAsia" w:ascii="宋体" w:hAnsi="宋体" w:eastAsia="宋体"/>
                <w:color w:val="auto"/>
                <w:sz w:val="24"/>
                <w:szCs w:val="28"/>
                <w:highlight w:val="none"/>
              </w:rPr>
              <w:t>符合磋商文件采购需求中付款方式、服务期限、服务地点的要求</w:t>
            </w:r>
          </w:p>
        </w:tc>
        <w:tc>
          <w:tcPr>
            <w:tcW w:w="3867" w:type="dxa"/>
            <w:noWrap w:val="0"/>
            <w:vAlign w:val="center"/>
          </w:tcPr>
          <w:p w14:paraId="1A766F13">
            <w:pPr>
              <w:adjustRightInd w:val="0"/>
              <w:snapToGrid w:val="0"/>
              <w:spacing w:line="360" w:lineRule="auto"/>
              <w:ind w:right="-10" w:rightChars="0"/>
              <w:jc w:val="left"/>
              <w:rPr>
                <w:rFonts w:hint="eastAsia" w:ascii="宋体" w:hAnsi="宋体" w:eastAsia="宋体"/>
                <w:color w:val="auto"/>
                <w:sz w:val="24"/>
                <w:highlight w:val="none"/>
              </w:rPr>
            </w:pPr>
            <w:r>
              <w:rPr>
                <w:rFonts w:hint="eastAsia" w:ascii="宋体" w:hAnsi="宋体" w:eastAsia="宋体"/>
                <w:color w:val="auto"/>
                <w:sz w:val="24"/>
                <w:highlight w:val="none"/>
              </w:rPr>
              <w:t>详见第六章响应文件格式</w:t>
            </w:r>
            <w:r>
              <w:rPr>
                <w:rFonts w:hint="eastAsia" w:ascii="宋体" w:hAnsi="宋体" w:eastAsia="宋体"/>
                <w:color w:val="auto"/>
                <w:sz w:val="24"/>
                <w:highlight w:val="none"/>
                <w:lang w:val="en-US" w:eastAsia="zh-CN"/>
              </w:rPr>
              <w:t>七</w:t>
            </w: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7.1商务响应表</w:t>
            </w:r>
            <w:r>
              <w:rPr>
                <w:rFonts w:hint="eastAsia" w:ascii="宋体" w:hAnsi="宋体" w:eastAsia="宋体"/>
                <w:color w:val="auto"/>
                <w:sz w:val="24"/>
                <w:highlight w:val="none"/>
                <w:lang w:eastAsia="zh-CN"/>
              </w:rPr>
              <w:t>）</w:t>
            </w:r>
          </w:p>
        </w:tc>
      </w:tr>
      <w:tr w14:paraId="04433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noWrap w:val="0"/>
            <w:vAlign w:val="center"/>
          </w:tcPr>
          <w:p w14:paraId="3B744B00">
            <w:pPr>
              <w:adjustRightInd w:val="0"/>
              <w:snapToGrid w:val="0"/>
              <w:spacing w:line="360" w:lineRule="auto"/>
              <w:ind w:right="-10"/>
              <w:jc w:val="center"/>
              <w:rPr>
                <w:rFonts w:hint="default" w:ascii="宋体" w:hAnsi="宋体" w:eastAsia="宋体" w:cs="宋体"/>
                <w:b w:val="0"/>
                <w:bCs w:val="0"/>
                <w:color w:val="auto"/>
                <w:sz w:val="24"/>
                <w:highlight w:val="none"/>
                <w:lang w:val="en-US" w:eastAsia="zh-CN"/>
              </w:rPr>
            </w:pPr>
            <w:r>
              <w:rPr>
                <w:rFonts w:hint="eastAsia" w:ascii="宋体" w:hAnsi="宋体" w:eastAsia="宋体" w:cs="宋体"/>
                <w:b w:val="0"/>
                <w:bCs w:val="0"/>
                <w:color w:val="auto"/>
                <w:sz w:val="24"/>
                <w:highlight w:val="none"/>
                <w:lang w:val="en-US" w:eastAsia="zh-CN"/>
              </w:rPr>
              <w:t>10</w:t>
            </w:r>
          </w:p>
        </w:tc>
        <w:tc>
          <w:tcPr>
            <w:tcW w:w="1653" w:type="dxa"/>
            <w:noWrap w:val="0"/>
            <w:vAlign w:val="center"/>
          </w:tcPr>
          <w:p w14:paraId="4D70A224">
            <w:pPr>
              <w:spacing w:after="50" w:line="360" w:lineRule="auto"/>
              <w:ind w:right="-10" w:rightChars="0"/>
              <w:jc w:val="center"/>
              <w:rPr>
                <w:rFonts w:ascii="宋体" w:hAnsi="宋体" w:eastAsia="宋体"/>
                <w:color w:val="auto"/>
                <w:sz w:val="24"/>
                <w:szCs w:val="28"/>
                <w:highlight w:val="none"/>
              </w:rPr>
            </w:pPr>
            <w:r>
              <w:rPr>
                <w:rFonts w:hint="eastAsia" w:ascii="宋体" w:hAnsi="宋体" w:eastAsia="宋体"/>
                <w:color w:val="auto"/>
                <w:sz w:val="24"/>
                <w:szCs w:val="28"/>
                <w:highlight w:val="none"/>
              </w:rPr>
              <w:t>其他</w:t>
            </w:r>
            <w:r>
              <w:rPr>
                <w:rFonts w:hint="eastAsia" w:ascii="宋体" w:hAnsi="宋体" w:eastAsia="宋体"/>
                <w:color w:val="auto"/>
                <w:sz w:val="24"/>
                <w:szCs w:val="28"/>
                <w:highlight w:val="none"/>
                <w:lang w:val="en-US" w:eastAsia="zh-CN"/>
              </w:rPr>
              <w:t>实质性</w:t>
            </w:r>
            <w:r>
              <w:rPr>
                <w:rFonts w:hint="eastAsia" w:ascii="宋体" w:hAnsi="宋体" w:eastAsia="宋体"/>
                <w:color w:val="auto"/>
                <w:sz w:val="24"/>
                <w:szCs w:val="28"/>
                <w:highlight w:val="none"/>
              </w:rPr>
              <w:t>要求</w:t>
            </w:r>
          </w:p>
        </w:tc>
        <w:tc>
          <w:tcPr>
            <w:tcW w:w="2260" w:type="dxa"/>
            <w:noWrap w:val="0"/>
            <w:vAlign w:val="center"/>
          </w:tcPr>
          <w:p w14:paraId="0BC844B3">
            <w:pPr>
              <w:spacing w:after="50" w:line="360" w:lineRule="auto"/>
              <w:ind w:right="-10" w:rightChars="0"/>
              <w:jc w:val="center"/>
              <w:rPr>
                <w:rFonts w:ascii="宋体" w:hAnsi="宋体" w:eastAsia="宋体"/>
                <w:color w:val="auto"/>
                <w:sz w:val="24"/>
                <w:szCs w:val="28"/>
                <w:highlight w:val="none"/>
              </w:rPr>
            </w:pPr>
            <w:r>
              <w:rPr>
                <w:rFonts w:hint="eastAsia" w:ascii="宋体" w:hAnsi="宋体" w:eastAsia="宋体"/>
                <w:color w:val="auto"/>
                <w:sz w:val="24"/>
                <w:szCs w:val="28"/>
                <w:highlight w:val="none"/>
              </w:rPr>
              <w:t>符合法律、行政法规规定的其他条件或磋商文件列明的其他</w:t>
            </w:r>
            <w:r>
              <w:rPr>
                <w:rFonts w:hint="eastAsia" w:ascii="宋体" w:hAnsi="宋体" w:eastAsia="宋体"/>
                <w:color w:val="auto"/>
                <w:sz w:val="24"/>
                <w:szCs w:val="28"/>
                <w:highlight w:val="none"/>
                <w:lang w:val="en-US" w:eastAsia="zh-CN"/>
              </w:rPr>
              <w:t>实质性</w:t>
            </w:r>
            <w:r>
              <w:rPr>
                <w:rFonts w:hint="eastAsia" w:ascii="宋体" w:hAnsi="宋体" w:eastAsia="宋体"/>
                <w:color w:val="auto"/>
                <w:sz w:val="24"/>
                <w:szCs w:val="28"/>
                <w:highlight w:val="none"/>
              </w:rPr>
              <w:t>要求</w:t>
            </w:r>
          </w:p>
        </w:tc>
        <w:tc>
          <w:tcPr>
            <w:tcW w:w="3867" w:type="dxa"/>
            <w:noWrap w:val="0"/>
            <w:vAlign w:val="center"/>
          </w:tcPr>
          <w:p w14:paraId="40F718CB">
            <w:pPr>
              <w:adjustRightInd w:val="0"/>
              <w:snapToGrid w:val="0"/>
              <w:spacing w:line="360" w:lineRule="auto"/>
              <w:ind w:right="-10" w:rightChars="0"/>
              <w:jc w:val="left"/>
              <w:rPr>
                <w:rFonts w:hint="eastAsia" w:ascii="宋体" w:hAnsi="宋体" w:eastAsia="宋体"/>
                <w:color w:val="auto"/>
                <w:sz w:val="24"/>
                <w:highlight w:val="none"/>
                <w:lang w:eastAsia="zh-CN"/>
              </w:rPr>
            </w:pPr>
          </w:p>
        </w:tc>
      </w:tr>
    </w:tbl>
    <w:p w14:paraId="235A0958">
      <w:pPr>
        <w:spacing w:line="360" w:lineRule="auto"/>
        <w:ind w:firstLine="435"/>
        <w:jc w:val="left"/>
        <w:rPr>
          <w:rFonts w:ascii="宋体" w:hAnsi="宋体" w:eastAsia="宋体"/>
          <w:color w:val="auto"/>
          <w:sz w:val="24"/>
          <w:highlight w:val="none"/>
        </w:rPr>
      </w:pPr>
      <w:r>
        <w:rPr>
          <w:rFonts w:hint="eastAsia" w:ascii="宋体" w:hAnsi="宋体" w:eastAsia="宋体"/>
          <w:b/>
          <w:bCs/>
          <w:color w:val="auto"/>
          <w:sz w:val="24"/>
          <w:highlight w:val="none"/>
        </w:rPr>
        <w:t>初审指标通过标准：</w:t>
      </w:r>
      <w:r>
        <w:rPr>
          <w:rFonts w:hint="eastAsia" w:ascii="宋体" w:hAnsi="宋体" w:eastAsia="宋体"/>
          <w:color w:val="auto"/>
          <w:sz w:val="24"/>
          <w:highlight w:val="none"/>
        </w:rPr>
        <w:t>供应商必须通过初审表中的全部评审指标。</w:t>
      </w:r>
    </w:p>
    <w:p w14:paraId="0EEB71A5">
      <w:pPr>
        <w:spacing w:line="360" w:lineRule="auto"/>
        <w:ind w:firstLine="435"/>
        <w:jc w:val="left"/>
        <w:rPr>
          <w:rFonts w:ascii="宋体" w:hAnsi="宋体" w:eastAsia="宋体"/>
          <w:b/>
          <w:color w:val="auto"/>
          <w:sz w:val="24"/>
          <w:highlight w:val="none"/>
        </w:rPr>
      </w:pPr>
      <w:r>
        <w:rPr>
          <w:rFonts w:hint="eastAsia" w:ascii="宋体" w:hAnsi="宋体" w:eastAsia="宋体"/>
          <w:b/>
          <w:color w:val="auto"/>
          <w:sz w:val="24"/>
          <w:highlight w:val="none"/>
        </w:rPr>
        <w:t>2.2综合评分</w:t>
      </w:r>
    </w:p>
    <w:p w14:paraId="5FC7E1C8">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w:t>
      </w:r>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磋商小组按照下表对进入综合评分的所有供应商的响应文件进行综合评分。</w:t>
      </w:r>
    </w:p>
    <w:p w14:paraId="363F4074">
      <w:pPr>
        <w:spacing w:line="360" w:lineRule="auto"/>
        <w:ind w:firstLine="435"/>
        <w:jc w:val="left"/>
        <w:rPr>
          <w:rFonts w:ascii="宋体" w:hAnsi="宋体" w:eastAsia="宋体"/>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w:t>
      </w:r>
      <w:r>
        <w:rPr>
          <w:rFonts w:hint="eastAsia" w:ascii="宋体" w:hAnsi="宋体" w:eastAsia="宋体"/>
          <w:color w:val="auto"/>
          <w:sz w:val="24"/>
          <w:highlight w:val="none"/>
        </w:rPr>
        <w:t>2</w:t>
      </w:r>
      <w:r>
        <w:rPr>
          <w:rFonts w:ascii="宋体" w:hAnsi="宋体" w:eastAsia="宋体"/>
          <w:color w:val="auto"/>
          <w:sz w:val="24"/>
          <w:highlight w:val="none"/>
        </w:rPr>
        <w:t>.2</w:t>
      </w:r>
      <w:r>
        <w:rPr>
          <w:rFonts w:hint="eastAsia" w:ascii="宋体" w:hAnsi="宋体" w:eastAsia="宋体"/>
          <w:color w:val="auto"/>
          <w:sz w:val="24"/>
          <w:highlight w:val="none"/>
        </w:rPr>
        <w:t>本项目综合评分满分为1</w:t>
      </w:r>
      <w:r>
        <w:rPr>
          <w:rFonts w:ascii="宋体" w:hAnsi="宋体" w:eastAsia="宋体"/>
          <w:color w:val="auto"/>
          <w:sz w:val="24"/>
          <w:highlight w:val="none"/>
        </w:rPr>
        <w:t>00</w:t>
      </w:r>
      <w:r>
        <w:rPr>
          <w:rFonts w:hint="eastAsia" w:ascii="宋体" w:hAnsi="宋体" w:eastAsia="宋体"/>
          <w:color w:val="auto"/>
          <w:sz w:val="24"/>
          <w:highlight w:val="none"/>
        </w:rPr>
        <w:t>分，其中：技术资信分值占总分值的权重为</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lang w:val="en-US" w:eastAsia="zh-CN"/>
        </w:rPr>
        <w:t>90</w:t>
      </w:r>
      <w:r>
        <w:rPr>
          <w:rFonts w:ascii="宋体" w:hAnsi="宋体" w:eastAsia="宋体"/>
          <w:color w:val="auto"/>
          <w:sz w:val="24"/>
          <w:highlight w:val="none"/>
          <w:u w:val="single"/>
        </w:rPr>
        <w:t xml:space="preserve"> </w:t>
      </w:r>
      <w:r>
        <w:rPr>
          <w:rFonts w:ascii="宋体" w:hAnsi="宋体" w:eastAsia="宋体"/>
          <w:color w:val="auto"/>
          <w:sz w:val="24"/>
          <w:highlight w:val="none"/>
        </w:rPr>
        <w:t>%，价格分值占总分值的权重为</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lang w:val="en-US" w:eastAsia="zh-CN"/>
        </w:rPr>
        <w:t>10</w:t>
      </w:r>
      <w:r>
        <w:rPr>
          <w:rFonts w:ascii="宋体" w:hAnsi="宋体" w:eastAsia="宋体"/>
          <w:color w:val="auto"/>
          <w:sz w:val="24"/>
          <w:highlight w:val="none"/>
          <w:u w:val="single"/>
        </w:rPr>
        <w:t xml:space="preserve"> </w:t>
      </w:r>
      <w:r>
        <w:rPr>
          <w:rFonts w:ascii="宋体" w:hAnsi="宋体" w:eastAsia="宋体"/>
          <w:color w:val="auto"/>
          <w:sz w:val="24"/>
          <w:highlight w:val="none"/>
        </w:rPr>
        <w:t>%。具体评分细则如下：</w:t>
      </w:r>
    </w:p>
    <w:tbl>
      <w:tblPr>
        <w:tblStyle w:val="24"/>
        <w:tblW w:w="8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1191"/>
        <w:gridCol w:w="5057"/>
        <w:gridCol w:w="897"/>
      </w:tblGrid>
      <w:tr w14:paraId="37861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14:paraId="21E259C4">
            <w:pPr>
              <w:spacing w:line="360" w:lineRule="auto"/>
              <w:jc w:val="center"/>
              <w:rPr>
                <w:rFonts w:ascii="宋体" w:hAnsi="宋体" w:eastAsia="宋体"/>
                <w:b/>
                <w:bCs/>
                <w:sz w:val="24"/>
                <w:highlight w:val="none"/>
              </w:rPr>
            </w:pPr>
            <w:r>
              <w:rPr>
                <w:rFonts w:hint="eastAsia" w:ascii="宋体" w:hAnsi="宋体" w:eastAsia="宋体"/>
                <w:b/>
                <w:bCs/>
                <w:sz w:val="24"/>
                <w:highlight w:val="none"/>
              </w:rPr>
              <w:t>类别</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4652FE9A">
            <w:pPr>
              <w:spacing w:line="360" w:lineRule="auto"/>
              <w:jc w:val="center"/>
              <w:rPr>
                <w:rFonts w:ascii="宋体" w:hAnsi="宋体" w:eastAsia="宋体"/>
                <w:b/>
                <w:bCs/>
                <w:sz w:val="24"/>
                <w:highlight w:val="none"/>
              </w:rPr>
            </w:pPr>
            <w:r>
              <w:rPr>
                <w:rFonts w:hint="eastAsia" w:ascii="宋体" w:hAnsi="宋体" w:eastAsia="宋体"/>
                <w:b/>
                <w:bCs/>
                <w:sz w:val="24"/>
                <w:highlight w:val="none"/>
              </w:rPr>
              <w:t>评分内容</w:t>
            </w:r>
          </w:p>
        </w:tc>
        <w:tc>
          <w:tcPr>
            <w:tcW w:w="5057" w:type="dxa"/>
            <w:tcBorders>
              <w:top w:val="single" w:color="auto" w:sz="4" w:space="0"/>
              <w:left w:val="single" w:color="auto" w:sz="4" w:space="0"/>
              <w:bottom w:val="single" w:color="auto" w:sz="4" w:space="0"/>
              <w:right w:val="single" w:color="auto" w:sz="4" w:space="0"/>
            </w:tcBorders>
            <w:noWrap w:val="0"/>
            <w:vAlign w:val="center"/>
          </w:tcPr>
          <w:p w14:paraId="4FFE6602">
            <w:pPr>
              <w:spacing w:line="360" w:lineRule="auto"/>
              <w:jc w:val="center"/>
              <w:rPr>
                <w:rFonts w:ascii="宋体" w:hAnsi="宋体" w:eastAsia="宋体"/>
                <w:b/>
                <w:bCs/>
                <w:sz w:val="24"/>
                <w:highlight w:val="none"/>
              </w:rPr>
            </w:pPr>
            <w:r>
              <w:rPr>
                <w:rFonts w:hint="eastAsia" w:ascii="宋体" w:hAnsi="宋体" w:eastAsia="宋体"/>
                <w:b/>
                <w:bCs/>
                <w:sz w:val="24"/>
                <w:highlight w:val="none"/>
              </w:rPr>
              <w:t>评分标准</w:t>
            </w:r>
          </w:p>
        </w:tc>
        <w:tc>
          <w:tcPr>
            <w:tcW w:w="897" w:type="dxa"/>
            <w:tcBorders>
              <w:top w:val="single" w:color="auto" w:sz="4" w:space="0"/>
              <w:left w:val="single" w:color="auto" w:sz="4" w:space="0"/>
              <w:bottom w:val="single" w:color="auto" w:sz="4" w:space="0"/>
              <w:right w:val="single" w:color="auto" w:sz="4" w:space="0"/>
            </w:tcBorders>
            <w:noWrap w:val="0"/>
            <w:vAlign w:val="center"/>
          </w:tcPr>
          <w:p w14:paraId="45130C11">
            <w:pPr>
              <w:spacing w:line="360" w:lineRule="auto"/>
              <w:jc w:val="center"/>
              <w:rPr>
                <w:rFonts w:ascii="宋体" w:hAnsi="宋体" w:eastAsia="宋体"/>
                <w:b/>
                <w:bCs/>
                <w:sz w:val="24"/>
                <w:highlight w:val="none"/>
              </w:rPr>
            </w:pPr>
            <w:r>
              <w:rPr>
                <w:rFonts w:hint="eastAsia" w:ascii="宋体" w:hAnsi="宋体" w:eastAsia="宋体"/>
                <w:b/>
                <w:bCs/>
                <w:sz w:val="24"/>
                <w:highlight w:val="none"/>
              </w:rPr>
              <w:t>分值范围</w:t>
            </w:r>
          </w:p>
        </w:tc>
      </w:tr>
      <w:tr w14:paraId="04329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479" w:type="dxa"/>
            <w:vMerge w:val="restart"/>
            <w:tcBorders>
              <w:top w:val="single" w:color="auto" w:sz="4" w:space="0"/>
              <w:left w:val="single" w:color="auto" w:sz="4" w:space="0"/>
              <w:right w:val="single" w:color="auto" w:sz="4" w:space="0"/>
            </w:tcBorders>
            <w:noWrap w:val="0"/>
            <w:vAlign w:val="center"/>
          </w:tcPr>
          <w:p w14:paraId="4885E2A6">
            <w:pPr>
              <w:spacing w:line="360" w:lineRule="auto"/>
              <w:jc w:val="center"/>
              <w:rPr>
                <w:rFonts w:hint="eastAsia" w:ascii="宋体" w:hAnsi="宋体" w:eastAsia="宋体"/>
                <w:b w:val="0"/>
                <w:bCs w:val="0"/>
                <w:sz w:val="24"/>
                <w:highlight w:val="none"/>
                <w:lang w:eastAsia="zh-CN"/>
              </w:rPr>
            </w:pPr>
            <w:r>
              <w:rPr>
                <w:rFonts w:hint="eastAsia" w:ascii="宋体" w:hAnsi="宋体" w:eastAsia="宋体"/>
                <w:b w:val="0"/>
                <w:bCs w:val="0"/>
                <w:sz w:val="24"/>
                <w:highlight w:val="none"/>
                <w:lang w:eastAsia="zh-CN"/>
              </w:rPr>
              <w:t>技术及资信（</w:t>
            </w:r>
            <w:r>
              <w:rPr>
                <w:rFonts w:hint="eastAsia" w:ascii="宋体" w:hAnsi="宋体" w:eastAsia="宋体"/>
                <w:b w:val="0"/>
                <w:bCs w:val="0"/>
                <w:sz w:val="24"/>
                <w:highlight w:val="none"/>
                <w:lang w:val="en-US" w:eastAsia="zh-CN"/>
              </w:rPr>
              <w:t>90分</w:t>
            </w:r>
            <w:r>
              <w:rPr>
                <w:rFonts w:hint="eastAsia" w:ascii="宋体" w:hAnsi="宋体" w:eastAsia="宋体"/>
                <w:b w:val="0"/>
                <w:bCs w:val="0"/>
                <w:sz w:val="24"/>
                <w:highlight w:val="none"/>
                <w:lang w:eastAsia="zh-CN"/>
              </w:rPr>
              <w:t>）</w:t>
            </w:r>
          </w:p>
        </w:tc>
        <w:tc>
          <w:tcPr>
            <w:tcW w:w="1191" w:type="dxa"/>
            <w:tcBorders>
              <w:top w:val="single" w:color="auto" w:sz="4" w:space="0"/>
              <w:left w:val="single" w:color="auto" w:sz="4" w:space="0"/>
              <w:bottom w:val="single" w:color="auto" w:sz="4" w:space="0"/>
              <w:right w:val="single" w:color="auto" w:sz="4" w:space="0"/>
            </w:tcBorders>
            <w:noWrap w:val="0"/>
            <w:vAlign w:val="center"/>
          </w:tcPr>
          <w:p w14:paraId="15BFE3FC">
            <w:pPr>
              <w:spacing w:line="360" w:lineRule="auto"/>
              <w:jc w:val="center"/>
              <w:rPr>
                <w:rFonts w:hint="eastAsia" w:ascii="宋体" w:hAnsi="宋体" w:eastAsia="宋体"/>
                <w:b w:val="0"/>
                <w:bCs w:val="0"/>
                <w:sz w:val="24"/>
                <w:highlight w:val="none"/>
              </w:rPr>
            </w:pPr>
            <w:r>
              <w:rPr>
                <w:rFonts w:hint="eastAsia" w:ascii="宋体" w:hAnsi="宋体" w:eastAsia="宋体" w:cs="宋体"/>
                <w:b w:val="0"/>
                <w:bCs w:val="0"/>
                <w:sz w:val="24"/>
                <w:szCs w:val="24"/>
                <w:highlight w:val="none"/>
              </w:rPr>
              <w:t>服务方案</w:t>
            </w:r>
          </w:p>
        </w:tc>
        <w:tc>
          <w:tcPr>
            <w:tcW w:w="5057" w:type="dxa"/>
            <w:tcBorders>
              <w:top w:val="single" w:color="auto" w:sz="4" w:space="0"/>
              <w:left w:val="single" w:color="auto" w:sz="4" w:space="0"/>
              <w:bottom w:val="single" w:color="auto" w:sz="4" w:space="0"/>
              <w:right w:val="single" w:color="auto" w:sz="4" w:space="0"/>
            </w:tcBorders>
            <w:noWrap w:val="0"/>
            <w:vAlign w:val="center"/>
          </w:tcPr>
          <w:p w14:paraId="2D3FF561">
            <w:pPr>
              <w:widowControl/>
              <w:snapToGrid w:val="0"/>
              <w:spacing w:line="360" w:lineRule="auto"/>
              <w:jc w:val="left"/>
              <w:outlineLvl w:val="9"/>
              <w:rPr>
                <w:rFonts w:ascii="宋体" w:hAnsi="宋体" w:eastAsia="宋体" w:cs="宋体"/>
                <w:sz w:val="24"/>
                <w:szCs w:val="24"/>
                <w:highlight w:val="none"/>
              </w:rPr>
            </w:pPr>
            <w:r>
              <w:rPr>
                <w:rFonts w:hint="eastAsia" w:ascii="宋体" w:hAnsi="宋体" w:eastAsia="宋体" w:cs="宋体"/>
                <w:sz w:val="24"/>
                <w:szCs w:val="24"/>
                <w:highlight w:val="none"/>
              </w:rPr>
              <w:t>供应商针对本项目制定服务方案，包括但不限于对本项目的分析理解、实施方案、质量保障方案</w:t>
            </w:r>
            <w:r>
              <w:rPr>
                <w:rFonts w:hint="eastAsia" w:ascii="宋体" w:hAnsi="宋体" w:eastAsia="宋体" w:cs="宋体"/>
                <w:sz w:val="24"/>
                <w:szCs w:val="24"/>
                <w:highlight w:val="none"/>
                <w:lang w:eastAsia="zh-CN"/>
              </w:rPr>
              <w:t>及</w:t>
            </w:r>
            <w:r>
              <w:rPr>
                <w:rFonts w:hint="eastAsia" w:ascii="宋体" w:hAnsi="宋体" w:eastAsia="宋体" w:cs="宋体"/>
                <w:sz w:val="24"/>
                <w:szCs w:val="24"/>
                <w:highlight w:val="none"/>
              </w:rPr>
              <w:t>合理化建议，磋商小组根据服务方案总体思路、方案内容完整性和编制水平进行评审：</w:t>
            </w:r>
          </w:p>
          <w:p w14:paraId="02A8D19D">
            <w:pPr>
              <w:widowControl/>
              <w:snapToGrid w:val="0"/>
              <w:spacing w:line="360" w:lineRule="auto"/>
              <w:jc w:val="left"/>
              <w:outlineLvl w:val="9"/>
              <w:rPr>
                <w:rFonts w:ascii="宋体" w:hAnsi="宋体" w:eastAsia="宋体" w:cs="宋体"/>
                <w:b/>
                <w:bCs/>
                <w:sz w:val="24"/>
                <w:szCs w:val="24"/>
                <w:highlight w:val="none"/>
              </w:rPr>
            </w:pPr>
            <w:r>
              <w:rPr>
                <w:rFonts w:hint="eastAsia" w:ascii="宋体" w:hAnsi="宋体" w:eastAsia="宋体" w:cs="宋体"/>
                <w:b/>
                <w:bCs/>
                <w:sz w:val="24"/>
                <w:szCs w:val="24"/>
                <w:highlight w:val="none"/>
              </w:rPr>
              <w:t>1.对本项目的分析理解</w:t>
            </w:r>
          </w:p>
          <w:p w14:paraId="32E43163">
            <w:pPr>
              <w:widowControl w:val="0"/>
              <w:spacing w:after="0" w:line="360" w:lineRule="auto"/>
              <w:jc w:val="both"/>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（1）供应商对本项目背景、项目目标、项目内容理解透彻，与采购需求结合紧密，阐述明确、清晰，得10分；</w:t>
            </w:r>
          </w:p>
          <w:p w14:paraId="4AF3B346">
            <w:pPr>
              <w:widowControl w:val="0"/>
              <w:spacing w:after="0" w:line="360" w:lineRule="auto"/>
              <w:jc w:val="both"/>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（2）供应商对本项目理解较充分，满足采购需求的基本要求，得6分；</w:t>
            </w:r>
          </w:p>
          <w:p w14:paraId="56DC1744">
            <w:pPr>
              <w:widowControl w:val="0"/>
              <w:spacing w:after="0" w:line="360" w:lineRule="auto"/>
              <w:jc w:val="both"/>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（3）供应商对本项目理解一般，阐述的较为简单，得3分；</w:t>
            </w:r>
          </w:p>
          <w:p w14:paraId="79D1DAF7">
            <w:pPr>
              <w:widowControl w:val="0"/>
              <w:spacing w:after="0" w:line="360" w:lineRule="auto"/>
              <w:jc w:val="both"/>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（4）较差或未提供的不得分。</w:t>
            </w:r>
          </w:p>
          <w:p w14:paraId="09713230">
            <w:pPr>
              <w:widowControl/>
              <w:snapToGrid w:val="0"/>
              <w:spacing w:line="360" w:lineRule="auto"/>
              <w:jc w:val="left"/>
              <w:outlineLvl w:val="9"/>
              <w:rPr>
                <w:rFonts w:ascii="宋体" w:hAnsi="宋体" w:eastAsia="宋体" w:cs="宋体"/>
                <w:b/>
                <w:bCs/>
                <w:sz w:val="24"/>
                <w:szCs w:val="24"/>
                <w:highlight w:val="none"/>
              </w:rPr>
            </w:pPr>
            <w:r>
              <w:rPr>
                <w:rFonts w:hint="eastAsia" w:ascii="宋体" w:hAnsi="宋体" w:eastAsia="宋体" w:cs="宋体"/>
                <w:b/>
                <w:bCs/>
                <w:sz w:val="24"/>
                <w:szCs w:val="24"/>
                <w:highlight w:val="none"/>
              </w:rPr>
              <w:t>2.实施方案</w:t>
            </w:r>
          </w:p>
          <w:p w14:paraId="4A598326">
            <w:pPr>
              <w:widowControl/>
              <w:snapToGrid w:val="0"/>
              <w:spacing w:line="360" w:lineRule="auto"/>
              <w:jc w:val="left"/>
              <w:outlineLvl w:val="9"/>
              <w:rPr>
                <w:rFonts w:ascii="宋体" w:hAnsi="宋体" w:eastAsia="宋体" w:cs="宋体"/>
                <w:sz w:val="24"/>
                <w:szCs w:val="24"/>
                <w:highlight w:val="none"/>
              </w:rPr>
            </w:pPr>
            <w:r>
              <w:rPr>
                <w:rFonts w:hint="eastAsia" w:ascii="宋体" w:hAnsi="宋体" w:eastAsia="宋体" w:cs="宋体"/>
                <w:sz w:val="24"/>
                <w:szCs w:val="24"/>
                <w:highlight w:val="none"/>
              </w:rPr>
              <w:t>（1）第三方现场核实</w:t>
            </w:r>
            <w:r>
              <w:rPr>
                <w:rFonts w:hint="eastAsia" w:ascii="宋体" w:hAnsi="宋体" w:eastAsia="宋体" w:cs="宋体"/>
                <w:sz w:val="24"/>
                <w:szCs w:val="24"/>
                <w:highlight w:val="none"/>
                <w:lang w:eastAsia="zh-CN"/>
              </w:rPr>
              <w:t>方案</w:t>
            </w:r>
            <w:r>
              <w:rPr>
                <w:rFonts w:hint="eastAsia" w:ascii="宋体" w:hAnsi="宋体" w:eastAsia="宋体" w:cs="宋体"/>
                <w:sz w:val="24"/>
                <w:szCs w:val="24"/>
                <w:highlight w:val="none"/>
              </w:rPr>
              <w:t>科学合理高效，工作流程清晰，时间及人员安排满足总体计划要求，制定具体合理的项目实施进度表，</w:t>
            </w:r>
            <w:r>
              <w:rPr>
                <w:rFonts w:hint="eastAsia" w:ascii="宋体" w:hAnsi="宋体" w:eastAsia="宋体" w:cs="宋体"/>
                <w:bCs/>
                <w:sz w:val="24"/>
                <w:szCs w:val="24"/>
                <w:highlight w:val="none"/>
              </w:rPr>
              <w:t>得</w:t>
            </w:r>
            <w:r>
              <w:rPr>
                <w:rFonts w:hint="eastAsia" w:ascii="宋体" w:hAnsi="宋体" w:eastAsia="宋体" w:cs="宋体"/>
                <w:bCs/>
                <w:sz w:val="24"/>
                <w:szCs w:val="24"/>
                <w:highlight w:val="none"/>
                <w:lang w:val="en-US" w:eastAsia="zh-CN"/>
              </w:rPr>
              <w:t>10</w:t>
            </w:r>
            <w:r>
              <w:rPr>
                <w:rFonts w:hint="eastAsia" w:ascii="宋体" w:hAnsi="宋体" w:eastAsia="宋体" w:cs="宋体"/>
                <w:bCs/>
                <w:sz w:val="24"/>
                <w:szCs w:val="24"/>
                <w:highlight w:val="none"/>
              </w:rPr>
              <w:t>分</w:t>
            </w:r>
            <w:r>
              <w:rPr>
                <w:rFonts w:hint="eastAsia" w:ascii="宋体" w:hAnsi="宋体" w:eastAsia="宋体" w:cs="宋体"/>
                <w:sz w:val="24"/>
                <w:szCs w:val="24"/>
                <w:highlight w:val="none"/>
              </w:rPr>
              <w:t>；</w:t>
            </w:r>
          </w:p>
          <w:p w14:paraId="1253E313">
            <w:pPr>
              <w:widowControl/>
              <w:snapToGrid w:val="0"/>
              <w:spacing w:line="360" w:lineRule="auto"/>
              <w:jc w:val="left"/>
              <w:outlineLvl w:val="9"/>
              <w:rPr>
                <w:rFonts w:ascii="宋体" w:hAnsi="宋体" w:eastAsia="宋体" w:cs="宋体"/>
                <w:sz w:val="24"/>
                <w:szCs w:val="24"/>
                <w:highlight w:val="none"/>
              </w:rPr>
            </w:pPr>
            <w:r>
              <w:rPr>
                <w:rFonts w:hint="eastAsia" w:ascii="宋体" w:hAnsi="宋体" w:eastAsia="宋体" w:cs="宋体"/>
                <w:sz w:val="24"/>
                <w:szCs w:val="24"/>
                <w:highlight w:val="none"/>
              </w:rPr>
              <w:t>（2）现场核实</w:t>
            </w:r>
            <w:r>
              <w:rPr>
                <w:rFonts w:hint="eastAsia" w:ascii="宋体" w:hAnsi="宋体" w:eastAsia="宋体" w:cs="宋体"/>
                <w:sz w:val="24"/>
                <w:szCs w:val="24"/>
                <w:highlight w:val="none"/>
                <w:lang w:eastAsia="zh-CN"/>
              </w:rPr>
              <w:t>方案</w:t>
            </w:r>
            <w:r>
              <w:rPr>
                <w:rFonts w:hint="eastAsia" w:ascii="宋体" w:hAnsi="宋体" w:eastAsia="宋体" w:cs="宋体"/>
                <w:sz w:val="24"/>
                <w:szCs w:val="24"/>
                <w:highlight w:val="none"/>
              </w:rPr>
              <w:t>合理，满足项目基本要求，时间节点、人员安排、进度安排等一般，得</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分；</w:t>
            </w:r>
          </w:p>
          <w:p w14:paraId="78F92413">
            <w:pPr>
              <w:widowControl/>
              <w:snapToGrid w:val="0"/>
              <w:spacing w:line="360" w:lineRule="auto"/>
              <w:jc w:val="left"/>
              <w:outlineLvl w:val="9"/>
              <w:rPr>
                <w:rFonts w:ascii="宋体" w:hAnsi="宋体" w:eastAsia="宋体" w:cs="宋体"/>
                <w:sz w:val="24"/>
                <w:szCs w:val="24"/>
                <w:highlight w:val="none"/>
              </w:rPr>
            </w:pPr>
            <w:r>
              <w:rPr>
                <w:rFonts w:hint="eastAsia" w:ascii="宋体" w:hAnsi="宋体" w:eastAsia="宋体" w:cs="宋体"/>
                <w:sz w:val="24"/>
                <w:szCs w:val="24"/>
                <w:highlight w:val="none"/>
              </w:rPr>
              <w:t>（3）供应商针对本项目制定现场核实</w:t>
            </w:r>
            <w:r>
              <w:rPr>
                <w:rFonts w:hint="eastAsia" w:ascii="宋体" w:hAnsi="宋体" w:eastAsia="宋体" w:cs="宋体"/>
                <w:sz w:val="24"/>
                <w:szCs w:val="24"/>
                <w:highlight w:val="none"/>
                <w:lang w:eastAsia="zh-CN"/>
              </w:rPr>
              <w:t>方案</w:t>
            </w:r>
            <w:r>
              <w:rPr>
                <w:rFonts w:hint="eastAsia" w:ascii="宋体" w:hAnsi="宋体" w:eastAsia="宋体" w:cs="宋体"/>
                <w:sz w:val="24"/>
                <w:szCs w:val="24"/>
                <w:highlight w:val="none"/>
              </w:rPr>
              <w:t>一般，内容较简单，得3分；</w:t>
            </w:r>
          </w:p>
          <w:p w14:paraId="62FF5CC3">
            <w:pPr>
              <w:widowControl/>
              <w:snapToGrid w:val="0"/>
              <w:spacing w:line="360" w:lineRule="auto"/>
              <w:jc w:val="left"/>
              <w:outlineLvl w:val="9"/>
              <w:rPr>
                <w:rFonts w:ascii="宋体" w:hAnsi="宋体" w:eastAsia="宋体" w:cs="宋体"/>
                <w:b/>
                <w:bCs/>
                <w:sz w:val="24"/>
                <w:szCs w:val="24"/>
                <w:highlight w:val="none"/>
              </w:rPr>
            </w:pPr>
            <w:r>
              <w:rPr>
                <w:rFonts w:hint="eastAsia" w:ascii="宋体" w:hAnsi="宋体" w:eastAsia="宋体" w:cs="宋体"/>
                <w:sz w:val="24"/>
                <w:szCs w:val="24"/>
                <w:highlight w:val="none"/>
              </w:rPr>
              <w:t>（4）较差或未提供的不得分。</w:t>
            </w:r>
          </w:p>
          <w:p w14:paraId="21927FA3">
            <w:pPr>
              <w:widowControl/>
              <w:snapToGrid w:val="0"/>
              <w:spacing w:line="360" w:lineRule="auto"/>
              <w:jc w:val="left"/>
              <w:outlineLvl w:val="9"/>
              <w:rPr>
                <w:rFonts w:ascii="宋体" w:hAnsi="宋体" w:eastAsia="宋体" w:cs="宋体"/>
                <w:b/>
                <w:bCs/>
                <w:sz w:val="24"/>
                <w:szCs w:val="24"/>
                <w:highlight w:val="none"/>
              </w:rPr>
            </w:pPr>
            <w:r>
              <w:rPr>
                <w:rFonts w:hint="eastAsia" w:ascii="宋体" w:hAnsi="宋体" w:eastAsia="宋体" w:cs="宋体"/>
                <w:b/>
                <w:bCs/>
                <w:sz w:val="24"/>
                <w:szCs w:val="24"/>
                <w:highlight w:val="none"/>
              </w:rPr>
              <w:t>3.质量保障方案</w:t>
            </w:r>
          </w:p>
          <w:p w14:paraId="6F5EC613">
            <w:pPr>
              <w:widowControl/>
              <w:autoSpaceDE/>
              <w:autoSpaceDN/>
              <w:adjustRightInd/>
              <w:snapToGrid w:val="0"/>
              <w:spacing w:line="360" w:lineRule="auto"/>
              <w:jc w:val="left"/>
              <w:rPr>
                <w:rFonts w:ascii="宋体" w:hAnsi="宋体" w:eastAsia="宋体" w:cs="宋体"/>
                <w:color w:val="000000"/>
                <w:sz w:val="24"/>
                <w:szCs w:val="24"/>
                <w:highlight w:val="none"/>
                <w:lang w:val="en-US" w:eastAsia="zh-CN" w:bidi="ar-SA"/>
              </w:rPr>
            </w:pPr>
            <w:r>
              <w:rPr>
                <w:rFonts w:hint="eastAsia" w:ascii="宋体" w:hAnsi="宋体" w:eastAsia="宋体" w:cs="宋体"/>
                <w:color w:val="000000"/>
                <w:sz w:val="24"/>
                <w:szCs w:val="24"/>
                <w:highlight w:val="none"/>
                <w:lang w:val="en-US" w:eastAsia="zh-CN" w:bidi="ar-SA"/>
              </w:rPr>
              <w:t>磋商小组根据供应商提供的质量保障方案进行综合评分，质量保障计划完善，应急措施安排详尽有效。</w:t>
            </w:r>
          </w:p>
          <w:p w14:paraId="6D8ABAC8">
            <w:pPr>
              <w:widowControl/>
              <w:autoSpaceDE/>
              <w:autoSpaceDN/>
              <w:adjustRightInd/>
              <w:snapToGrid w:val="0"/>
              <w:spacing w:line="360" w:lineRule="auto"/>
              <w:jc w:val="left"/>
              <w:rPr>
                <w:rFonts w:ascii="宋体" w:hAnsi="宋体" w:eastAsia="宋体" w:cs="宋体"/>
                <w:color w:val="000000"/>
                <w:sz w:val="24"/>
                <w:szCs w:val="24"/>
                <w:highlight w:val="none"/>
                <w:lang w:val="en-US" w:eastAsia="zh-CN" w:bidi="ar-SA"/>
              </w:rPr>
            </w:pPr>
            <w:r>
              <w:rPr>
                <w:rFonts w:hint="eastAsia" w:ascii="宋体" w:hAnsi="宋体" w:eastAsia="宋体" w:cs="宋体"/>
                <w:color w:val="000000"/>
                <w:sz w:val="24"/>
                <w:szCs w:val="24"/>
                <w:highlight w:val="none"/>
                <w:lang w:val="en-US" w:eastAsia="zh-CN" w:bidi="ar-SA"/>
              </w:rPr>
              <w:t>（1）深入详细，科学合理的,得10分；</w:t>
            </w:r>
          </w:p>
          <w:p w14:paraId="2869B4BB">
            <w:pPr>
              <w:widowControl/>
              <w:autoSpaceDE/>
              <w:autoSpaceDN/>
              <w:adjustRightInd/>
              <w:snapToGrid w:val="0"/>
              <w:spacing w:line="360" w:lineRule="auto"/>
              <w:jc w:val="left"/>
              <w:rPr>
                <w:rFonts w:ascii="宋体" w:hAnsi="宋体" w:eastAsia="宋体" w:cs="宋体"/>
                <w:color w:val="000000"/>
                <w:sz w:val="24"/>
                <w:szCs w:val="24"/>
                <w:highlight w:val="none"/>
                <w:lang w:val="en-US" w:eastAsia="zh-CN" w:bidi="ar-SA"/>
              </w:rPr>
            </w:pPr>
            <w:r>
              <w:rPr>
                <w:rFonts w:hint="eastAsia" w:ascii="宋体" w:hAnsi="宋体" w:eastAsia="宋体" w:cs="宋体"/>
                <w:color w:val="000000"/>
                <w:sz w:val="24"/>
                <w:szCs w:val="24"/>
                <w:highlight w:val="none"/>
                <w:lang w:val="en-US" w:eastAsia="zh-CN" w:bidi="ar-SA"/>
              </w:rPr>
              <w:t>（2）具有一定实用性，符合项目要求,得6分；</w:t>
            </w:r>
          </w:p>
          <w:p w14:paraId="1DFD7B6D">
            <w:pPr>
              <w:widowControl/>
              <w:autoSpaceDE/>
              <w:autoSpaceDN/>
              <w:adjustRightInd/>
              <w:snapToGrid w:val="0"/>
              <w:spacing w:line="360" w:lineRule="auto"/>
              <w:jc w:val="left"/>
              <w:rPr>
                <w:rFonts w:ascii="宋体" w:hAnsi="宋体" w:eastAsia="宋体" w:cs="宋体"/>
                <w:color w:val="000000"/>
                <w:sz w:val="24"/>
                <w:szCs w:val="24"/>
                <w:highlight w:val="none"/>
                <w:lang w:val="en-US" w:eastAsia="zh-CN" w:bidi="ar-SA"/>
              </w:rPr>
            </w:pPr>
            <w:r>
              <w:rPr>
                <w:rFonts w:hint="eastAsia" w:ascii="宋体" w:hAnsi="宋体" w:eastAsia="宋体" w:cs="宋体"/>
                <w:color w:val="000000"/>
                <w:sz w:val="24"/>
                <w:szCs w:val="24"/>
                <w:highlight w:val="none"/>
                <w:lang w:val="en-US" w:eastAsia="zh-CN" w:bidi="ar-SA"/>
              </w:rPr>
              <w:t>（3）勉强符合要求,得3分；</w:t>
            </w:r>
          </w:p>
          <w:p w14:paraId="1862CCAF">
            <w:pPr>
              <w:widowControl/>
              <w:snapToGrid w:val="0"/>
              <w:spacing w:line="360" w:lineRule="auto"/>
              <w:jc w:val="left"/>
              <w:rPr>
                <w:rFonts w:ascii="宋体" w:hAnsi="宋体" w:eastAsia="宋体" w:cs="宋体"/>
                <w:sz w:val="24"/>
                <w:highlight w:val="none"/>
                <w:lang w:val="en-US"/>
              </w:rPr>
            </w:pPr>
            <w:r>
              <w:rPr>
                <w:rFonts w:hint="eastAsia" w:ascii="宋体" w:hAnsi="宋体" w:eastAsia="宋体" w:cs="宋体"/>
                <w:sz w:val="24"/>
                <w:highlight w:val="none"/>
                <w:lang w:val="en-US"/>
              </w:rPr>
              <w:t>（4）</w:t>
            </w:r>
            <w:r>
              <w:rPr>
                <w:rFonts w:hint="eastAsia" w:ascii="宋体" w:hAnsi="宋体" w:eastAsia="宋体" w:cs="宋体"/>
                <w:sz w:val="24"/>
                <w:szCs w:val="24"/>
                <w:highlight w:val="none"/>
              </w:rPr>
              <w:t>较差</w:t>
            </w:r>
            <w:r>
              <w:rPr>
                <w:rFonts w:hint="eastAsia" w:ascii="宋体" w:hAnsi="宋体" w:eastAsia="宋体" w:cs="宋体"/>
                <w:sz w:val="24"/>
                <w:highlight w:val="none"/>
              </w:rPr>
              <w:t>或未提供不得分。</w:t>
            </w:r>
          </w:p>
          <w:p w14:paraId="5E06005A">
            <w:pPr>
              <w:widowControl/>
              <w:snapToGrid w:val="0"/>
              <w:spacing w:line="360" w:lineRule="auto"/>
              <w:jc w:val="left"/>
              <w:outlineLvl w:val="9"/>
              <w:rPr>
                <w:rFonts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4</w:t>
            </w:r>
            <w:r>
              <w:rPr>
                <w:rFonts w:hint="eastAsia" w:ascii="宋体" w:hAnsi="宋体" w:eastAsia="宋体" w:cs="宋体"/>
                <w:b/>
                <w:bCs/>
                <w:sz w:val="24"/>
                <w:szCs w:val="24"/>
                <w:highlight w:val="none"/>
              </w:rPr>
              <w:t>.合理化建议</w:t>
            </w:r>
          </w:p>
          <w:p w14:paraId="2FBDDB00">
            <w:pPr>
              <w:widowControl/>
              <w:snapToGrid w:val="0"/>
              <w:spacing w:line="360" w:lineRule="auto"/>
              <w:jc w:val="left"/>
              <w:outlineLvl w:val="9"/>
              <w:rPr>
                <w:rFonts w:ascii="宋体" w:hAnsi="宋体" w:eastAsia="宋体" w:cs="宋体"/>
                <w:bCs/>
                <w:sz w:val="24"/>
                <w:szCs w:val="24"/>
                <w:highlight w:val="none"/>
              </w:rPr>
            </w:pPr>
            <w:r>
              <w:rPr>
                <w:rFonts w:hint="eastAsia" w:ascii="宋体" w:hAnsi="宋体" w:eastAsia="宋体" w:cs="宋体"/>
                <w:sz w:val="24"/>
                <w:szCs w:val="24"/>
                <w:highlight w:val="none"/>
              </w:rPr>
              <w:t>（1）供应商针对本项目提出合理化建议，相关建议与项目采购需求、行业现状等结合紧密，具有较高的科学性、前瞻性、且具有一定的深度和广度，得</w:t>
            </w:r>
            <w:r>
              <w:rPr>
                <w:rFonts w:hint="eastAsia" w:ascii="宋体" w:hAnsi="宋体" w:eastAsia="宋体" w:cs="宋体"/>
                <w:bCs/>
                <w:sz w:val="24"/>
                <w:szCs w:val="24"/>
                <w:highlight w:val="none"/>
                <w:lang w:val="en-US" w:eastAsia="zh-CN"/>
              </w:rPr>
              <w:t>10</w:t>
            </w:r>
            <w:r>
              <w:rPr>
                <w:rFonts w:hint="eastAsia" w:ascii="宋体" w:hAnsi="宋体" w:eastAsia="宋体" w:cs="宋体"/>
                <w:bCs/>
                <w:sz w:val="24"/>
                <w:szCs w:val="24"/>
                <w:highlight w:val="none"/>
              </w:rPr>
              <w:t>分；</w:t>
            </w:r>
          </w:p>
          <w:p w14:paraId="785CBF0A">
            <w:pPr>
              <w:widowControl/>
              <w:snapToGrid w:val="0"/>
              <w:spacing w:line="360" w:lineRule="auto"/>
              <w:jc w:val="left"/>
              <w:rPr>
                <w:rFonts w:ascii="宋体" w:hAnsi="宋体" w:eastAsia="宋体" w:cs="宋体"/>
                <w:bCs/>
                <w:sz w:val="24"/>
                <w:highlight w:val="none"/>
                <w:lang w:val="en-US"/>
              </w:rPr>
            </w:pPr>
            <w:r>
              <w:rPr>
                <w:rFonts w:hint="eastAsia" w:ascii="宋体" w:hAnsi="宋体" w:eastAsia="宋体" w:cs="宋体"/>
                <w:bCs/>
                <w:sz w:val="24"/>
                <w:highlight w:val="none"/>
                <w:lang w:val="en-US"/>
              </w:rPr>
              <w:t>（2）供应商针对本项目提出合理化建议较合理，得</w:t>
            </w:r>
            <w:r>
              <w:rPr>
                <w:rFonts w:hint="eastAsia" w:ascii="宋体" w:hAnsi="宋体" w:eastAsia="宋体" w:cs="宋体"/>
                <w:bCs/>
                <w:sz w:val="24"/>
                <w:highlight w:val="none"/>
                <w:lang w:val="en-US" w:eastAsia="zh-CN"/>
              </w:rPr>
              <w:t>6</w:t>
            </w:r>
            <w:r>
              <w:rPr>
                <w:rFonts w:hint="eastAsia" w:ascii="宋体" w:hAnsi="宋体" w:eastAsia="宋体" w:cs="宋体"/>
                <w:bCs/>
                <w:sz w:val="24"/>
                <w:highlight w:val="none"/>
                <w:lang w:val="en-US"/>
              </w:rPr>
              <w:t>分；</w:t>
            </w:r>
          </w:p>
          <w:p w14:paraId="3513FCA4">
            <w:pPr>
              <w:widowControl/>
              <w:snapToGrid w:val="0"/>
              <w:spacing w:line="360" w:lineRule="auto"/>
              <w:jc w:val="left"/>
              <w:rPr>
                <w:rFonts w:ascii="宋体" w:hAnsi="宋体" w:eastAsia="宋体" w:cs="宋体"/>
                <w:bCs/>
                <w:sz w:val="24"/>
                <w:highlight w:val="none"/>
                <w:lang w:val="en-US"/>
              </w:rPr>
            </w:pPr>
            <w:r>
              <w:rPr>
                <w:rFonts w:hint="eastAsia" w:ascii="宋体" w:hAnsi="宋体" w:eastAsia="宋体" w:cs="宋体"/>
                <w:bCs/>
                <w:sz w:val="24"/>
                <w:highlight w:val="none"/>
                <w:lang w:val="en-US"/>
              </w:rPr>
              <w:t>（3）合理化建议一般，得3分；</w:t>
            </w:r>
          </w:p>
          <w:p w14:paraId="4F7A6E80">
            <w:pPr>
              <w:widowControl/>
              <w:snapToGrid w:val="0"/>
              <w:spacing w:line="360" w:lineRule="auto"/>
              <w:jc w:val="left"/>
              <w:rPr>
                <w:rFonts w:hint="eastAsia" w:ascii="宋体" w:hAnsi="宋体" w:eastAsia="宋体" w:cs="宋体"/>
                <w:bCs/>
                <w:sz w:val="24"/>
                <w:highlight w:val="none"/>
              </w:rPr>
            </w:pPr>
            <w:r>
              <w:rPr>
                <w:rFonts w:hint="eastAsia" w:ascii="宋体" w:hAnsi="宋体" w:eastAsia="宋体" w:cs="宋体"/>
                <w:bCs/>
                <w:sz w:val="24"/>
                <w:highlight w:val="none"/>
              </w:rPr>
              <w:t>（4）较差或未提供的不得分。</w:t>
            </w:r>
          </w:p>
          <w:p w14:paraId="2113CAA5">
            <w:pPr>
              <w:widowControl/>
              <w:snapToGrid w:val="0"/>
              <w:spacing w:line="360" w:lineRule="auto"/>
              <w:jc w:val="left"/>
              <w:rPr>
                <w:rFonts w:hint="eastAsia" w:ascii="Times New Roman" w:hAnsi="Times New Roman" w:eastAsia="宋体" w:cs="宋体"/>
                <w:b/>
                <w:bCs w:val="0"/>
                <w:color w:val="000000"/>
                <w:kern w:val="0"/>
                <w:sz w:val="24"/>
                <w:szCs w:val="24"/>
                <w:highlight w:val="none"/>
              </w:rPr>
            </w:pPr>
            <w:r>
              <w:rPr>
                <w:rFonts w:hint="eastAsia" w:ascii="Times New Roman" w:hAnsi="Times New Roman" w:eastAsia="宋体" w:cs="宋体"/>
                <w:b/>
                <w:bCs w:val="0"/>
                <w:color w:val="000000"/>
                <w:kern w:val="0"/>
                <w:sz w:val="24"/>
                <w:szCs w:val="24"/>
                <w:highlight w:val="none"/>
              </w:rPr>
              <w:t>注：</w:t>
            </w:r>
          </w:p>
          <w:p w14:paraId="0959B571">
            <w:pPr>
              <w:widowControl/>
              <w:snapToGrid w:val="0"/>
              <w:spacing w:line="360" w:lineRule="auto"/>
              <w:jc w:val="left"/>
              <w:rPr>
                <w:rFonts w:hint="eastAsia" w:ascii="Times New Roman" w:hAnsi="Times New Roman" w:eastAsia="宋体" w:cs="宋体"/>
                <w:b w:val="0"/>
                <w:bCs/>
                <w:color w:val="000000"/>
                <w:kern w:val="0"/>
                <w:sz w:val="24"/>
                <w:szCs w:val="24"/>
                <w:highlight w:val="none"/>
              </w:rPr>
            </w:pPr>
            <w:r>
              <w:rPr>
                <w:rFonts w:hint="eastAsia" w:ascii="Times New Roman" w:hAnsi="Times New Roman" w:eastAsia="宋体" w:cs="宋体"/>
                <w:b w:val="0"/>
                <w:bCs/>
                <w:color w:val="000000"/>
                <w:kern w:val="0"/>
                <w:sz w:val="24"/>
                <w:szCs w:val="24"/>
                <w:highlight w:val="none"/>
                <w:lang w:eastAsia="zh-CN"/>
              </w:rPr>
              <w:t>服务方案</w:t>
            </w:r>
            <w:r>
              <w:rPr>
                <w:rFonts w:hint="eastAsia" w:ascii="Times New Roman" w:hAnsi="Times New Roman" w:eastAsia="宋体" w:cs="宋体"/>
                <w:b w:val="0"/>
                <w:bCs/>
                <w:color w:val="000000"/>
                <w:kern w:val="0"/>
                <w:sz w:val="24"/>
                <w:szCs w:val="24"/>
                <w:highlight w:val="none"/>
              </w:rPr>
              <w:t>编制要求如下：</w:t>
            </w:r>
          </w:p>
          <w:p w14:paraId="267EEF33">
            <w:pPr>
              <w:widowControl/>
              <w:snapToGrid w:val="0"/>
              <w:spacing w:line="360" w:lineRule="auto"/>
              <w:jc w:val="left"/>
              <w:rPr>
                <w:rFonts w:hint="eastAsia" w:ascii="Times New Roman" w:hAnsi="Times New Roman" w:eastAsia="宋体" w:cs="宋体"/>
                <w:b w:val="0"/>
                <w:bCs/>
                <w:color w:val="000000"/>
                <w:kern w:val="0"/>
                <w:sz w:val="24"/>
                <w:szCs w:val="24"/>
                <w:highlight w:val="none"/>
              </w:rPr>
            </w:pPr>
            <w:r>
              <w:rPr>
                <w:rFonts w:hint="eastAsia" w:ascii="Times New Roman" w:hAnsi="Times New Roman" w:eastAsia="宋体" w:cs="宋体"/>
                <w:b w:val="0"/>
                <w:bCs/>
                <w:color w:val="000000"/>
                <w:kern w:val="0"/>
                <w:sz w:val="24"/>
                <w:szCs w:val="24"/>
                <w:highlight w:val="none"/>
              </w:rPr>
              <w:t>（1）页面排版要求：纸张：A4;行距：固定值</w:t>
            </w:r>
          </w:p>
          <w:p w14:paraId="059017CE">
            <w:pPr>
              <w:widowControl/>
              <w:snapToGrid w:val="0"/>
              <w:spacing w:line="360" w:lineRule="auto"/>
              <w:jc w:val="left"/>
              <w:rPr>
                <w:rFonts w:hint="eastAsia" w:ascii="Times New Roman" w:hAnsi="Times New Roman" w:eastAsia="宋体" w:cs="宋体"/>
                <w:b w:val="0"/>
                <w:bCs/>
                <w:color w:val="000000"/>
                <w:kern w:val="0"/>
                <w:sz w:val="24"/>
                <w:szCs w:val="24"/>
                <w:highlight w:val="none"/>
              </w:rPr>
            </w:pPr>
            <w:r>
              <w:rPr>
                <w:rFonts w:hint="eastAsia" w:ascii="Times New Roman" w:hAnsi="Times New Roman" w:eastAsia="宋体" w:cs="宋体"/>
                <w:b w:val="0"/>
                <w:bCs/>
                <w:color w:val="000000"/>
                <w:kern w:val="0"/>
                <w:sz w:val="24"/>
                <w:szCs w:val="24"/>
                <w:highlight w:val="none"/>
              </w:rPr>
              <w:t>22 磅；页边距：上 2.5 厘米，其余均为 2.0 厘</w:t>
            </w:r>
          </w:p>
          <w:p w14:paraId="2C8E33A9">
            <w:pPr>
              <w:widowControl/>
              <w:snapToGrid w:val="0"/>
              <w:spacing w:line="360" w:lineRule="auto"/>
              <w:jc w:val="left"/>
              <w:rPr>
                <w:rFonts w:hint="eastAsia" w:ascii="Times New Roman" w:hAnsi="Times New Roman" w:eastAsia="宋体" w:cs="宋体"/>
                <w:b w:val="0"/>
                <w:bCs/>
                <w:color w:val="000000"/>
                <w:kern w:val="0"/>
                <w:sz w:val="24"/>
                <w:szCs w:val="24"/>
                <w:highlight w:val="none"/>
              </w:rPr>
            </w:pPr>
            <w:r>
              <w:rPr>
                <w:rFonts w:hint="eastAsia" w:ascii="Times New Roman" w:hAnsi="Times New Roman" w:eastAsia="宋体" w:cs="宋体"/>
                <w:b w:val="0"/>
                <w:bCs/>
                <w:color w:val="000000"/>
                <w:kern w:val="0"/>
                <w:sz w:val="24"/>
                <w:szCs w:val="24"/>
                <w:highlight w:val="none"/>
              </w:rPr>
              <w:t>米；</w:t>
            </w:r>
          </w:p>
          <w:p w14:paraId="43B32956">
            <w:pPr>
              <w:widowControl/>
              <w:snapToGrid w:val="0"/>
              <w:spacing w:line="360" w:lineRule="auto"/>
              <w:jc w:val="left"/>
              <w:rPr>
                <w:rFonts w:hint="eastAsia" w:ascii="Times New Roman" w:hAnsi="Times New Roman" w:eastAsia="宋体" w:cs="宋体"/>
                <w:b w:val="0"/>
                <w:bCs/>
                <w:color w:val="000000"/>
                <w:kern w:val="0"/>
                <w:sz w:val="24"/>
                <w:szCs w:val="24"/>
                <w:highlight w:val="none"/>
              </w:rPr>
            </w:pPr>
            <w:r>
              <w:rPr>
                <w:rFonts w:hint="eastAsia" w:ascii="Times New Roman" w:hAnsi="Times New Roman" w:eastAsia="宋体" w:cs="宋体"/>
                <w:b w:val="0"/>
                <w:bCs/>
                <w:color w:val="000000"/>
                <w:kern w:val="0"/>
                <w:sz w:val="24"/>
                <w:szCs w:val="24"/>
                <w:highlight w:val="none"/>
              </w:rPr>
              <w:t>（2）字体图片要求：字体：宋体；标题：三号；</w:t>
            </w:r>
          </w:p>
          <w:p w14:paraId="53AB703F">
            <w:pPr>
              <w:widowControl/>
              <w:snapToGrid w:val="0"/>
              <w:spacing w:line="360" w:lineRule="auto"/>
              <w:jc w:val="left"/>
              <w:rPr>
                <w:rFonts w:hint="eastAsia" w:ascii="Times New Roman" w:hAnsi="Times New Roman" w:eastAsia="宋体" w:cs="宋体"/>
                <w:b w:val="0"/>
                <w:bCs/>
                <w:color w:val="000000"/>
                <w:kern w:val="0"/>
                <w:sz w:val="24"/>
                <w:szCs w:val="24"/>
                <w:highlight w:val="none"/>
              </w:rPr>
            </w:pPr>
            <w:r>
              <w:rPr>
                <w:rFonts w:hint="eastAsia" w:ascii="Times New Roman" w:hAnsi="Times New Roman" w:eastAsia="宋体" w:cs="宋体"/>
                <w:b w:val="0"/>
                <w:bCs/>
                <w:color w:val="000000"/>
                <w:kern w:val="0"/>
                <w:sz w:val="24"/>
                <w:szCs w:val="24"/>
                <w:highlight w:val="none"/>
              </w:rPr>
              <w:t>其他为四号；图表图片大小由</w:t>
            </w:r>
            <w:r>
              <w:rPr>
                <w:rFonts w:hint="eastAsia" w:ascii="Times New Roman" w:hAnsi="Times New Roman" w:eastAsia="宋体" w:cs="宋体"/>
                <w:b w:val="0"/>
                <w:bCs/>
                <w:color w:val="000000"/>
                <w:kern w:val="0"/>
                <w:sz w:val="24"/>
                <w:szCs w:val="24"/>
                <w:highlight w:val="none"/>
                <w:lang w:eastAsia="zh-CN"/>
              </w:rPr>
              <w:t>供应商</w:t>
            </w:r>
            <w:r>
              <w:rPr>
                <w:rFonts w:hint="eastAsia" w:ascii="Times New Roman" w:hAnsi="Times New Roman" w:eastAsia="宋体" w:cs="宋体"/>
                <w:b w:val="0"/>
                <w:bCs/>
                <w:color w:val="000000"/>
                <w:kern w:val="0"/>
                <w:sz w:val="24"/>
                <w:szCs w:val="24"/>
                <w:highlight w:val="none"/>
              </w:rPr>
              <w:t>自行决定；</w:t>
            </w:r>
          </w:p>
          <w:p w14:paraId="64AE8845">
            <w:pPr>
              <w:widowControl/>
              <w:snapToGrid w:val="0"/>
              <w:spacing w:line="360" w:lineRule="auto"/>
              <w:jc w:val="left"/>
              <w:rPr>
                <w:rFonts w:hint="eastAsia" w:ascii="Times New Roman" w:hAnsi="Times New Roman" w:eastAsia="宋体" w:cs="宋体"/>
                <w:b w:val="0"/>
                <w:bCs/>
                <w:color w:val="000000"/>
                <w:kern w:val="0"/>
                <w:sz w:val="24"/>
                <w:szCs w:val="24"/>
                <w:highlight w:val="none"/>
              </w:rPr>
            </w:pPr>
            <w:r>
              <w:rPr>
                <w:rFonts w:hint="eastAsia" w:ascii="Times New Roman" w:hAnsi="Times New Roman" w:eastAsia="宋体" w:cs="宋体"/>
                <w:b w:val="0"/>
                <w:bCs/>
                <w:color w:val="000000"/>
                <w:kern w:val="0"/>
                <w:sz w:val="24"/>
                <w:szCs w:val="24"/>
                <w:highlight w:val="none"/>
              </w:rPr>
              <w:t>（3）编制篇幅:</w:t>
            </w:r>
            <w:r>
              <w:rPr>
                <w:rFonts w:hint="eastAsia" w:ascii="Times New Roman" w:hAnsi="Times New Roman" w:eastAsia="宋体" w:cs="宋体"/>
                <w:b w:val="0"/>
                <w:bCs/>
                <w:color w:val="000000"/>
                <w:kern w:val="0"/>
                <w:sz w:val="24"/>
                <w:szCs w:val="24"/>
                <w:highlight w:val="none"/>
                <w:lang w:eastAsia="zh-CN"/>
              </w:rPr>
              <w:t>服务方案整体</w:t>
            </w:r>
            <w:r>
              <w:rPr>
                <w:rFonts w:hint="eastAsia" w:ascii="Times New Roman" w:hAnsi="Times New Roman" w:eastAsia="宋体" w:cs="宋体"/>
                <w:b w:val="0"/>
                <w:bCs/>
                <w:color w:val="000000"/>
                <w:kern w:val="0"/>
                <w:sz w:val="24"/>
                <w:szCs w:val="24"/>
                <w:highlight w:val="none"/>
              </w:rPr>
              <w:t>不超过</w:t>
            </w:r>
            <w:r>
              <w:rPr>
                <w:rFonts w:hint="eastAsia" w:ascii="Times New Roman" w:hAnsi="Times New Roman" w:eastAsia="宋体" w:cs="宋体"/>
                <w:b w:val="0"/>
                <w:bCs/>
                <w:color w:val="000000"/>
                <w:kern w:val="0"/>
                <w:sz w:val="24"/>
                <w:szCs w:val="24"/>
                <w:highlight w:val="none"/>
                <w:u w:val="none"/>
                <w:lang w:val="en-US" w:eastAsia="zh-CN"/>
              </w:rPr>
              <w:t>2</w:t>
            </w:r>
            <w:r>
              <w:rPr>
                <w:rFonts w:hint="eastAsia" w:ascii="Times New Roman" w:hAnsi="Times New Roman" w:eastAsia="宋体" w:cs="宋体"/>
                <w:b w:val="0"/>
                <w:bCs/>
                <w:color w:val="000000"/>
                <w:kern w:val="0"/>
                <w:sz w:val="24"/>
                <w:szCs w:val="24"/>
                <w:highlight w:val="none"/>
                <w:u w:val="none"/>
              </w:rPr>
              <w:t xml:space="preserve">0 </w:t>
            </w:r>
            <w:r>
              <w:rPr>
                <w:rFonts w:hint="eastAsia" w:ascii="Times New Roman" w:hAnsi="Times New Roman" w:eastAsia="宋体" w:cs="宋体"/>
                <w:b w:val="0"/>
                <w:bCs/>
                <w:color w:val="000000"/>
                <w:kern w:val="0"/>
                <w:sz w:val="24"/>
                <w:szCs w:val="24"/>
                <w:highlight w:val="none"/>
              </w:rPr>
              <w:t>页</w:t>
            </w:r>
            <w:r>
              <w:rPr>
                <w:rFonts w:hint="eastAsia" w:ascii="Times New Roman" w:hAnsi="Times New Roman" w:eastAsia="宋体" w:cs="宋体"/>
                <w:b w:val="0"/>
                <w:bCs/>
                <w:color w:val="000000"/>
                <w:kern w:val="0"/>
                <w:sz w:val="24"/>
                <w:szCs w:val="24"/>
                <w:highlight w:val="none"/>
                <w:u w:val="none"/>
                <w:lang w:eastAsia="zh-CN"/>
              </w:rPr>
              <w:t>；</w:t>
            </w:r>
          </w:p>
          <w:p w14:paraId="31B3BC05">
            <w:pPr>
              <w:widowControl/>
              <w:snapToGrid w:val="0"/>
              <w:spacing w:line="360" w:lineRule="auto"/>
              <w:jc w:val="left"/>
              <w:rPr>
                <w:rFonts w:hint="eastAsia" w:ascii="宋体" w:hAnsi="宋体" w:eastAsia="宋体"/>
                <w:b/>
                <w:bCs/>
                <w:sz w:val="24"/>
                <w:highlight w:val="none"/>
              </w:rPr>
            </w:pPr>
            <w:r>
              <w:rPr>
                <w:rFonts w:hint="eastAsia" w:ascii="Times New Roman" w:hAnsi="Times New Roman" w:eastAsia="宋体" w:cs="宋体"/>
                <w:b w:val="0"/>
                <w:bCs/>
                <w:color w:val="000000"/>
                <w:kern w:val="0"/>
                <w:sz w:val="24"/>
                <w:szCs w:val="24"/>
                <w:highlight w:val="none"/>
              </w:rPr>
              <w:t>（4）结合</w:t>
            </w:r>
            <w:r>
              <w:rPr>
                <w:rFonts w:hint="eastAsia" w:ascii="Times New Roman" w:hAnsi="Times New Roman" w:eastAsia="宋体" w:cs="宋体"/>
                <w:b w:val="0"/>
                <w:bCs/>
                <w:color w:val="000000"/>
                <w:kern w:val="0"/>
                <w:sz w:val="24"/>
                <w:szCs w:val="24"/>
                <w:highlight w:val="none"/>
                <w:lang w:eastAsia="zh-CN"/>
              </w:rPr>
              <w:t>项目</w:t>
            </w:r>
            <w:r>
              <w:rPr>
                <w:rFonts w:hint="eastAsia" w:ascii="Times New Roman" w:hAnsi="Times New Roman" w:eastAsia="宋体" w:cs="宋体"/>
                <w:b w:val="0"/>
                <w:bCs/>
                <w:color w:val="000000"/>
                <w:kern w:val="0"/>
                <w:sz w:val="24"/>
                <w:szCs w:val="24"/>
                <w:highlight w:val="none"/>
              </w:rPr>
              <w:t>实际特点及需要，国家及地方现有规范已有的内容无需重复编制。</w:t>
            </w:r>
          </w:p>
        </w:tc>
        <w:tc>
          <w:tcPr>
            <w:tcW w:w="897" w:type="dxa"/>
            <w:tcBorders>
              <w:top w:val="single" w:color="auto" w:sz="4" w:space="0"/>
              <w:left w:val="single" w:color="auto" w:sz="4" w:space="0"/>
              <w:bottom w:val="single" w:color="auto" w:sz="4" w:space="0"/>
              <w:right w:val="single" w:color="auto" w:sz="4" w:space="0"/>
            </w:tcBorders>
            <w:noWrap w:val="0"/>
            <w:vAlign w:val="center"/>
          </w:tcPr>
          <w:p w14:paraId="4BA489FC">
            <w:pPr>
              <w:spacing w:line="360" w:lineRule="auto"/>
              <w:jc w:val="center"/>
              <w:rPr>
                <w:rFonts w:hint="default" w:ascii="宋体" w:hAnsi="宋体" w:eastAsia="宋体"/>
                <w:b/>
                <w:bCs/>
                <w:sz w:val="24"/>
                <w:highlight w:val="none"/>
                <w:lang w:val="en-US" w:eastAsia="zh-CN"/>
              </w:rPr>
            </w:pPr>
            <w:r>
              <w:rPr>
                <w:rFonts w:hint="eastAsia" w:ascii="宋体" w:hAnsi="宋体" w:eastAsia="宋体"/>
                <w:b/>
                <w:bCs/>
                <w:sz w:val="24"/>
                <w:highlight w:val="none"/>
                <w:lang w:val="en-US" w:eastAsia="zh-CN"/>
              </w:rPr>
              <w:t>0-40分</w:t>
            </w:r>
          </w:p>
        </w:tc>
      </w:tr>
      <w:tr w14:paraId="33D17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1479" w:type="dxa"/>
            <w:vMerge w:val="continue"/>
            <w:tcBorders>
              <w:left w:val="single" w:color="auto" w:sz="4" w:space="0"/>
              <w:right w:val="single" w:color="auto" w:sz="4" w:space="0"/>
            </w:tcBorders>
            <w:noWrap w:val="0"/>
            <w:vAlign w:val="center"/>
          </w:tcPr>
          <w:p w14:paraId="07159061">
            <w:pPr>
              <w:spacing w:line="360" w:lineRule="auto"/>
              <w:ind w:firstLine="435"/>
              <w:jc w:val="center"/>
              <w:rPr>
                <w:rFonts w:ascii="宋体" w:hAnsi="宋体" w:eastAsia="宋体"/>
                <w:b/>
                <w:bCs/>
                <w:sz w:val="24"/>
                <w:highlight w:val="none"/>
              </w:rPr>
            </w:pPr>
          </w:p>
        </w:tc>
        <w:tc>
          <w:tcPr>
            <w:tcW w:w="1191" w:type="dxa"/>
            <w:tcBorders>
              <w:top w:val="single" w:color="auto" w:sz="4" w:space="0"/>
              <w:left w:val="single" w:color="auto" w:sz="4" w:space="0"/>
              <w:bottom w:val="single" w:color="auto" w:sz="4" w:space="0"/>
              <w:right w:val="single" w:color="auto" w:sz="4" w:space="0"/>
            </w:tcBorders>
            <w:noWrap w:val="0"/>
            <w:vAlign w:val="center"/>
          </w:tcPr>
          <w:p w14:paraId="5207ADF5">
            <w:pPr>
              <w:spacing w:line="360" w:lineRule="auto"/>
              <w:jc w:val="center"/>
              <w:rPr>
                <w:rFonts w:ascii="宋体" w:hAnsi="宋体" w:eastAsia="宋体"/>
                <w:sz w:val="24"/>
                <w:highlight w:val="none"/>
              </w:rPr>
            </w:pPr>
            <w:r>
              <w:rPr>
                <w:rFonts w:hint="eastAsia" w:ascii="宋体" w:hAnsi="宋体" w:eastAsia="宋体"/>
                <w:b w:val="0"/>
                <w:bCs/>
                <w:kern w:val="0"/>
                <w:sz w:val="24"/>
                <w:highlight w:val="none"/>
              </w:rPr>
              <w:t>项目负责人</w:t>
            </w:r>
          </w:p>
        </w:tc>
        <w:tc>
          <w:tcPr>
            <w:tcW w:w="5057" w:type="dxa"/>
            <w:tcBorders>
              <w:top w:val="single" w:color="auto" w:sz="4" w:space="0"/>
              <w:left w:val="single" w:color="auto" w:sz="4" w:space="0"/>
              <w:bottom w:val="single" w:color="auto" w:sz="4" w:space="0"/>
              <w:right w:val="single" w:color="auto" w:sz="4" w:space="0"/>
            </w:tcBorders>
            <w:noWrap w:val="0"/>
            <w:vAlign w:val="center"/>
          </w:tcPr>
          <w:p w14:paraId="090D0324">
            <w:pPr>
              <w:numPr>
                <w:ilvl w:val="-1"/>
                <w:numId w:val="0"/>
              </w:numPr>
              <w:shd w:val="clear" w:color="auto" w:fill="auto"/>
              <w:spacing w:line="360" w:lineRule="auto"/>
              <w:jc w:val="left"/>
              <w:rPr>
                <w:rFonts w:hint="eastAsia" w:ascii="宋体" w:hAnsi="宋体" w:eastAsia="宋体"/>
                <w:bCs/>
                <w:color w:val="auto"/>
                <w:sz w:val="24"/>
                <w:highlight w:val="none"/>
                <w:lang w:eastAsia="zh-CN"/>
              </w:rPr>
            </w:pPr>
            <w:r>
              <w:rPr>
                <w:rFonts w:hint="eastAsia" w:ascii="宋体" w:hAnsi="宋体" w:eastAsia="宋体"/>
                <w:bCs/>
                <w:sz w:val="24"/>
                <w:highlight w:val="none"/>
                <w:lang w:eastAsia="zh-CN"/>
              </w:rPr>
              <w:t>（</w:t>
            </w:r>
            <w:r>
              <w:rPr>
                <w:rFonts w:hint="eastAsia" w:ascii="宋体" w:hAnsi="宋体" w:eastAsia="宋体"/>
                <w:bCs/>
                <w:sz w:val="24"/>
                <w:highlight w:val="none"/>
                <w:lang w:val="en-US" w:eastAsia="zh-CN"/>
              </w:rPr>
              <w:t>1）</w:t>
            </w:r>
            <w:r>
              <w:rPr>
                <w:rFonts w:hint="eastAsia" w:ascii="宋体" w:hAnsi="宋体" w:eastAsia="宋体"/>
                <w:bCs/>
                <w:sz w:val="24"/>
                <w:highlight w:val="none"/>
              </w:rPr>
              <w:t>供应商拟为本项目配备的项目负责人（1人）：</w:t>
            </w:r>
            <w:r>
              <w:rPr>
                <w:rFonts w:hint="eastAsia" w:ascii="宋体" w:hAnsi="宋体" w:eastAsia="宋体" w:cs="宋体"/>
                <w:color w:val="auto"/>
                <w:sz w:val="24"/>
                <w:szCs w:val="24"/>
                <w:highlight w:val="none"/>
                <w:lang w:val="en-US" w:eastAsia="zh-CN"/>
              </w:rPr>
              <w:t>拟派</w:t>
            </w:r>
            <w:r>
              <w:rPr>
                <w:rFonts w:hint="eastAsia" w:ascii="宋体" w:hAnsi="宋体" w:eastAsia="宋体" w:cs="宋体"/>
                <w:color w:val="auto"/>
                <w:sz w:val="24"/>
                <w:szCs w:val="24"/>
                <w:highlight w:val="none"/>
              </w:rPr>
              <w:t>项目负责人为</w:t>
            </w:r>
            <w:r>
              <w:rPr>
                <w:rFonts w:hint="eastAsia" w:ascii="宋体" w:hAnsi="宋体" w:eastAsia="宋体" w:cs="宋体"/>
                <w:color w:val="auto"/>
                <w:sz w:val="24"/>
                <w:szCs w:val="24"/>
                <w:highlight w:val="none"/>
                <w:lang w:val="en-US" w:eastAsia="zh-CN"/>
              </w:rPr>
              <w:t>工程类</w:t>
            </w:r>
            <w:r>
              <w:rPr>
                <w:rFonts w:hint="eastAsia" w:ascii="宋体" w:hAnsi="宋体" w:eastAsia="宋体" w:cs="宋体"/>
                <w:color w:val="auto"/>
                <w:sz w:val="24"/>
                <w:szCs w:val="24"/>
                <w:highlight w:val="none"/>
              </w:rPr>
              <w:t>高级工程师（正高）的得</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分，为高级工程师（副高）的得</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分；</w:t>
            </w:r>
          </w:p>
          <w:p w14:paraId="5F602196">
            <w:pPr>
              <w:numPr>
                <w:ilvl w:val="-1"/>
                <w:numId w:val="0"/>
              </w:numPr>
              <w:shd w:val="clear" w:color="auto" w:fill="auto"/>
              <w:spacing w:line="360" w:lineRule="auto"/>
              <w:jc w:val="left"/>
              <w:rPr>
                <w:rFonts w:hint="eastAsia" w:ascii="宋体" w:hAnsi="宋体" w:eastAsia="宋体"/>
                <w:bCs/>
                <w:color w:val="auto"/>
                <w:sz w:val="24"/>
                <w:highlight w:val="none"/>
                <w:lang w:eastAsia="zh-CN"/>
              </w:rPr>
            </w:pPr>
            <w:r>
              <w:rPr>
                <w:rFonts w:hint="eastAsia" w:ascii="宋体" w:hAnsi="宋体" w:eastAsia="宋体"/>
                <w:bCs/>
                <w:sz w:val="24"/>
                <w:highlight w:val="none"/>
                <w:lang w:eastAsia="zh-CN"/>
              </w:rPr>
              <w:t>（</w:t>
            </w:r>
            <w:r>
              <w:rPr>
                <w:rFonts w:hint="eastAsia" w:ascii="宋体" w:hAnsi="宋体" w:eastAsia="宋体"/>
                <w:bCs/>
                <w:sz w:val="24"/>
                <w:highlight w:val="none"/>
                <w:lang w:val="en-US" w:eastAsia="zh-CN"/>
              </w:rPr>
              <w:t>2</w:t>
            </w:r>
            <w:r>
              <w:rPr>
                <w:rFonts w:hint="eastAsia" w:ascii="宋体" w:hAnsi="宋体" w:eastAsia="宋体"/>
                <w:bCs/>
                <w:sz w:val="24"/>
                <w:highlight w:val="none"/>
                <w:lang w:eastAsia="zh-CN"/>
              </w:rPr>
              <w:t>）</w:t>
            </w:r>
            <w:r>
              <w:rPr>
                <w:rFonts w:hint="eastAsia" w:ascii="宋体" w:hAnsi="宋体" w:eastAsia="宋体" w:cs="宋体"/>
                <w:color w:val="auto"/>
                <w:sz w:val="24"/>
                <w:szCs w:val="24"/>
                <w:highlight w:val="none"/>
                <w:lang w:val="en-US" w:eastAsia="zh-CN"/>
              </w:rPr>
              <w:t>拟派</w:t>
            </w:r>
            <w:r>
              <w:rPr>
                <w:rFonts w:hint="eastAsia" w:ascii="宋体" w:hAnsi="宋体" w:eastAsia="宋体" w:cs="宋体"/>
                <w:color w:val="auto"/>
                <w:sz w:val="24"/>
                <w:szCs w:val="24"/>
                <w:highlight w:val="none"/>
              </w:rPr>
              <w:t>项目负责人</w:t>
            </w:r>
            <w:r>
              <w:rPr>
                <w:rFonts w:hint="eastAsia" w:ascii="宋体" w:hAnsi="宋体" w:eastAsia="宋体"/>
                <w:bCs/>
                <w:color w:val="auto"/>
                <w:sz w:val="24"/>
                <w:highlight w:val="none"/>
              </w:rPr>
              <w:t>具有</w:t>
            </w:r>
            <w:r>
              <w:rPr>
                <w:rFonts w:hint="eastAsia" w:ascii="宋体" w:hAnsi="宋体" w:eastAsia="宋体"/>
                <w:bCs/>
                <w:color w:val="auto"/>
                <w:sz w:val="24"/>
                <w:highlight w:val="none"/>
                <w:lang w:eastAsia="zh-CN"/>
              </w:rPr>
              <w:t>注册</w:t>
            </w:r>
            <w:r>
              <w:rPr>
                <w:rFonts w:hint="eastAsia" w:ascii="宋体" w:hAnsi="宋体" w:eastAsia="宋体"/>
                <w:bCs/>
                <w:color w:val="auto"/>
                <w:sz w:val="24"/>
                <w:highlight w:val="none"/>
              </w:rPr>
              <w:t>执业资格证书</w:t>
            </w:r>
            <w:r>
              <w:rPr>
                <w:rFonts w:hint="eastAsia" w:ascii="宋体" w:hAnsi="宋体" w:eastAsia="宋体"/>
                <w:bCs/>
                <w:sz w:val="24"/>
                <w:highlight w:val="none"/>
              </w:rPr>
              <w:t>的</w:t>
            </w:r>
            <w:r>
              <w:rPr>
                <w:rFonts w:hint="eastAsia" w:ascii="宋体" w:hAnsi="宋体" w:eastAsia="宋体"/>
                <w:bCs/>
                <w:color w:val="auto"/>
                <w:sz w:val="24"/>
                <w:highlight w:val="none"/>
              </w:rPr>
              <w:t>，得</w:t>
            </w:r>
            <w:r>
              <w:rPr>
                <w:rFonts w:hint="eastAsia" w:ascii="宋体" w:hAnsi="宋体" w:eastAsia="宋体"/>
                <w:bCs/>
                <w:color w:val="auto"/>
                <w:sz w:val="24"/>
                <w:highlight w:val="none"/>
                <w:lang w:val="en-US" w:eastAsia="zh-CN"/>
              </w:rPr>
              <w:t>3</w:t>
            </w:r>
            <w:r>
              <w:rPr>
                <w:rFonts w:hint="eastAsia" w:ascii="宋体" w:hAnsi="宋体" w:eastAsia="宋体"/>
                <w:bCs/>
                <w:color w:val="auto"/>
                <w:sz w:val="24"/>
                <w:highlight w:val="none"/>
              </w:rPr>
              <w:t>分</w:t>
            </w:r>
            <w:r>
              <w:rPr>
                <w:rFonts w:hint="eastAsia" w:ascii="宋体" w:hAnsi="宋体" w:eastAsia="宋体"/>
                <w:bCs/>
                <w:color w:val="auto"/>
                <w:sz w:val="24"/>
                <w:highlight w:val="none"/>
                <w:lang w:eastAsia="zh-CN"/>
              </w:rPr>
              <w:t>（满足注册咨询工程师（投资）、一级注册造价师、一级注册结构工程师、一级注册建筑师、注册公用设备工程师（给水排水）或注册会计师其一即可）。</w:t>
            </w:r>
          </w:p>
          <w:p w14:paraId="08864EE1">
            <w:pPr>
              <w:snapToGrid/>
              <w:spacing w:line="360" w:lineRule="auto"/>
              <w:jc w:val="left"/>
              <w:rPr>
                <w:rFonts w:hint="default" w:ascii="宋体" w:hAnsi="宋体" w:eastAsia="宋体"/>
                <w:bCs/>
                <w:color w:val="000000"/>
                <w:sz w:val="24"/>
                <w:highlight w:val="none"/>
                <w:lang w:val="en-US" w:eastAsia="zh-CN"/>
              </w:rPr>
            </w:pPr>
            <w:r>
              <w:rPr>
                <w:rFonts w:hint="eastAsia" w:ascii="宋体" w:hAnsi="宋体" w:eastAsia="宋体"/>
                <w:bCs/>
                <w:color w:val="000000"/>
                <w:sz w:val="24"/>
                <w:highlight w:val="none"/>
                <w:lang w:eastAsia="zh-CN"/>
              </w:rPr>
              <w:t>（</w:t>
            </w:r>
            <w:r>
              <w:rPr>
                <w:rFonts w:hint="eastAsia" w:ascii="宋体" w:hAnsi="宋体" w:eastAsia="宋体"/>
                <w:bCs/>
                <w:color w:val="000000"/>
                <w:sz w:val="24"/>
                <w:highlight w:val="none"/>
                <w:lang w:val="en-US" w:eastAsia="zh-CN"/>
              </w:rPr>
              <w:t>3）项目负责人具有中期评估、绩效评价或工程第三方评估（巡查）等专业服务业绩的，</w:t>
            </w:r>
            <w:r>
              <w:rPr>
                <w:rFonts w:hint="eastAsia" w:ascii="宋体" w:hAnsi="宋体" w:eastAsia="宋体"/>
                <w:bCs/>
                <w:color w:val="000000"/>
                <w:sz w:val="24"/>
                <w:highlight w:val="none"/>
              </w:rPr>
              <w:t>每提供一个得</w:t>
            </w:r>
            <w:r>
              <w:rPr>
                <w:rFonts w:hint="eastAsia" w:ascii="宋体" w:hAnsi="宋体" w:eastAsia="宋体"/>
                <w:bCs/>
                <w:color w:val="000000"/>
                <w:sz w:val="24"/>
                <w:highlight w:val="none"/>
                <w:lang w:val="en-US" w:eastAsia="zh-CN"/>
              </w:rPr>
              <w:t>3</w:t>
            </w:r>
            <w:r>
              <w:rPr>
                <w:rFonts w:hint="eastAsia" w:ascii="宋体" w:hAnsi="宋体" w:eastAsia="宋体"/>
                <w:bCs/>
                <w:color w:val="000000"/>
                <w:sz w:val="24"/>
                <w:highlight w:val="none"/>
              </w:rPr>
              <w:t>分，</w:t>
            </w:r>
            <w:r>
              <w:rPr>
                <w:rFonts w:hint="eastAsia" w:ascii="宋体" w:hAnsi="宋体" w:eastAsia="宋体"/>
                <w:bCs/>
                <w:color w:val="000000"/>
                <w:sz w:val="24"/>
                <w:highlight w:val="none"/>
                <w:lang w:eastAsia="zh-CN"/>
              </w:rPr>
              <w:t>此小项</w:t>
            </w:r>
            <w:r>
              <w:rPr>
                <w:rFonts w:hint="eastAsia" w:ascii="宋体" w:hAnsi="宋体" w:eastAsia="宋体"/>
                <w:bCs/>
                <w:color w:val="000000"/>
                <w:sz w:val="24"/>
                <w:highlight w:val="none"/>
              </w:rPr>
              <w:t>满分</w:t>
            </w:r>
            <w:r>
              <w:rPr>
                <w:rFonts w:hint="eastAsia" w:ascii="宋体" w:hAnsi="宋体" w:eastAsia="宋体"/>
                <w:bCs/>
                <w:color w:val="000000"/>
                <w:sz w:val="24"/>
                <w:highlight w:val="none"/>
                <w:lang w:val="en-US" w:eastAsia="zh-CN"/>
              </w:rPr>
              <w:t>9</w:t>
            </w:r>
            <w:r>
              <w:rPr>
                <w:rFonts w:hint="eastAsia" w:ascii="宋体" w:hAnsi="宋体" w:eastAsia="宋体"/>
                <w:bCs/>
                <w:color w:val="000000"/>
                <w:sz w:val="24"/>
                <w:highlight w:val="none"/>
              </w:rPr>
              <w:t>分</w:t>
            </w:r>
            <w:r>
              <w:rPr>
                <w:rFonts w:hint="eastAsia" w:ascii="宋体" w:hAnsi="宋体" w:eastAsia="宋体"/>
                <w:bCs/>
                <w:color w:val="000000"/>
                <w:sz w:val="24"/>
                <w:highlight w:val="none"/>
                <w:lang w:eastAsia="zh-CN"/>
              </w:rPr>
              <w:t>。</w:t>
            </w:r>
            <w:r>
              <w:rPr>
                <w:rFonts w:hint="eastAsia" w:ascii="宋体" w:hAnsi="宋体" w:eastAsia="宋体"/>
                <w:bCs/>
                <w:color w:val="000000"/>
                <w:sz w:val="24"/>
                <w:highlight w:val="none"/>
                <w:lang w:eastAsia="zh-CN"/>
              </w:rPr>
              <w:br w:type="textWrapping"/>
            </w:r>
            <w:r>
              <w:rPr>
                <w:rFonts w:hint="eastAsia" w:ascii="宋体" w:hAnsi="宋体" w:eastAsia="宋体"/>
                <w:bCs/>
                <w:color w:val="000000"/>
                <w:sz w:val="24"/>
                <w:highlight w:val="none"/>
                <w:lang w:eastAsia="zh-CN"/>
              </w:rPr>
              <w:t>项目负责人业绩与供应商业绩不得重复</w:t>
            </w:r>
            <w:r>
              <w:rPr>
                <w:rFonts w:hint="eastAsia" w:ascii="宋体" w:hAnsi="宋体" w:eastAsia="宋体"/>
                <w:bCs/>
                <w:color w:val="000000"/>
                <w:sz w:val="24"/>
                <w:highlight w:val="none"/>
              </w:rPr>
              <w:t>。</w:t>
            </w:r>
          </w:p>
          <w:p w14:paraId="46DC4530">
            <w:pPr>
              <w:snapToGrid/>
              <w:spacing w:line="360" w:lineRule="auto"/>
              <w:jc w:val="left"/>
              <w:rPr>
                <w:rFonts w:ascii="宋体" w:hAnsi="宋体" w:eastAsia="宋体" w:cs="宋体"/>
                <w:b/>
                <w:kern w:val="0"/>
                <w:sz w:val="24"/>
                <w:highlight w:val="none"/>
              </w:rPr>
            </w:pPr>
            <w:r>
              <w:rPr>
                <w:rFonts w:hint="eastAsia" w:ascii="宋体" w:hAnsi="宋体" w:eastAsia="宋体" w:cs="宋体"/>
                <w:b/>
                <w:kern w:val="0"/>
                <w:sz w:val="24"/>
                <w:highlight w:val="none"/>
              </w:rPr>
              <w:t>注：响应</w:t>
            </w:r>
            <w:r>
              <w:rPr>
                <w:rFonts w:ascii="宋体" w:hAnsi="宋体" w:eastAsia="宋体" w:cs="宋体"/>
                <w:b/>
                <w:kern w:val="0"/>
                <w:sz w:val="24"/>
                <w:highlight w:val="none"/>
              </w:rPr>
              <w:t>文件中</w:t>
            </w:r>
            <w:r>
              <w:rPr>
                <w:rFonts w:hint="eastAsia" w:ascii="宋体" w:hAnsi="宋体" w:eastAsia="宋体" w:cs="宋体"/>
                <w:b/>
                <w:kern w:val="0"/>
                <w:sz w:val="24"/>
                <w:highlight w:val="none"/>
              </w:rPr>
              <w:t>须提供：</w:t>
            </w:r>
          </w:p>
          <w:p w14:paraId="71E3CB11">
            <w:pPr>
              <w:snapToGrid/>
              <w:spacing w:line="360" w:lineRule="auto"/>
              <w:jc w:val="left"/>
              <w:rPr>
                <w:rFonts w:ascii="宋体" w:hAnsi="宋体" w:eastAsia="宋体" w:cs="宋体"/>
                <w:b/>
                <w:kern w:val="0"/>
                <w:sz w:val="24"/>
                <w:highlight w:val="none"/>
              </w:rPr>
            </w:pPr>
            <w:r>
              <w:rPr>
                <w:rFonts w:hint="eastAsia" w:ascii="宋体" w:hAnsi="宋体" w:eastAsia="宋体" w:cs="宋体"/>
                <w:b/>
                <w:kern w:val="0"/>
                <w:sz w:val="24"/>
                <w:highlight w:val="none"/>
              </w:rPr>
              <w:t>1、第1项</w:t>
            </w:r>
            <w:r>
              <w:rPr>
                <w:rFonts w:ascii="宋体" w:hAnsi="宋体" w:eastAsia="宋体" w:cs="宋体"/>
                <w:b/>
                <w:kern w:val="0"/>
                <w:sz w:val="24"/>
                <w:highlight w:val="none"/>
              </w:rPr>
              <w:t>提供证书</w:t>
            </w:r>
            <w:r>
              <w:rPr>
                <w:rFonts w:hint="eastAsia" w:ascii="宋体" w:hAnsi="宋体" w:eastAsia="宋体" w:cs="宋体"/>
                <w:b/>
                <w:kern w:val="0"/>
                <w:sz w:val="24"/>
                <w:highlight w:val="none"/>
              </w:rPr>
              <w:t>复印件或影印件</w:t>
            </w:r>
            <w:r>
              <w:rPr>
                <w:rFonts w:ascii="宋体" w:hAnsi="宋体" w:eastAsia="宋体" w:cs="宋体"/>
                <w:b/>
                <w:kern w:val="0"/>
                <w:sz w:val="24"/>
                <w:highlight w:val="none"/>
              </w:rPr>
              <w:t>；</w:t>
            </w:r>
          </w:p>
          <w:p w14:paraId="416A4209">
            <w:pPr>
              <w:spacing w:line="360" w:lineRule="auto"/>
              <w:jc w:val="left"/>
              <w:rPr>
                <w:rFonts w:ascii="宋体" w:hAnsi="宋体" w:eastAsia="宋体" w:cs="宋体"/>
                <w:b/>
                <w:kern w:val="0"/>
                <w:sz w:val="24"/>
                <w:highlight w:val="none"/>
              </w:rPr>
            </w:pPr>
            <w:r>
              <w:rPr>
                <w:rFonts w:hint="eastAsia" w:ascii="宋体" w:hAnsi="宋体" w:eastAsia="宋体" w:cs="宋体"/>
                <w:b/>
                <w:kern w:val="0"/>
                <w:sz w:val="24"/>
                <w:highlight w:val="none"/>
              </w:rPr>
              <w:t>2、供应商</w:t>
            </w:r>
            <w:r>
              <w:rPr>
                <w:rFonts w:ascii="宋体" w:hAnsi="宋体" w:eastAsia="宋体" w:cs="宋体"/>
                <w:b/>
                <w:kern w:val="0"/>
                <w:sz w:val="24"/>
                <w:highlight w:val="none"/>
              </w:rPr>
              <w:t>为项目负责人缴纳的</w:t>
            </w:r>
            <w:r>
              <w:rPr>
                <w:rFonts w:hint="eastAsia" w:ascii="宋体" w:hAnsi="宋体" w:eastAsia="宋体" w:cs="宋体"/>
                <w:b/>
                <w:kern w:val="0"/>
                <w:sz w:val="24"/>
                <w:highlight w:val="none"/>
              </w:rPr>
              <w:t>近</w:t>
            </w:r>
            <w:r>
              <w:rPr>
                <w:rFonts w:hint="eastAsia" w:ascii="宋体" w:hAnsi="宋体" w:eastAsia="宋体" w:cs="宋体"/>
                <w:b/>
                <w:kern w:val="0"/>
                <w:sz w:val="24"/>
                <w:highlight w:val="none"/>
                <w:lang w:val="en-US" w:eastAsia="zh-CN"/>
              </w:rPr>
              <w:t>6</w:t>
            </w:r>
            <w:r>
              <w:rPr>
                <w:rFonts w:ascii="宋体" w:hAnsi="宋体" w:eastAsia="宋体" w:cs="宋体"/>
                <w:b/>
                <w:kern w:val="0"/>
                <w:sz w:val="24"/>
                <w:highlight w:val="none"/>
              </w:rPr>
              <w:t>个月</w:t>
            </w:r>
            <w:r>
              <w:rPr>
                <w:rFonts w:hint="eastAsia" w:ascii="宋体" w:hAnsi="宋体" w:eastAsia="宋体" w:cs="宋体"/>
                <w:b/>
                <w:kern w:val="0"/>
                <w:sz w:val="24"/>
                <w:highlight w:val="none"/>
              </w:rPr>
              <w:t>内</w:t>
            </w:r>
            <w:r>
              <w:rPr>
                <w:rFonts w:ascii="宋体" w:hAnsi="宋体" w:eastAsia="宋体" w:cs="宋体"/>
                <w:b/>
                <w:kern w:val="0"/>
                <w:sz w:val="24"/>
                <w:highlight w:val="none"/>
              </w:rPr>
              <w:t>（任意</w:t>
            </w:r>
            <w:r>
              <w:rPr>
                <w:rFonts w:hint="eastAsia" w:ascii="宋体" w:hAnsi="宋体" w:eastAsia="宋体" w:cs="宋体"/>
                <w:b/>
                <w:kern w:val="0"/>
                <w:sz w:val="24"/>
                <w:highlight w:val="none"/>
              </w:rPr>
              <w:t>连续</w:t>
            </w:r>
            <w:r>
              <w:rPr>
                <w:rFonts w:ascii="宋体" w:hAnsi="宋体" w:eastAsia="宋体" w:cs="宋体"/>
                <w:b/>
                <w:kern w:val="0"/>
                <w:sz w:val="24"/>
                <w:highlight w:val="none"/>
              </w:rPr>
              <w:t>三个月）</w:t>
            </w:r>
            <w:r>
              <w:rPr>
                <w:rFonts w:hint="eastAsia" w:ascii="宋体" w:hAnsi="宋体" w:eastAsia="宋体" w:cs="宋体"/>
                <w:b/>
                <w:kern w:val="0"/>
                <w:sz w:val="24"/>
                <w:highlight w:val="none"/>
              </w:rPr>
              <w:t>的</w:t>
            </w:r>
            <w:r>
              <w:rPr>
                <w:rFonts w:ascii="宋体" w:hAnsi="宋体" w:eastAsia="宋体" w:cs="宋体"/>
                <w:b/>
                <w:kern w:val="0"/>
                <w:sz w:val="24"/>
                <w:highlight w:val="none"/>
              </w:rPr>
              <w:t>社保证明材料，社保证明材</w:t>
            </w:r>
          </w:p>
          <w:p w14:paraId="7956C97F">
            <w:pPr>
              <w:spacing w:line="360" w:lineRule="auto"/>
              <w:jc w:val="left"/>
              <w:rPr>
                <w:rFonts w:ascii="宋体" w:hAnsi="宋体" w:eastAsia="宋体" w:cs="宋体"/>
                <w:b/>
                <w:kern w:val="0"/>
                <w:sz w:val="24"/>
                <w:highlight w:val="none"/>
              </w:rPr>
            </w:pPr>
            <w:r>
              <w:rPr>
                <w:rFonts w:ascii="宋体" w:hAnsi="宋体" w:eastAsia="宋体" w:cs="宋体"/>
                <w:b/>
                <w:kern w:val="0"/>
                <w:sz w:val="24"/>
                <w:highlight w:val="none"/>
              </w:rPr>
              <w:t>料形式详见供应商须知前附表第35.</w:t>
            </w:r>
            <w:r>
              <w:rPr>
                <w:rFonts w:hint="eastAsia" w:ascii="宋体" w:hAnsi="宋体" w:eastAsia="宋体" w:cs="宋体"/>
                <w:b/>
                <w:kern w:val="0"/>
                <w:sz w:val="24"/>
                <w:highlight w:val="none"/>
              </w:rPr>
              <w:t>3项</w:t>
            </w:r>
            <w:r>
              <w:rPr>
                <w:rFonts w:ascii="宋体" w:hAnsi="宋体" w:eastAsia="宋体" w:cs="宋体"/>
                <w:b/>
                <w:kern w:val="0"/>
                <w:sz w:val="24"/>
                <w:highlight w:val="none"/>
              </w:rPr>
              <w:t>。</w:t>
            </w:r>
          </w:p>
          <w:p w14:paraId="6E827495">
            <w:pPr>
              <w:spacing w:line="360" w:lineRule="auto"/>
              <w:jc w:val="left"/>
              <w:rPr>
                <w:rFonts w:hint="eastAsia" w:ascii="宋体" w:hAnsi="宋体" w:eastAsia="宋体"/>
                <w:sz w:val="24"/>
                <w:highlight w:val="none"/>
                <w:lang w:val="en-US" w:eastAsia="zh-CN"/>
              </w:rPr>
            </w:pPr>
            <w:r>
              <w:rPr>
                <w:rFonts w:hint="default" w:ascii="宋体" w:hAnsi="宋体" w:eastAsia="宋体" w:cs="宋体"/>
                <w:b/>
                <w:kern w:val="0"/>
                <w:sz w:val="24"/>
                <w:highlight w:val="none"/>
                <w:lang w:val="en-US" w:eastAsia="zh-CN"/>
              </w:rPr>
              <w:t>3、</w:t>
            </w:r>
            <w:r>
              <w:rPr>
                <w:rFonts w:hint="eastAsia" w:ascii="宋体" w:hAnsi="宋体" w:eastAsia="宋体" w:cs="宋体"/>
                <w:b/>
                <w:kern w:val="0"/>
                <w:sz w:val="24"/>
                <w:szCs w:val="20"/>
                <w:highlight w:val="none"/>
                <w:lang w:val="en-US" w:eastAsia="zh-CN"/>
              </w:rPr>
              <w:t>相关业绩需提供合同复印件或影印件，如合同中无法体现项目负责人姓名的，需另附业主证明材料。</w:t>
            </w:r>
          </w:p>
        </w:tc>
        <w:tc>
          <w:tcPr>
            <w:tcW w:w="897" w:type="dxa"/>
            <w:tcBorders>
              <w:top w:val="single" w:color="auto" w:sz="4" w:space="0"/>
              <w:left w:val="single" w:color="auto" w:sz="4" w:space="0"/>
              <w:bottom w:val="single" w:color="auto" w:sz="4" w:space="0"/>
              <w:right w:val="single" w:color="auto" w:sz="4" w:space="0"/>
            </w:tcBorders>
            <w:noWrap w:val="0"/>
            <w:vAlign w:val="center"/>
          </w:tcPr>
          <w:p w14:paraId="0BDFCDC5">
            <w:pPr>
              <w:spacing w:line="360" w:lineRule="auto"/>
              <w:jc w:val="center"/>
              <w:rPr>
                <w:rFonts w:ascii="宋体" w:hAnsi="宋体" w:eastAsia="宋体"/>
                <w:b/>
                <w:bCs/>
                <w:sz w:val="24"/>
                <w:highlight w:val="none"/>
              </w:rPr>
            </w:pPr>
            <w:r>
              <w:rPr>
                <w:rFonts w:hint="eastAsia" w:ascii="宋体" w:hAnsi="宋体" w:eastAsia="宋体"/>
                <w:b/>
                <w:bCs/>
                <w:sz w:val="24"/>
                <w:highlight w:val="none"/>
              </w:rPr>
              <w:t>0-</w:t>
            </w:r>
            <w:r>
              <w:rPr>
                <w:rFonts w:hint="eastAsia" w:ascii="宋体" w:hAnsi="宋体" w:eastAsia="宋体"/>
                <w:b/>
                <w:bCs/>
                <w:sz w:val="24"/>
                <w:highlight w:val="none"/>
                <w:lang w:val="en-US" w:eastAsia="zh-CN"/>
              </w:rPr>
              <w:t>15</w:t>
            </w:r>
            <w:r>
              <w:rPr>
                <w:rFonts w:hint="eastAsia" w:ascii="宋体" w:hAnsi="宋体" w:eastAsia="宋体"/>
                <w:b/>
                <w:bCs/>
                <w:sz w:val="24"/>
                <w:highlight w:val="none"/>
              </w:rPr>
              <w:t>分</w:t>
            </w:r>
          </w:p>
        </w:tc>
      </w:tr>
      <w:tr w14:paraId="29302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9" w:type="dxa"/>
            <w:vMerge w:val="continue"/>
            <w:tcBorders>
              <w:left w:val="single" w:color="auto" w:sz="4" w:space="0"/>
              <w:right w:val="single" w:color="auto" w:sz="4" w:space="0"/>
            </w:tcBorders>
            <w:noWrap w:val="0"/>
            <w:vAlign w:val="center"/>
          </w:tcPr>
          <w:p w14:paraId="1EDF1F71">
            <w:pPr>
              <w:spacing w:line="360" w:lineRule="auto"/>
              <w:ind w:firstLine="435"/>
              <w:jc w:val="center"/>
              <w:rPr>
                <w:rFonts w:ascii="宋体" w:hAnsi="宋体" w:eastAsia="宋体"/>
                <w:b/>
                <w:bCs/>
                <w:sz w:val="24"/>
                <w:highlight w:val="none"/>
              </w:rPr>
            </w:pPr>
          </w:p>
        </w:tc>
        <w:tc>
          <w:tcPr>
            <w:tcW w:w="1191" w:type="dxa"/>
            <w:tcBorders>
              <w:top w:val="single" w:color="auto" w:sz="4" w:space="0"/>
              <w:left w:val="single" w:color="auto" w:sz="4" w:space="0"/>
              <w:bottom w:val="single" w:color="auto" w:sz="4" w:space="0"/>
              <w:right w:val="single" w:color="auto" w:sz="4" w:space="0"/>
            </w:tcBorders>
            <w:noWrap w:val="0"/>
            <w:vAlign w:val="center"/>
          </w:tcPr>
          <w:p w14:paraId="2D1FE08E">
            <w:pPr>
              <w:spacing w:line="360" w:lineRule="auto"/>
              <w:jc w:val="center"/>
              <w:rPr>
                <w:rFonts w:ascii="宋体" w:hAnsi="宋体" w:eastAsia="宋体"/>
                <w:sz w:val="24"/>
                <w:highlight w:val="none"/>
              </w:rPr>
            </w:pPr>
            <w:r>
              <w:rPr>
                <w:rFonts w:hint="eastAsia" w:ascii="宋体" w:hAnsi="宋体" w:eastAsia="宋体"/>
                <w:b w:val="0"/>
                <w:bCs/>
                <w:sz w:val="24"/>
                <w:highlight w:val="none"/>
              </w:rPr>
              <w:t>人员配备</w:t>
            </w:r>
          </w:p>
        </w:tc>
        <w:tc>
          <w:tcPr>
            <w:tcW w:w="5057" w:type="dxa"/>
            <w:tcBorders>
              <w:top w:val="single" w:color="auto" w:sz="4" w:space="0"/>
              <w:left w:val="single" w:color="auto" w:sz="4" w:space="0"/>
              <w:bottom w:val="single" w:color="auto" w:sz="4" w:space="0"/>
              <w:right w:val="single" w:color="auto" w:sz="4" w:space="0"/>
            </w:tcBorders>
            <w:noWrap w:val="0"/>
            <w:vAlign w:val="center"/>
          </w:tcPr>
          <w:p w14:paraId="2559B14F">
            <w:pPr>
              <w:snapToGrid w:val="0"/>
              <w:spacing w:line="360" w:lineRule="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除项目负责人外，供应商针对本项目成立项目检查小组：</w:t>
            </w:r>
          </w:p>
          <w:p w14:paraId="5712E2B2">
            <w:pPr>
              <w:snapToGrid w:val="0"/>
              <w:spacing w:line="360" w:lineRule="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1、项目检查小组拟配备人数进行评分：</w:t>
            </w:r>
          </w:p>
          <w:p w14:paraId="46AA09B9">
            <w:pPr>
              <w:snapToGrid w:val="0"/>
              <w:spacing w:line="360" w:lineRule="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（1）现场检查人员配备人数R＞6人，得7分；</w:t>
            </w:r>
          </w:p>
          <w:p w14:paraId="5F88C4BB">
            <w:pPr>
              <w:snapToGrid w:val="0"/>
              <w:spacing w:line="360" w:lineRule="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（2）现场检查人员配备人数4人≤R≤6人，得4分；</w:t>
            </w:r>
          </w:p>
          <w:p w14:paraId="0A5CCB1D">
            <w:pPr>
              <w:snapToGrid w:val="0"/>
              <w:spacing w:line="360" w:lineRule="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（3）现场检查人员配备人数1人≤R≤3人得2分；</w:t>
            </w:r>
          </w:p>
          <w:p w14:paraId="03DE79D8">
            <w:pPr>
              <w:snapToGrid w:val="0"/>
              <w:spacing w:line="360" w:lineRule="auto"/>
              <w:rPr>
                <w:rFonts w:ascii="宋体" w:hAnsi="宋体" w:eastAsia="宋体"/>
                <w:kern w:val="0"/>
                <w:sz w:val="24"/>
                <w:szCs w:val="22"/>
                <w:highlight w:val="none"/>
              </w:rPr>
            </w:pPr>
            <w:r>
              <w:rPr>
                <w:rFonts w:hint="eastAsia" w:ascii="宋体" w:hAnsi="宋体" w:eastAsia="宋体"/>
                <w:kern w:val="0"/>
                <w:sz w:val="24"/>
                <w:szCs w:val="22"/>
                <w:highlight w:val="none"/>
              </w:rPr>
              <w:t>2、根据项目检查组人员持有注册执业资格且高级职称数量进行评分：</w:t>
            </w:r>
          </w:p>
          <w:p w14:paraId="36A1F512">
            <w:pPr>
              <w:snapToGrid w:val="0"/>
              <w:spacing w:line="360" w:lineRule="auto"/>
              <w:rPr>
                <w:rFonts w:ascii="宋体" w:hAnsi="宋体" w:eastAsia="宋体"/>
                <w:kern w:val="0"/>
                <w:sz w:val="24"/>
                <w:szCs w:val="22"/>
                <w:highlight w:val="none"/>
              </w:rPr>
            </w:pPr>
            <w:r>
              <w:rPr>
                <w:rFonts w:hint="eastAsia" w:ascii="宋体" w:hAnsi="宋体" w:eastAsia="宋体"/>
                <w:kern w:val="0"/>
                <w:sz w:val="24"/>
                <w:szCs w:val="22"/>
                <w:highlight w:val="none"/>
              </w:rPr>
              <w:t>（1）现场检查人员注册执业资格且高级职称R＞</w:t>
            </w:r>
            <w:r>
              <w:rPr>
                <w:rFonts w:ascii="宋体" w:hAnsi="宋体" w:eastAsia="宋体"/>
                <w:kern w:val="0"/>
                <w:sz w:val="24"/>
                <w:szCs w:val="22"/>
                <w:highlight w:val="none"/>
              </w:rPr>
              <w:t>6</w:t>
            </w:r>
            <w:r>
              <w:rPr>
                <w:rFonts w:hint="eastAsia" w:ascii="宋体" w:hAnsi="宋体" w:eastAsia="宋体"/>
                <w:kern w:val="0"/>
                <w:sz w:val="24"/>
                <w:szCs w:val="22"/>
                <w:highlight w:val="none"/>
              </w:rPr>
              <w:t>人，得</w:t>
            </w:r>
            <w:r>
              <w:rPr>
                <w:rFonts w:ascii="宋体" w:hAnsi="宋体" w:eastAsia="宋体"/>
                <w:kern w:val="0"/>
                <w:sz w:val="24"/>
                <w:szCs w:val="22"/>
                <w:highlight w:val="none"/>
              </w:rPr>
              <w:t>7</w:t>
            </w:r>
            <w:r>
              <w:rPr>
                <w:rFonts w:hint="eastAsia" w:ascii="宋体" w:hAnsi="宋体" w:eastAsia="宋体"/>
                <w:kern w:val="0"/>
                <w:sz w:val="24"/>
                <w:szCs w:val="22"/>
                <w:highlight w:val="none"/>
              </w:rPr>
              <w:t>分；</w:t>
            </w:r>
          </w:p>
          <w:p w14:paraId="60D66450">
            <w:pPr>
              <w:snapToGrid w:val="0"/>
              <w:spacing w:line="360" w:lineRule="auto"/>
              <w:rPr>
                <w:rFonts w:ascii="宋体" w:hAnsi="宋体" w:eastAsia="宋体"/>
                <w:kern w:val="0"/>
                <w:sz w:val="24"/>
                <w:szCs w:val="22"/>
                <w:highlight w:val="none"/>
              </w:rPr>
            </w:pPr>
            <w:r>
              <w:rPr>
                <w:rFonts w:hint="eastAsia" w:ascii="宋体" w:hAnsi="宋体" w:eastAsia="宋体"/>
                <w:kern w:val="0"/>
                <w:sz w:val="24"/>
                <w:szCs w:val="22"/>
                <w:highlight w:val="none"/>
              </w:rPr>
              <w:t>（2）现场检查人员注册执业资格且高级职称</w:t>
            </w:r>
            <w:r>
              <w:rPr>
                <w:rFonts w:ascii="宋体" w:hAnsi="宋体" w:eastAsia="宋体"/>
                <w:kern w:val="0"/>
                <w:sz w:val="24"/>
                <w:szCs w:val="22"/>
                <w:highlight w:val="none"/>
              </w:rPr>
              <w:t>4</w:t>
            </w:r>
            <w:r>
              <w:rPr>
                <w:rFonts w:hint="eastAsia" w:ascii="宋体" w:hAnsi="宋体" w:eastAsia="宋体"/>
                <w:kern w:val="0"/>
                <w:sz w:val="24"/>
                <w:szCs w:val="22"/>
                <w:highlight w:val="none"/>
              </w:rPr>
              <w:t>人≤R≤</w:t>
            </w:r>
            <w:r>
              <w:rPr>
                <w:rFonts w:ascii="宋体" w:hAnsi="宋体" w:eastAsia="宋体"/>
                <w:kern w:val="0"/>
                <w:sz w:val="24"/>
                <w:szCs w:val="22"/>
                <w:highlight w:val="none"/>
              </w:rPr>
              <w:t>6</w:t>
            </w:r>
            <w:r>
              <w:rPr>
                <w:rFonts w:hint="eastAsia" w:ascii="宋体" w:hAnsi="宋体" w:eastAsia="宋体"/>
                <w:kern w:val="0"/>
                <w:sz w:val="24"/>
                <w:szCs w:val="22"/>
                <w:highlight w:val="none"/>
              </w:rPr>
              <w:t>人，得</w:t>
            </w:r>
            <w:r>
              <w:rPr>
                <w:rFonts w:ascii="宋体" w:hAnsi="宋体" w:eastAsia="宋体"/>
                <w:kern w:val="0"/>
                <w:sz w:val="24"/>
                <w:szCs w:val="22"/>
                <w:highlight w:val="none"/>
              </w:rPr>
              <w:t>4</w:t>
            </w:r>
            <w:r>
              <w:rPr>
                <w:rFonts w:hint="eastAsia" w:ascii="宋体" w:hAnsi="宋体" w:eastAsia="宋体"/>
                <w:kern w:val="0"/>
                <w:sz w:val="24"/>
                <w:szCs w:val="22"/>
                <w:highlight w:val="none"/>
              </w:rPr>
              <w:t>分；</w:t>
            </w:r>
          </w:p>
          <w:p w14:paraId="5DD63FDA">
            <w:pPr>
              <w:snapToGrid w:val="0"/>
              <w:spacing w:line="360" w:lineRule="auto"/>
              <w:rPr>
                <w:rFonts w:ascii="宋体" w:hAnsi="宋体" w:eastAsia="宋体"/>
                <w:kern w:val="0"/>
                <w:sz w:val="24"/>
                <w:szCs w:val="22"/>
                <w:highlight w:val="none"/>
              </w:rPr>
            </w:pPr>
            <w:r>
              <w:rPr>
                <w:rFonts w:hint="eastAsia" w:ascii="宋体" w:hAnsi="宋体" w:eastAsia="宋体"/>
                <w:kern w:val="0"/>
                <w:sz w:val="24"/>
                <w:szCs w:val="22"/>
                <w:highlight w:val="none"/>
              </w:rPr>
              <w:t>（3）现场检查人员注册执业资格且高级职称1人≤R</w:t>
            </w:r>
            <w:r>
              <w:rPr>
                <w:rFonts w:hint="eastAsia" w:ascii="宋体" w:hAnsi="宋体" w:eastAsia="宋体" w:cs="宋体"/>
                <w:bCs/>
                <w:kern w:val="2"/>
                <w:sz w:val="24"/>
                <w:szCs w:val="24"/>
                <w:highlight w:val="none"/>
                <w:lang w:val="en-US" w:eastAsia="zh-CN" w:bidi="ar-SA"/>
              </w:rPr>
              <w:t>≤</w:t>
            </w:r>
            <w:r>
              <w:rPr>
                <w:rFonts w:ascii="宋体" w:hAnsi="宋体" w:eastAsia="宋体"/>
                <w:kern w:val="0"/>
                <w:sz w:val="24"/>
                <w:szCs w:val="22"/>
                <w:highlight w:val="none"/>
              </w:rPr>
              <w:t>3</w:t>
            </w:r>
            <w:r>
              <w:rPr>
                <w:rFonts w:hint="eastAsia" w:ascii="宋体" w:hAnsi="宋体" w:eastAsia="宋体"/>
                <w:kern w:val="0"/>
                <w:sz w:val="24"/>
                <w:szCs w:val="22"/>
                <w:highlight w:val="none"/>
              </w:rPr>
              <w:t>人得</w:t>
            </w:r>
            <w:r>
              <w:rPr>
                <w:rFonts w:ascii="宋体" w:hAnsi="宋体" w:eastAsia="宋体"/>
                <w:kern w:val="0"/>
                <w:sz w:val="24"/>
                <w:szCs w:val="22"/>
                <w:highlight w:val="none"/>
              </w:rPr>
              <w:t>2</w:t>
            </w:r>
            <w:r>
              <w:rPr>
                <w:rFonts w:hint="eastAsia" w:ascii="宋体" w:hAnsi="宋体" w:eastAsia="宋体"/>
                <w:kern w:val="0"/>
                <w:sz w:val="24"/>
                <w:szCs w:val="22"/>
                <w:highlight w:val="none"/>
              </w:rPr>
              <w:t>分；</w:t>
            </w:r>
          </w:p>
          <w:p w14:paraId="1D70C8EC">
            <w:pPr>
              <w:snapToGrid w:val="0"/>
              <w:spacing w:line="360" w:lineRule="auto"/>
              <w:rPr>
                <w:rFonts w:ascii="宋体" w:hAnsi="宋体" w:eastAsia="宋体"/>
                <w:b/>
                <w:bCs/>
                <w:kern w:val="0"/>
                <w:sz w:val="24"/>
                <w:szCs w:val="22"/>
                <w:highlight w:val="none"/>
              </w:rPr>
            </w:pPr>
            <w:r>
              <w:rPr>
                <w:rFonts w:hint="eastAsia" w:ascii="宋体" w:hAnsi="宋体" w:eastAsia="宋体"/>
                <w:b/>
                <w:bCs/>
                <w:kern w:val="0"/>
                <w:sz w:val="24"/>
                <w:szCs w:val="22"/>
                <w:highlight w:val="none"/>
              </w:rPr>
              <w:t>注：</w:t>
            </w:r>
            <w:r>
              <w:rPr>
                <w:rFonts w:ascii="宋体" w:hAnsi="宋体" w:eastAsia="宋体"/>
                <w:b/>
                <w:bCs/>
                <w:kern w:val="0"/>
                <w:sz w:val="24"/>
                <w:szCs w:val="22"/>
                <w:highlight w:val="none"/>
              </w:rPr>
              <w:t>1、响应文件中提供人员名单（格式自拟）列明人员姓名、岗位、执业资格或职称等级，并提供相应证书复印件或影印件，未提供的不得分。</w:t>
            </w:r>
          </w:p>
          <w:p w14:paraId="3E1D7A9B">
            <w:pPr>
              <w:snapToGrid w:val="0"/>
              <w:spacing w:line="360" w:lineRule="auto"/>
              <w:rPr>
                <w:rFonts w:hint="default" w:ascii="宋体" w:hAnsi="宋体" w:eastAsia="宋体"/>
                <w:b/>
                <w:bCs/>
                <w:kern w:val="0"/>
                <w:sz w:val="24"/>
                <w:szCs w:val="22"/>
                <w:highlight w:val="none"/>
                <w:lang w:val="en-US" w:eastAsia="zh-CN"/>
              </w:rPr>
            </w:pPr>
            <w:r>
              <w:rPr>
                <w:rFonts w:ascii="宋体" w:hAnsi="宋体" w:eastAsia="宋体"/>
                <w:b/>
                <w:bCs/>
                <w:kern w:val="0"/>
                <w:sz w:val="24"/>
                <w:szCs w:val="22"/>
                <w:highlight w:val="none"/>
              </w:rPr>
              <w:t>2、项目检查组人员注册执业资格满足注册咨询工程师（投资）、一级注册造价师、一级注册结构工程师、一级注册建筑师、注册公用设备工程师（给水排水）</w:t>
            </w:r>
            <w:r>
              <w:rPr>
                <w:rFonts w:hint="eastAsia" w:ascii="宋体" w:hAnsi="宋体" w:eastAsia="宋体"/>
                <w:b/>
                <w:bCs/>
                <w:kern w:val="0"/>
                <w:sz w:val="24"/>
                <w:szCs w:val="22"/>
                <w:highlight w:val="none"/>
                <w:lang w:eastAsia="zh-CN"/>
              </w:rPr>
              <w:t>、</w:t>
            </w:r>
            <w:r>
              <w:rPr>
                <w:rFonts w:ascii="宋体" w:hAnsi="宋体" w:eastAsia="宋体"/>
                <w:b/>
                <w:bCs/>
                <w:kern w:val="0"/>
                <w:sz w:val="24"/>
                <w:szCs w:val="22"/>
                <w:highlight w:val="none"/>
              </w:rPr>
              <w:t>注册会计师</w:t>
            </w:r>
            <w:r>
              <w:rPr>
                <w:rFonts w:hint="eastAsia" w:ascii="宋体" w:hAnsi="宋体" w:eastAsia="宋体"/>
                <w:b/>
                <w:bCs/>
                <w:kern w:val="0"/>
                <w:sz w:val="24"/>
                <w:szCs w:val="22"/>
                <w:highlight w:val="none"/>
                <w:lang w:eastAsia="zh-CN"/>
              </w:rPr>
              <w:t>要求，同一注册证书不重复计分。</w:t>
            </w:r>
            <w:r>
              <w:rPr>
                <w:rFonts w:hint="eastAsia" w:ascii="宋体" w:hAnsi="宋体" w:eastAsia="宋体"/>
                <w:b/>
                <w:bCs/>
                <w:kern w:val="0"/>
                <w:sz w:val="24"/>
                <w:szCs w:val="22"/>
                <w:highlight w:val="none"/>
                <w:lang w:val="en-US" w:eastAsia="zh-CN"/>
              </w:rPr>
              <w:t xml:space="preserve">                                                                                                                                                                                                                                                   </w:t>
            </w:r>
          </w:p>
          <w:p w14:paraId="45D4DBEC">
            <w:pPr>
              <w:snapToGrid w:val="0"/>
              <w:spacing w:line="360" w:lineRule="auto"/>
              <w:rPr>
                <w:rFonts w:ascii="宋体" w:hAnsi="宋体" w:eastAsia="宋体"/>
                <w:b/>
                <w:bCs/>
                <w:kern w:val="0"/>
                <w:sz w:val="24"/>
                <w:szCs w:val="22"/>
                <w:highlight w:val="none"/>
              </w:rPr>
            </w:pPr>
            <w:r>
              <w:rPr>
                <w:rFonts w:ascii="宋体" w:hAnsi="宋体" w:eastAsia="宋体"/>
                <w:b/>
                <w:bCs/>
                <w:kern w:val="0"/>
                <w:sz w:val="24"/>
                <w:szCs w:val="22"/>
                <w:highlight w:val="none"/>
              </w:rPr>
              <w:t>3、供应商为项目检查组人员缴纳的近6个月内（任意连续三个月）的社保证明材料，社保证明材料形式详见供应商须知前附表第35.3项。未提供的该人员对应不得分。</w:t>
            </w:r>
          </w:p>
          <w:p w14:paraId="05B9F055">
            <w:pPr>
              <w:snapToGrid w:val="0"/>
              <w:spacing w:line="360" w:lineRule="auto"/>
              <w:rPr>
                <w:rFonts w:hint="eastAsia" w:ascii="宋体" w:hAnsi="宋体" w:eastAsia="宋体"/>
                <w:bCs/>
                <w:sz w:val="24"/>
                <w:highlight w:val="none"/>
                <w:lang w:eastAsia="zh-CN"/>
              </w:rPr>
            </w:pPr>
            <w:r>
              <w:rPr>
                <w:rFonts w:ascii="宋体" w:hAnsi="宋体" w:eastAsia="宋体"/>
                <w:b/>
                <w:bCs/>
                <w:kern w:val="0"/>
                <w:sz w:val="24"/>
                <w:szCs w:val="22"/>
                <w:highlight w:val="none"/>
              </w:rPr>
              <w:t>4、同一人员若同时具有多个注册执业资格，不重复得分</w:t>
            </w:r>
            <w:r>
              <w:rPr>
                <w:rFonts w:hint="eastAsia" w:ascii="宋体" w:hAnsi="宋体" w:eastAsia="宋体"/>
                <w:b/>
                <w:bCs/>
                <w:kern w:val="0"/>
                <w:sz w:val="24"/>
                <w:szCs w:val="22"/>
                <w:highlight w:val="none"/>
                <w:lang w:eastAsia="zh-CN"/>
              </w:rPr>
              <w:t>。</w:t>
            </w:r>
          </w:p>
        </w:tc>
        <w:tc>
          <w:tcPr>
            <w:tcW w:w="897" w:type="dxa"/>
            <w:tcBorders>
              <w:top w:val="single" w:color="auto" w:sz="4" w:space="0"/>
              <w:left w:val="single" w:color="auto" w:sz="4" w:space="0"/>
              <w:bottom w:val="single" w:color="auto" w:sz="4" w:space="0"/>
              <w:right w:val="single" w:color="auto" w:sz="4" w:space="0"/>
            </w:tcBorders>
            <w:noWrap w:val="0"/>
            <w:vAlign w:val="center"/>
          </w:tcPr>
          <w:p w14:paraId="4A679780">
            <w:pPr>
              <w:spacing w:line="360" w:lineRule="auto"/>
              <w:jc w:val="center"/>
              <w:rPr>
                <w:rFonts w:ascii="宋体" w:hAnsi="宋体" w:eastAsia="宋体"/>
                <w:b/>
                <w:bCs/>
                <w:sz w:val="24"/>
                <w:highlight w:val="none"/>
              </w:rPr>
            </w:pPr>
            <w:r>
              <w:rPr>
                <w:rFonts w:hint="eastAsia" w:ascii="宋体" w:hAnsi="宋体" w:eastAsia="宋体"/>
                <w:b/>
                <w:bCs/>
                <w:sz w:val="24"/>
                <w:highlight w:val="none"/>
              </w:rPr>
              <w:t>0-1</w:t>
            </w:r>
            <w:r>
              <w:rPr>
                <w:rFonts w:hint="eastAsia" w:ascii="宋体" w:hAnsi="宋体" w:eastAsia="宋体"/>
                <w:b/>
                <w:bCs/>
                <w:sz w:val="24"/>
                <w:highlight w:val="none"/>
                <w:lang w:val="en-US" w:eastAsia="zh-CN"/>
              </w:rPr>
              <w:t>4</w:t>
            </w:r>
            <w:r>
              <w:rPr>
                <w:rFonts w:hint="eastAsia" w:ascii="宋体" w:hAnsi="宋体" w:eastAsia="宋体"/>
                <w:b/>
                <w:bCs/>
                <w:sz w:val="24"/>
                <w:highlight w:val="none"/>
              </w:rPr>
              <w:t>分</w:t>
            </w:r>
          </w:p>
        </w:tc>
      </w:tr>
      <w:tr w14:paraId="06B76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9" w:type="dxa"/>
            <w:vMerge w:val="continue"/>
            <w:tcBorders>
              <w:left w:val="single" w:color="auto" w:sz="4" w:space="0"/>
              <w:right w:val="single" w:color="auto" w:sz="4" w:space="0"/>
            </w:tcBorders>
            <w:noWrap w:val="0"/>
            <w:vAlign w:val="center"/>
          </w:tcPr>
          <w:p w14:paraId="0BAABD29">
            <w:pPr>
              <w:spacing w:line="360" w:lineRule="auto"/>
              <w:ind w:firstLine="435"/>
              <w:jc w:val="center"/>
              <w:rPr>
                <w:rFonts w:ascii="宋体" w:hAnsi="宋体" w:eastAsia="宋体"/>
                <w:b/>
                <w:bCs/>
                <w:sz w:val="24"/>
                <w:highlight w:val="none"/>
              </w:rPr>
            </w:pPr>
          </w:p>
        </w:tc>
        <w:tc>
          <w:tcPr>
            <w:tcW w:w="1191" w:type="dxa"/>
            <w:tcBorders>
              <w:top w:val="single" w:color="auto" w:sz="4" w:space="0"/>
              <w:left w:val="single" w:color="auto" w:sz="4" w:space="0"/>
              <w:bottom w:val="single" w:color="auto" w:sz="4" w:space="0"/>
              <w:right w:val="single" w:color="auto" w:sz="4" w:space="0"/>
            </w:tcBorders>
            <w:noWrap w:val="0"/>
            <w:vAlign w:val="center"/>
          </w:tcPr>
          <w:p w14:paraId="54F1BD25">
            <w:pPr>
              <w:snapToGrid w:val="0"/>
              <w:spacing w:line="360" w:lineRule="auto"/>
              <w:jc w:val="center"/>
              <w:rPr>
                <w:rFonts w:hint="eastAsia" w:ascii="宋体" w:hAnsi="宋体" w:eastAsia="宋体"/>
                <w:kern w:val="0"/>
                <w:sz w:val="24"/>
                <w:szCs w:val="22"/>
                <w:highlight w:val="none"/>
                <w:lang w:val="en-US" w:eastAsia="zh-CN"/>
              </w:rPr>
            </w:pPr>
            <w:r>
              <w:rPr>
                <w:rFonts w:hint="eastAsia" w:ascii="宋体" w:hAnsi="宋体" w:eastAsia="宋体"/>
                <w:b w:val="0"/>
                <w:bCs w:val="0"/>
                <w:kern w:val="0"/>
                <w:sz w:val="24"/>
                <w:szCs w:val="22"/>
                <w:highlight w:val="none"/>
                <w:lang w:val="en-US" w:eastAsia="zh-CN"/>
              </w:rPr>
              <w:t>供应商业绩</w:t>
            </w:r>
          </w:p>
        </w:tc>
        <w:tc>
          <w:tcPr>
            <w:tcW w:w="5057" w:type="dxa"/>
            <w:tcBorders>
              <w:top w:val="single" w:color="auto" w:sz="4" w:space="0"/>
              <w:left w:val="single" w:color="auto" w:sz="4" w:space="0"/>
              <w:bottom w:val="single" w:color="auto" w:sz="4" w:space="0"/>
              <w:right w:val="single" w:color="auto" w:sz="4" w:space="0"/>
            </w:tcBorders>
            <w:noWrap w:val="0"/>
            <w:vAlign w:val="center"/>
          </w:tcPr>
          <w:p w14:paraId="4DE1D238">
            <w:pPr>
              <w:snapToGrid w:val="0"/>
              <w:spacing w:line="360" w:lineRule="auto"/>
              <w:rPr>
                <w:rFonts w:ascii="宋体" w:hAnsi="宋体" w:eastAsia="宋体"/>
                <w:kern w:val="0"/>
                <w:sz w:val="24"/>
                <w:szCs w:val="22"/>
                <w:highlight w:val="none"/>
              </w:rPr>
            </w:pPr>
            <w:r>
              <w:rPr>
                <w:rFonts w:hint="eastAsia" w:ascii="宋体" w:hAnsi="宋体" w:eastAsia="宋体"/>
                <w:kern w:val="0"/>
                <w:sz w:val="24"/>
                <w:szCs w:val="22"/>
                <w:highlight w:val="none"/>
              </w:rPr>
              <w:t>自20</w:t>
            </w:r>
            <w:r>
              <w:rPr>
                <w:rFonts w:hint="eastAsia" w:ascii="宋体" w:hAnsi="宋体" w:eastAsia="宋体"/>
                <w:kern w:val="0"/>
                <w:sz w:val="24"/>
                <w:szCs w:val="22"/>
                <w:highlight w:val="none"/>
                <w:lang w:val="en-US" w:eastAsia="zh-CN"/>
              </w:rPr>
              <w:t>20</w:t>
            </w:r>
            <w:r>
              <w:rPr>
                <w:rFonts w:hint="eastAsia" w:ascii="宋体" w:hAnsi="宋体" w:eastAsia="宋体"/>
                <w:kern w:val="0"/>
                <w:sz w:val="24"/>
                <w:szCs w:val="22"/>
                <w:highlight w:val="none"/>
              </w:rPr>
              <w:t>年1月1日以来（以合同签订时间为准），供应商具有：</w:t>
            </w:r>
          </w:p>
          <w:p w14:paraId="1D3E5425">
            <w:pPr>
              <w:snapToGrid w:val="0"/>
              <w:spacing w:line="360" w:lineRule="auto"/>
              <w:rPr>
                <w:rFonts w:ascii="宋体" w:hAnsi="宋体" w:eastAsia="宋体"/>
                <w:kern w:val="0"/>
                <w:sz w:val="24"/>
                <w:szCs w:val="22"/>
                <w:highlight w:val="none"/>
              </w:rPr>
            </w:pPr>
            <w:r>
              <w:rPr>
                <w:rFonts w:hint="eastAsia" w:ascii="宋体" w:hAnsi="宋体" w:eastAsia="宋体"/>
                <w:kern w:val="0"/>
                <w:sz w:val="24"/>
                <w:szCs w:val="22"/>
                <w:highlight w:val="none"/>
              </w:rPr>
              <w:t>（1）</w:t>
            </w:r>
            <w:r>
              <w:rPr>
                <w:rFonts w:hint="eastAsia" w:ascii="宋体" w:hAnsi="宋体" w:eastAsia="宋体"/>
                <w:kern w:val="0"/>
                <w:sz w:val="24"/>
                <w:szCs w:val="22"/>
                <w:highlight w:val="none"/>
                <w:lang w:eastAsia="zh-CN"/>
              </w:rPr>
              <w:t>供应商</w:t>
            </w:r>
            <w:r>
              <w:rPr>
                <w:rFonts w:ascii="宋体" w:hAnsi="宋体" w:eastAsia="宋体"/>
                <w:kern w:val="0"/>
                <w:sz w:val="24"/>
                <w:szCs w:val="22"/>
                <w:highlight w:val="none"/>
              </w:rPr>
              <w:t>具有</w:t>
            </w:r>
            <w:r>
              <w:rPr>
                <w:rFonts w:hint="eastAsia" w:ascii="宋体" w:hAnsi="宋体" w:eastAsia="宋体"/>
                <w:kern w:val="0"/>
                <w:sz w:val="24"/>
                <w:szCs w:val="22"/>
                <w:highlight w:val="none"/>
              </w:rPr>
              <w:t>中期评估</w:t>
            </w:r>
            <w:r>
              <w:rPr>
                <w:rFonts w:hint="eastAsia" w:ascii="宋体" w:hAnsi="宋体" w:eastAsia="宋体"/>
                <w:kern w:val="0"/>
                <w:sz w:val="24"/>
                <w:szCs w:val="22"/>
                <w:highlight w:val="none"/>
                <w:lang w:eastAsia="zh-CN"/>
              </w:rPr>
              <w:t>或</w:t>
            </w:r>
            <w:r>
              <w:rPr>
                <w:rFonts w:ascii="宋体" w:hAnsi="宋体" w:eastAsia="宋体"/>
                <w:kern w:val="0"/>
                <w:sz w:val="24"/>
                <w:szCs w:val="22"/>
                <w:highlight w:val="none"/>
              </w:rPr>
              <w:t>绩效评价</w:t>
            </w:r>
            <w:r>
              <w:rPr>
                <w:rFonts w:hint="eastAsia" w:ascii="宋体" w:hAnsi="宋体" w:eastAsia="宋体"/>
                <w:kern w:val="0"/>
                <w:sz w:val="24"/>
                <w:szCs w:val="22"/>
                <w:highlight w:val="none"/>
                <w:lang w:eastAsia="zh-CN"/>
              </w:rPr>
              <w:t>或</w:t>
            </w:r>
            <w:r>
              <w:rPr>
                <w:rFonts w:hint="eastAsia" w:ascii="宋体" w:hAnsi="宋体" w:eastAsia="宋体"/>
                <w:kern w:val="0"/>
                <w:sz w:val="24"/>
                <w:szCs w:val="22"/>
                <w:highlight w:val="none"/>
                <w:lang w:val="en-US" w:eastAsia="zh-CN"/>
              </w:rPr>
              <w:t>工程第三方评估（巡查）等专业服务业绩</w:t>
            </w:r>
            <w:r>
              <w:rPr>
                <w:rFonts w:hint="eastAsia" w:ascii="宋体" w:hAnsi="宋体" w:eastAsia="宋体"/>
                <w:kern w:val="0"/>
                <w:sz w:val="24"/>
                <w:szCs w:val="22"/>
                <w:highlight w:val="none"/>
              </w:rPr>
              <w:t>的</w:t>
            </w:r>
            <w:r>
              <w:rPr>
                <w:rFonts w:ascii="宋体" w:hAnsi="宋体" w:eastAsia="宋体"/>
                <w:kern w:val="0"/>
                <w:sz w:val="24"/>
                <w:szCs w:val="22"/>
                <w:highlight w:val="none"/>
              </w:rPr>
              <w:t>，每提供一个得</w:t>
            </w:r>
            <w:r>
              <w:rPr>
                <w:rFonts w:hint="eastAsia" w:ascii="宋体" w:hAnsi="宋体" w:eastAsia="宋体"/>
                <w:kern w:val="0"/>
                <w:sz w:val="24"/>
                <w:szCs w:val="22"/>
                <w:highlight w:val="none"/>
                <w:lang w:val="en-US" w:eastAsia="zh-CN"/>
              </w:rPr>
              <w:t>3</w:t>
            </w:r>
            <w:r>
              <w:rPr>
                <w:rFonts w:ascii="宋体" w:hAnsi="宋体" w:eastAsia="宋体"/>
                <w:kern w:val="0"/>
                <w:sz w:val="24"/>
                <w:szCs w:val="22"/>
                <w:highlight w:val="none"/>
              </w:rPr>
              <w:t>分，最</w:t>
            </w:r>
            <w:r>
              <w:rPr>
                <w:rFonts w:hint="eastAsia" w:ascii="宋体" w:hAnsi="宋体" w:eastAsia="宋体"/>
                <w:kern w:val="0"/>
                <w:sz w:val="24"/>
                <w:szCs w:val="22"/>
                <w:highlight w:val="none"/>
              </w:rPr>
              <w:t>高</w:t>
            </w:r>
            <w:r>
              <w:rPr>
                <w:rFonts w:ascii="宋体" w:hAnsi="宋体" w:eastAsia="宋体"/>
                <w:kern w:val="0"/>
                <w:sz w:val="24"/>
                <w:szCs w:val="22"/>
                <w:highlight w:val="none"/>
              </w:rPr>
              <w:t>得</w:t>
            </w:r>
            <w:r>
              <w:rPr>
                <w:rFonts w:hint="eastAsia" w:ascii="宋体" w:hAnsi="宋体" w:eastAsia="宋体"/>
                <w:kern w:val="0"/>
                <w:sz w:val="24"/>
                <w:szCs w:val="22"/>
                <w:highlight w:val="none"/>
                <w:lang w:val="en-US" w:eastAsia="zh-CN"/>
              </w:rPr>
              <w:t>9</w:t>
            </w:r>
            <w:r>
              <w:rPr>
                <w:rFonts w:ascii="宋体" w:hAnsi="宋体" w:eastAsia="宋体"/>
                <w:kern w:val="0"/>
                <w:sz w:val="24"/>
                <w:szCs w:val="22"/>
                <w:highlight w:val="none"/>
              </w:rPr>
              <w:t>分；</w:t>
            </w:r>
          </w:p>
          <w:p w14:paraId="66A15EB7">
            <w:pPr>
              <w:snapToGrid w:val="0"/>
              <w:spacing w:line="360" w:lineRule="auto"/>
              <w:rPr>
                <w:rFonts w:hint="eastAsia" w:ascii="宋体" w:hAnsi="宋体" w:eastAsia="宋体"/>
                <w:kern w:val="0"/>
                <w:sz w:val="24"/>
                <w:szCs w:val="22"/>
                <w:highlight w:val="none"/>
                <w:lang w:val="en-US" w:eastAsia="zh-CN"/>
              </w:rPr>
            </w:pPr>
            <w:r>
              <w:rPr>
                <w:rFonts w:hint="eastAsia" w:ascii="宋体" w:hAnsi="宋体" w:eastAsia="宋体"/>
                <w:b/>
                <w:bCs/>
                <w:kern w:val="0"/>
                <w:sz w:val="24"/>
                <w:szCs w:val="22"/>
                <w:highlight w:val="none"/>
              </w:rPr>
              <w:t>注：响应文件中须提供业绩合同（或协议）复印件或影印件，如无法体现磋商文件要求的内容、签订时间等评审因素，须另附业主证明；</w:t>
            </w:r>
          </w:p>
        </w:tc>
        <w:tc>
          <w:tcPr>
            <w:tcW w:w="897" w:type="dxa"/>
            <w:tcBorders>
              <w:top w:val="single" w:color="auto" w:sz="4" w:space="0"/>
              <w:left w:val="single" w:color="auto" w:sz="4" w:space="0"/>
              <w:bottom w:val="single" w:color="auto" w:sz="4" w:space="0"/>
              <w:right w:val="single" w:color="auto" w:sz="4" w:space="0"/>
            </w:tcBorders>
            <w:noWrap w:val="0"/>
            <w:vAlign w:val="center"/>
          </w:tcPr>
          <w:p w14:paraId="160AB73C">
            <w:pPr>
              <w:spacing w:line="360" w:lineRule="auto"/>
              <w:jc w:val="center"/>
              <w:rPr>
                <w:rFonts w:ascii="宋体" w:hAnsi="宋体" w:eastAsia="宋体"/>
                <w:b/>
                <w:bCs/>
                <w:sz w:val="24"/>
                <w:highlight w:val="none"/>
              </w:rPr>
            </w:pPr>
            <w:r>
              <w:rPr>
                <w:rFonts w:hint="eastAsia" w:ascii="宋体" w:hAnsi="宋体" w:eastAsia="宋体"/>
                <w:b/>
                <w:kern w:val="0"/>
                <w:sz w:val="24"/>
                <w:highlight w:val="none"/>
              </w:rPr>
              <w:t>0-</w:t>
            </w:r>
            <w:r>
              <w:rPr>
                <w:rFonts w:hint="eastAsia" w:ascii="宋体" w:hAnsi="宋体" w:eastAsia="宋体"/>
                <w:b/>
                <w:kern w:val="0"/>
                <w:sz w:val="24"/>
                <w:highlight w:val="none"/>
                <w:lang w:val="en-US" w:eastAsia="zh-CN"/>
              </w:rPr>
              <w:t>9</w:t>
            </w:r>
            <w:r>
              <w:rPr>
                <w:rFonts w:hint="eastAsia" w:ascii="宋体" w:hAnsi="宋体" w:eastAsia="宋体"/>
                <w:b/>
                <w:kern w:val="0"/>
                <w:sz w:val="24"/>
                <w:highlight w:val="none"/>
              </w:rPr>
              <w:t>分</w:t>
            </w:r>
          </w:p>
        </w:tc>
      </w:tr>
      <w:tr w14:paraId="5A38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9" w:type="dxa"/>
            <w:vMerge w:val="continue"/>
            <w:tcBorders>
              <w:left w:val="single" w:color="auto" w:sz="4" w:space="0"/>
              <w:right w:val="single" w:color="auto" w:sz="4" w:space="0"/>
            </w:tcBorders>
            <w:noWrap w:val="0"/>
            <w:vAlign w:val="center"/>
          </w:tcPr>
          <w:p w14:paraId="513C492B">
            <w:pPr>
              <w:spacing w:line="360" w:lineRule="auto"/>
              <w:ind w:firstLine="435"/>
              <w:jc w:val="center"/>
              <w:rPr>
                <w:rFonts w:ascii="宋体" w:hAnsi="宋体" w:eastAsia="宋体"/>
                <w:b/>
                <w:bCs/>
                <w:sz w:val="24"/>
                <w:highlight w:val="none"/>
              </w:rPr>
            </w:pPr>
          </w:p>
        </w:tc>
        <w:tc>
          <w:tcPr>
            <w:tcW w:w="1191" w:type="dxa"/>
            <w:tcBorders>
              <w:top w:val="single" w:color="auto" w:sz="4" w:space="0"/>
              <w:left w:val="single" w:color="auto" w:sz="4" w:space="0"/>
              <w:bottom w:val="single" w:color="auto" w:sz="4" w:space="0"/>
              <w:right w:val="single" w:color="auto" w:sz="4" w:space="0"/>
            </w:tcBorders>
            <w:noWrap w:val="0"/>
            <w:vAlign w:val="center"/>
          </w:tcPr>
          <w:p w14:paraId="2BA21C61">
            <w:pPr>
              <w:spacing w:line="360" w:lineRule="auto"/>
              <w:jc w:val="center"/>
              <w:rPr>
                <w:rFonts w:ascii="宋体" w:hAnsi="宋体" w:eastAsia="宋体"/>
                <w:sz w:val="24"/>
                <w:highlight w:val="none"/>
              </w:rPr>
            </w:pPr>
            <w:r>
              <w:rPr>
                <w:rFonts w:hint="eastAsia" w:ascii="宋体" w:hAnsi="宋体" w:eastAsia="宋体"/>
                <w:b w:val="0"/>
                <w:bCs/>
                <w:kern w:val="0"/>
                <w:sz w:val="24"/>
                <w:highlight w:val="none"/>
              </w:rPr>
              <w:t>供应商</w:t>
            </w:r>
            <w:r>
              <w:rPr>
                <w:rFonts w:hint="eastAsia" w:ascii="宋体" w:hAnsi="宋体" w:eastAsia="宋体"/>
                <w:b w:val="0"/>
                <w:bCs/>
                <w:kern w:val="0"/>
                <w:sz w:val="24"/>
                <w:highlight w:val="none"/>
                <w:lang w:val="en-US" w:eastAsia="zh-CN"/>
              </w:rPr>
              <w:t>资信及</w:t>
            </w:r>
            <w:r>
              <w:rPr>
                <w:rFonts w:hint="eastAsia" w:ascii="宋体" w:hAnsi="宋体" w:eastAsia="宋体"/>
                <w:b w:val="0"/>
                <w:bCs/>
                <w:kern w:val="0"/>
                <w:sz w:val="24"/>
                <w:highlight w:val="none"/>
              </w:rPr>
              <w:t>荣誉</w:t>
            </w:r>
          </w:p>
        </w:tc>
        <w:tc>
          <w:tcPr>
            <w:tcW w:w="5057" w:type="dxa"/>
            <w:tcBorders>
              <w:top w:val="single" w:color="auto" w:sz="4" w:space="0"/>
              <w:left w:val="single" w:color="auto" w:sz="4" w:space="0"/>
              <w:bottom w:val="single" w:color="auto" w:sz="4" w:space="0"/>
              <w:right w:val="single" w:color="auto" w:sz="4" w:space="0"/>
            </w:tcBorders>
            <w:noWrap w:val="0"/>
            <w:vAlign w:val="center"/>
          </w:tcPr>
          <w:p w14:paraId="199236C9">
            <w:pPr>
              <w:snapToGrid w:val="0"/>
              <w:spacing w:line="360" w:lineRule="auto"/>
              <w:rPr>
                <w:rFonts w:ascii="宋体" w:hAnsi="宋体" w:eastAsia="宋体"/>
                <w:kern w:val="0"/>
                <w:sz w:val="24"/>
                <w:highlight w:val="none"/>
              </w:rPr>
            </w:pPr>
            <w:r>
              <w:rPr>
                <w:rFonts w:hint="eastAsia" w:ascii="宋体" w:hAnsi="宋体" w:eastAsia="宋体"/>
                <w:kern w:val="0"/>
                <w:sz w:val="24"/>
                <w:highlight w:val="none"/>
              </w:rPr>
              <w:t>1、供应商同时具有有效的质量管理体系认证、环境管理体系认证和职业健康安全管理体系认证的得</w:t>
            </w:r>
            <w:r>
              <w:rPr>
                <w:rFonts w:hint="eastAsia" w:ascii="宋体" w:hAnsi="宋体" w:eastAsia="宋体"/>
                <w:kern w:val="0"/>
                <w:sz w:val="24"/>
                <w:highlight w:val="none"/>
                <w:lang w:val="en-US" w:eastAsia="zh-CN"/>
              </w:rPr>
              <w:t>4</w:t>
            </w:r>
            <w:r>
              <w:rPr>
                <w:rFonts w:ascii="宋体" w:hAnsi="宋体" w:eastAsia="宋体"/>
                <w:kern w:val="0"/>
                <w:sz w:val="24"/>
                <w:highlight w:val="none"/>
              </w:rPr>
              <w:t>分（提供证书复印件并加盖公章）。</w:t>
            </w:r>
          </w:p>
          <w:p w14:paraId="17FE98C5">
            <w:pPr>
              <w:snapToGrid w:val="0"/>
              <w:spacing w:line="360" w:lineRule="auto"/>
              <w:rPr>
                <w:rFonts w:ascii="宋体" w:hAnsi="宋体" w:eastAsia="宋体"/>
                <w:kern w:val="0"/>
                <w:sz w:val="24"/>
                <w:highlight w:val="none"/>
              </w:rPr>
            </w:pPr>
            <w:r>
              <w:rPr>
                <w:rFonts w:hint="eastAsia" w:ascii="宋体" w:hAnsi="宋体" w:eastAsia="宋体"/>
                <w:kern w:val="0"/>
                <w:sz w:val="24"/>
                <w:highlight w:val="none"/>
                <w:lang w:val="en-US" w:eastAsia="zh-CN"/>
              </w:rPr>
              <w:t>2</w:t>
            </w:r>
            <w:r>
              <w:rPr>
                <w:rFonts w:hint="eastAsia" w:ascii="宋体" w:hAnsi="宋体" w:eastAsia="宋体"/>
                <w:kern w:val="0"/>
                <w:sz w:val="24"/>
                <w:highlight w:val="none"/>
              </w:rPr>
              <w:t>、自20</w:t>
            </w:r>
            <w:r>
              <w:rPr>
                <w:rFonts w:hint="eastAsia" w:ascii="宋体" w:hAnsi="宋体" w:eastAsia="宋体"/>
                <w:kern w:val="0"/>
                <w:sz w:val="24"/>
                <w:highlight w:val="none"/>
                <w:lang w:val="en-US" w:eastAsia="zh-CN"/>
              </w:rPr>
              <w:t>20</w:t>
            </w:r>
            <w:r>
              <w:rPr>
                <w:rFonts w:hint="eastAsia" w:ascii="宋体" w:hAnsi="宋体" w:eastAsia="宋体"/>
                <w:kern w:val="0"/>
                <w:sz w:val="24"/>
                <w:highlight w:val="none"/>
              </w:rPr>
              <w:t>年1月1日以来，供应商</w:t>
            </w:r>
            <w:r>
              <w:rPr>
                <w:rFonts w:hint="eastAsia" w:ascii="宋体" w:hAnsi="宋体" w:eastAsia="宋体"/>
                <w:b w:val="0"/>
                <w:bCs w:val="0"/>
                <w:kern w:val="0"/>
                <w:sz w:val="24"/>
                <w:highlight w:val="none"/>
              </w:rPr>
              <w:t>所</w:t>
            </w:r>
            <w:r>
              <w:rPr>
                <w:rFonts w:hint="eastAsia" w:ascii="宋体" w:hAnsi="宋体" w:eastAsia="宋体"/>
                <w:b w:val="0"/>
                <w:bCs w:val="0"/>
                <w:kern w:val="0"/>
                <w:sz w:val="24"/>
                <w:highlight w:val="none"/>
                <w:lang w:val="en-US" w:eastAsia="zh-CN"/>
              </w:rPr>
              <w:t>服务</w:t>
            </w:r>
            <w:r>
              <w:rPr>
                <w:rFonts w:hint="eastAsia" w:ascii="宋体" w:hAnsi="宋体" w:eastAsia="宋体"/>
                <w:b w:val="0"/>
                <w:bCs w:val="0"/>
                <w:kern w:val="0"/>
                <w:sz w:val="24"/>
                <w:highlight w:val="none"/>
              </w:rPr>
              <w:t>的工程项目获得</w:t>
            </w:r>
            <w:r>
              <w:rPr>
                <w:rFonts w:hint="eastAsia" w:ascii="宋体" w:hAnsi="宋体" w:eastAsia="宋体"/>
                <w:kern w:val="0"/>
                <w:sz w:val="24"/>
                <w:highlight w:val="none"/>
              </w:rPr>
              <w:t>行政主管部门或国内依法登记注册的协会（学会）</w:t>
            </w:r>
            <w:r>
              <w:rPr>
                <w:rFonts w:hint="eastAsia" w:ascii="宋体" w:hAnsi="宋体" w:eastAsia="宋体"/>
                <w:kern w:val="0"/>
                <w:sz w:val="24"/>
                <w:highlight w:val="none"/>
                <w:lang w:eastAsia="zh-CN"/>
              </w:rPr>
              <w:t>颁发的优秀工程咨询成果奖的，一等奖每个得</w:t>
            </w:r>
            <w:r>
              <w:rPr>
                <w:rFonts w:hint="eastAsia" w:ascii="宋体" w:hAnsi="宋体" w:eastAsia="宋体"/>
                <w:kern w:val="0"/>
                <w:sz w:val="24"/>
                <w:highlight w:val="none"/>
                <w:lang w:val="en-US" w:eastAsia="zh-CN"/>
              </w:rPr>
              <w:t>4分，二等奖每个得3分，三等奖每个得2分，满分8</w:t>
            </w:r>
            <w:r>
              <w:rPr>
                <w:rFonts w:hint="eastAsia" w:ascii="宋体" w:hAnsi="宋体" w:eastAsia="宋体"/>
                <w:kern w:val="0"/>
                <w:sz w:val="24"/>
                <w:highlight w:val="none"/>
              </w:rPr>
              <w:t>分；</w:t>
            </w:r>
          </w:p>
          <w:p w14:paraId="542B9801">
            <w:pPr>
              <w:widowControl/>
              <w:snapToGrid w:val="0"/>
              <w:spacing w:line="360" w:lineRule="auto"/>
              <w:rPr>
                <w:rFonts w:hint="eastAsia" w:ascii="宋体" w:hAnsi="宋体" w:eastAsia="宋体" w:cs="宋体"/>
                <w:b/>
                <w:kern w:val="0"/>
                <w:sz w:val="24"/>
                <w:highlight w:val="none"/>
              </w:rPr>
            </w:pPr>
            <w:r>
              <w:rPr>
                <w:rFonts w:hint="eastAsia" w:ascii="宋体" w:hAnsi="宋体" w:eastAsia="宋体" w:cs="宋体"/>
                <w:b/>
                <w:kern w:val="0"/>
                <w:sz w:val="24"/>
                <w:highlight w:val="none"/>
              </w:rPr>
              <w:t>注：</w:t>
            </w:r>
          </w:p>
          <w:p w14:paraId="15E93B2A">
            <w:pPr>
              <w:widowControl/>
              <w:snapToGrid w:val="0"/>
              <w:spacing w:line="360" w:lineRule="auto"/>
              <w:rPr>
                <w:rFonts w:ascii="宋体" w:hAnsi="宋体" w:eastAsia="宋体" w:cs="宋体"/>
                <w:b/>
                <w:kern w:val="0"/>
                <w:sz w:val="24"/>
                <w:highlight w:val="none"/>
              </w:rPr>
            </w:pPr>
            <w:r>
              <w:rPr>
                <w:rFonts w:hint="eastAsia" w:ascii="宋体" w:hAnsi="宋体" w:eastAsia="宋体" w:cs="宋体"/>
                <w:b/>
                <w:kern w:val="0"/>
                <w:sz w:val="24"/>
                <w:highlight w:val="none"/>
                <w:lang w:val="en-US" w:eastAsia="zh-CN"/>
              </w:rPr>
              <w:t>1、</w:t>
            </w:r>
            <w:r>
              <w:rPr>
                <w:rFonts w:ascii="宋体" w:hAnsi="宋体" w:eastAsia="宋体" w:cs="宋体"/>
                <w:b/>
                <w:kern w:val="0"/>
                <w:sz w:val="24"/>
                <w:highlight w:val="none"/>
              </w:rPr>
              <w:t>时间以获奖时间为准</w:t>
            </w:r>
            <w:r>
              <w:rPr>
                <w:rFonts w:hint="eastAsia" w:ascii="宋体" w:hAnsi="宋体" w:eastAsia="宋体" w:cs="宋体"/>
                <w:b/>
                <w:kern w:val="0"/>
                <w:sz w:val="24"/>
                <w:highlight w:val="none"/>
              </w:rPr>
              <w:t>；</w:t>
            </w:r>
          </w:p>
          <w:p w14:paraId="6D74DA9B">
            <w:pPr>
              <w:spacing w:line="360" w:lineRule="auto"/>
              <w:rPr>
                <w:rFonts w:ascii="宋体" w:hAnsi="宋体" w:eastAsia="宋体"/>
                <w:sz w:val="24"/>
                <w:highlight w:val="none"/>
              </w:rPr>
            </w:pPr>
            <w:r>
              <w:rPr>
                <w:rFonts w:hint="eastAsia" w:ascii="宋体" w:hAnsi="宋体" w:eastAsia="宋体" w:cs="宋体"/>
                <w:b/>
                <w:kern w:val="0"/>
                <w:sz w:val="24"/>
                <w:highlight w:val="none"/>
                <w:lang w:val="en-US" w:eastAsia="zh-CN"/>
              </w:rPr>
              <w:t>2、</w:t>
            </w:r>
            <w:r>
              <w:rPr>
                <w:rFonts w:ascii="宋体" w:hAnsi="宋体" w:eastAsia="宋体" w:cs="宋体"/>
                <w:b/>
                <w:kern w:val="0"/>
                <w:sz w:val="24"/>
                <w:highlight w:val="none"/>
              </w:rPr>
              <w:t>响应文件中须提供获奖证书、批复、颁奖单位颁奖文件、网上公示截图（具有其中之一即可）等证明材料。以上材料提供</w:t>
            </w:r>
            <w:r>
              <w:rPr>
                <w:rFonts w:hint="eastAsia" w:ascii="宋体" w:hAnsi="宋体" w:eastAsia="宋体" w:cs="宋体"/>
                <w:b/>
                <w:kern w:val="0"/>
                <w:sz w:val="24"/>
                <w:highlight w:val="none"/>
                <w:lang w:eastAsia="zh-CN"/>
              </w:rPr>
              <w:t>复印件或影印件</w:t>
            </w:r>
            <w:r>
              <w:rPr>
                <w:rFonts w:hint="eastAsia" w:ascii="宋体" w:hAnsi="宋体" w:eastAsia="宋体" w:cs="宋体"/>
                <w:b/>
                <w:kern w:val="0"/>
                <w:sz w:val="24"/>
                <w:highlight w:val="none"/>
              </w:rPr>
              <w:t>,第</w:t>
            </w:r>
            <w:r>
              <w:rPr>
                <w:rFonts w:hint="eastAsia" w:ascii="宋体" w:hAnsi="宋体" w:eastAsia="宋体" w:cs="宋体"/>
                <w:b/>
                <w:kern w:val="0"/>
                <w:sz w:val="24"/>
                <w:highlight w:val="none"/>
                <w:lang w:val="en-US" w:eastAsia="zh-CN"/>
              </w:rPr>
              <w:t>2</w:t>
            </w:r>
            <w:r>
              <w:rPr>
                <w:rFonts w:hint="eastAsia" w:ascii="宋体" w:hAnsi="宋体" w:eastAsia="宋体" w:cs="宋体"/>
                <w:b/>
                <w:kern w:val="0"/>
                <w:sz w:val="24"/>
                <w:highlight w:val="none"/>
              </w:rPr>
              <w:t>项</w:t>
            </w:r>
            <w:r>
              <w:rPr>
                <w:rFonts w:ascii="宋体" w:hAnsi="宋体" w:eastAsia="宋体" w:cs="宋体"/>
                <w:b/>
                <w:kern w:val="0"/>
                <w:sz w:val="24"/>
                <w:highlight w:val="none"/>
              </w:rPr>
              <w:t>须能体现供应商名称，如无法体现，须另附颁奖单位的相关证明材料</w:t>
            </w:r>
            <w:r>
              <w:rPr>
                <w:rFonts w:hint="eastAsia" w:ascii="宋体" w:hAnsi="宋体" w:eastAsia="宋体" w:cs="宋体"/>
                <w:b/>
                <w:kern w:val="0"/>
                <w:sz w:val="24"/>
                <w:highlight w:val="none"/>
              </w:rPr>
              <w:t>；如无法体现供应商</w:t>
            </w:r>
            <w:r>
              <w:rPr>
                <w:rFonts w:ascii="宋体" w:hAnsi="宋体" w:eastAsia="宋体" w:cs="宋体"/>
                <w:b/>
                <w:kern w:val="0"/>
                <w:sz w:val="24"/>
                <w:highlight w:val="none"/>
              </w:rPr>
              <w:t>名称须</w:t>
            </w:r>
            <w:r>
              <w:rPr>
                <w:rFonts w:hint="eastAsia" w:ascii="宋体" w:hAnsi="宋体" w:eastAsia="宋体" w:cs="宋体"/>
                <w:b/>
                <w:kern w:val="0"/>
                <w:sz w:val="24"/>
                <w:highlight w:val="none"/>
              </w:rPr>
              <w:t>同时提供供应商与业主单位签订的合同</w:t>
            </w:r>
            <w:r>
              <w:rPr>
                <w:rFonts w:hint="eastAsia" w:ascii="宋体" w:hAnsi="宋体" w:eastAsia="宋体" w:cs="宋体"/>
                <w:b/>
                <w:kern w:val="0"/>
                <w:sz w:val="24"/>
                <w:highlight w:val="none"/>
                <w:lang w:eastAsia="zh-CN"/>
              </w:rPr>
              <w:t>复印件或影印件</w:t>
            </w:r>
            <w:r>
              <w:rPr>
                <w:rFonts w:hint="eastAsia" w:ascii="宋体" w:hAnsi="宋体" w:eastAsia="宋体" w:cs="宋体"/>
                <w:b/>
                <w:kern w:val="0"/>
                <w:sz w:val="24"/>
                <w:highlight w:val="none"/>
              </w:rPr>
              <w:t>。“国内依法登记注册”以中国社会组织网查询结果为准，响应文件中提供中国社会组织网查询截图，协会（学会）级别以其登记注册的民政部门级别为准。民政部公布的“离岸社团”、“山寨社团”颁发的荣誉、奖励均无效。</w:t>
            </w:r>
          </w:p>
        </w:tc>
        <w:tc>
          <w:tcPr>
            <w:tcW w:w="897" w:type="dxa"/>
            <w:tcBorders>
              <w:top w:val="single" w:color="auto" w:sz="4" w:space="0"/>
              <w:left w:val="single" w:color="auto" w:sz="4" w:space="0"/>
              <w:bottom w:val="single" w:color="auto" w:sz="4" w:space="0"/>
              <w:right w:val="single" w:color="auto" w:sz="4" w:space="0"/>
            </w:tcBorders>
            <w:noWrap w:val="0"/>
            <w:vAlign w:val="center"/>
          </w:tcPr>
          <w:p w14:paraId="7488F081">
            <w:pPr>
              <w:spacing w:line="360" w:lineRule="auto"/>
              <w:jc w:val="center"/>
              <w:rPr>
                <w:rFonts w:ascii="宋体" w:hAnsi="宋体" w:eastAsia="宋体"/>
                <w:b/>
                <w:bCs/>
                <w:sz w:val="24"/>
                <w:highlight w:val="none"/>
              </w:rPr>
            </w:pPr>
            <w:r>
              <w:rPr>
                <w:rFonts w:hint="eastAsia" w:ascii="宋体" w:hAnsi="宋体" w:eastAsia="宋体"/>
                <w:b/>
                <w:kern w:val="0"/>
                <w:sz w:val="24"/>
                <w:highlight w:val="none"/>
              </w:rPr>
              <w:t>0-1</w:t>
            </w:r>
            <w:r>
              <w:rPr>
                <w:rFonts w:hint="eastAsia" w:ascii="宋体" w:hAnsi="宋体" w:eastAsia="宋体"/>
                <w:b/>
                <w:kern w:val="0"/>
                <w:sz w:val="24"/>
                <w:highlight w:val="none"/>
                <w:lang w:val="en-US" w:eastAsia="zh-CN"/>
              </w:rPr>
              <w:t>2</w:t>
            </w:r>
            <w:r>
              <w:rPr>
                <w:rFonts w:hint="eastAsia" w:ascii="宋体" w:hAnsi="宋体" w:eastAsia="宋体"/>
                <w:b/>
                <w:kern w:val="0"/>
                <w:sz w:val="24"/>
                <w:highlight w:val="none"/>
              </w:rPr>
              <w:t>分</w:t>
            </w:r>
          </w:p>
        </w:tc>
      </w:tr>
      <w:tr w14:paraId="0CFCA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9" w:type="dxa"/>
            <w:tcBorders>
              <w:left w:val="single" w:color="auto" w:sz="4" w:space="0"/>
              <w:right w:val="single" w:color="auto" w:sz="4" w:space="0"/>
            </w:tcBorders>
            <w:noWrap w:val="0"/>
            <w:vAlign w:val="center"/>
          </w:tcPr>
          <w:p w14:paraId="56CA2023">
            <w:pPr>
              <w:spacing w:line="360" w:lineRule="auto"/>
              <w:jc w:val="center"/>
              <w:rPr>
                <w:rFonts w:ascii="宋体" w:hAnsi="宋体" w:eastAsia="宋体"/>
                <w:sz w:val="24"/>
                <w:highlight w:val="none"/>
              </w:rPr>
            </w:pPr>
            <w:r>
              <w:rPr>
                <w:rFonts w:hint="eastAsia" w:ascii="宋体" w:hAnsi="宋体" w:eastAsia="宋体"/>
                <w:sz w:val="24"/>
                <w:highlight w:val="none"/>
              </w:rPr>
              <w:t>价格分</w:t>
            </w:r>
          </w:p>
          <w:p w14:paraId="4A6B0415">
            <w:pPr>
              <w:spacing w:line="360" w:lineRule="auto"/>
              <w:jc w:val="center"/>
              <w:rPr>
                <w:rFonts w:ascii="宋体" w:hAnsi="宋体" w:eastAsia="宋体"/>
                <w:b/>
                <w:bCs/>
                <w:sz w:val="24"/>
                <w:highlight w:val="none"/>
              </w:rPr>
            </w:pPr>
            <w:r>
              <w:rPr>
                <w:rFonts w:hint="eastAsia" w:ascii="宋体" w:hAnsi="宋体" w:eastAsia="宋体"/>
                <w:sz w:val="24"/>
                <w:highlight w:val="none"/>
              </w:rPr>
              <w:t>（</w:t>
            </w:r>
            <w:r>
              <w:rPr>
                <w:rFonts w:ascii="宋体" w:hAnsi="宋体" w:eastAsia="宋体"/>
                <w:sz w:val="24"/>
                <w:highlight w:val="none"/>
                <w:u w:val="single"/>
              </w:rPr>
              <w:t>10</w:t>
            </w:r>
            <w:r>
              <w:rPr>
                <w:rFonts w:hint="eastAsia" w:ascii="宋体" w:hAnsi="宋体" w:eastAsia="宋体"/>
                <w:sz w:val="24"/>
                <w:highlight w:val="none"/>
              </w:rPr>
              <w:t>分）</w:t>
            </w:r>
          </w:p>
        </w:tc>
        <w:tc>
          <w:tcPr>
            <w:tcW w:w="7145" w:type="dxa"/>
            <w:gridSpan w:val="3"/>
            <w:tcBorders>
              <w:top w:val="single" w:color="auto" w:sz="4" w:space="0"/>
              <w:left w:val="single" w:color="auto" w:sz="4" w:space="0"/>
              <w:bottom w:val="single" w:color="auto" w:sz="4" w:space="0"/>
              <w:right w:val="single" w:color="auto" w:sz="4" w:space="0"/>
            </w:tcBorders>
            <w:noWrap w:val="0"/>
            <w:vAlign w:val="center"/>
          </w:tcPr>
          <w:p w14:paraId="26EB6804">
            <w:pPr>
              <w:spacing w:line="360" w:lineRule="auto"/>
              <w:rPr>
                <w:rFonts w:ascii="宋体" w:hAnsi="宋体" w:eastAsia="宋体"/>
                <w:sz w:val="24"/>
                <w:highlight w:val="none"/>
              </w:rPr>
            </w:pPr>
            <w:r>
              <w:rPr>
                <w:rFonts w:hint="eastAsia" w:ascii="宋体" w:hAnsi="宋体" w:eastAsia="宋体"/>
                <w:sz w:val="24"/>
                <w:highlight w:val="none"/>
              </w:rPr>
              <w:t>价格分统一采用低价优先法，即满足磋商文件要求且价格最低的最后报价为评标基准价，其价格分为满分</w:t>
            </w:r>
            <w:r>
              <w:rPr>
                <w:rFonts w:hint="eastAsia" w:ascii="宋体" w:hAnsi="宋体" w:eastAsia="宋体"/>
                <w:sz w:val="24"/>
                <w:highlight w:val="none"/>
                <w:u w:val="none"/>
              </w:rPr>
              <w:t>10</w:t>
            </w:r>
            <w:r>
              <w:rPr>
                <w:rFonts w:hint="eastAsia" w:ascii="宋体" w:hAnsi="宋体" w:eastAsia="宋体"/>
                <w:sz w:val="24"/>
                <w:highlight w:val="none"/>
              </w:rPr>
              <w:t>分。其他供应商的价格分统一按照下列公式计算：</w:t>
            </w:r>
          </w:p>
          <w:p w14:paraId="45C1BB17">
            <w:pPr>
              <w:spacing w:line="360" w:lineRule="auto"/>
              <w:rPr>
                <w:rFonts w:hint="default" w:ascii="宋体" w:hAnsi="宋体" w:eastAsia="宋体"/>
                <w:b/>
                <w:bCs/>
                <w:sz w:val="24"/>
                <w:highlight w:val="none"/>
                <w:lang w:val="en-US" w:eastAsia="zh-CN"/>
              </w:rPr>
            </w:pPr>
            <w:r>
              <w:rPr>
                <w:rFonts w:hint="eastAsia" w:ascii="宋体" w:hAnsi="宋体" w:eastAsia="宋体"/>
                <w:sz w:val="24"/>
                <w:highlight w:val="none"/>
              </w:rPr>
              <w:t>最后报价得分＝（评标基准价/最后报价）×</w:t>
            </w:r>
            <w:r>
              <w:rPr>
                <w:rFonts w:hint="eastAsia" w:ascii="宋体" w:hAnsi="宋体" w:eastAsia="宋体"/>
                <w:sz w:val="24"/>
                <w:highlight w:val="none"/>
                <w:u w:val="none"/>
                <w:lang w:eastAsia="zh-CN"/>
              </w:rPr>
              <w:t>1</w:t>
            </w:r>
            <w:r>
              <w:rPr>
                <w:rFonts w:hint="eastAsia" w:ascii="宋体" w:hAnsi="宋体" w:eastAsia="宋体"/>
                <w:sz w:val="24"/>
                <w:highlight w:val="none"/>
                <w:u w:val="none"/>
                <w:lang w:val="en-US" w:eastAsia="zh-CN"/>
              </w:rPr>
              <w:t>0</w:t>
            </w:r>
          </w:p>
        </w:tc>
      </w:tr>
    </w:tbl>
    <w:p w14:paraId="724010EF">
      <w:pPr>
        <w:spacing w:line="360" w:lineRule="auto"/>
        <w:ind w:firstLine="435"/>
        <w:jc w:val="left"/>
        <w:rPr>
          <w:rFonts w:ascii="宋体" w:hAnsi="宋体" w:eastAsia="宋体"/>
          <w:sz w:val="24"/>
          <w:highlight w:val="none"/>
        </w:rPr>
      </w:pPr>
      <w:r>
        <w:rPr>
          <w:rFonts w:hint="eastAsia" w:ascii="宋体" w:hAnsi="宋体" w:eastAsia="宋体"/>
          <w:sz w:val="24"/>
          <w:highlight w:val="none"/>
        </w:rPr>
        <w:t>2</w:t>
      </w:r>
      <w:r>
        <w:rPr>
          <w:rFonts w:ascii="宋体" w:hAnsi="宋体" w:eastAsia="宋体"/>
          <w:sz w:val="24"/>
          <w:highlight w:val="none"/>
        </w:rPr>
        <w:t>.</w:t>
      </w:r>
      <w:r>
        <w:rPr>
          <w:rFonts w:hint="eastAsia" w:ascii="宋体" w:hAnsi="宋体" w:eastAsia="宋体"/>
          <w:sz w:val="24"/>
          <w:highlight w:val="none"/>
        </w:rPr>
        <w:t>2</w:t>
      </w:r>
      <w:r>
        <w:rPr>
          <w:rFonts w:ascii="宋体" w:hAnsi="宋体" w:eastAsia="宋体"/>
          <w:sz w:val="24"/>
          <w:highlight w:val="none"/>
        </w:rPr>
        <w:t>.3</w:t>
      </w:r>
      <w:r>
        <w:rPr>
          <w:rFonts w:hint="eastAsia" w:ascii="宋体" w:hAnsi="宋体" w:eastAsia="宋体"/>
          <w:sz w:val="24"/>
          <w:highlight w:val="none"/>
        </w:rPr>
        <w:t>分值汇总</w:t>
      </w:r>
    </w:p>
    <w:p w14:paraId="4E4058AD">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仿宋_GB2312"/>
          <w:kern w:val="2"/>
          <w:sz w:val="24"/>
          <w:highlight w:val="none"/>
          <w:lang w:val="en-US" w:eastAsia="zh-CN" w:bidi="ar-SA"/>
        </w:rPr>
      </w:pPr>
      <w:r>
        <w:rPr>
          <w:rFonts w:hint="eastAsia" w:ascii="宋体" w:hAnsi="宋体" w:eastAsia="宋体" w:cs="@仿宋_GB2312"/>
          <w:kern w:val="2"/>
          <w:sz w:val="24"/>
          <w:highlight w:val="none"/>
          <w:lang w:val="en-US" w:eastAsia="zh-CN" w:bidi="ar-SA"/>
        </w:rPr>
        <w:t>（1）技术资信评分</w:t>
      </w:r>
    </w:p>
    <w:p w14:paraId="700DD956">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宋体" w:hAnsi="宋体" w:eastAsia="宋体" w:cs="@仿宋_GB2312"/>
          <w:kern w:val="2"/>
          <w:sz w:val="24"/>
          <w:highlight w:val="none"/>
          <w:lang w:val="en-US" w:eastAsia="zh-CN" w:bidi="ar-SA"/>
        </w:rPr>
      </w:pPr>
      <w:r>
        <w:rPr>
          <w:rFonts w:hint="eastAsia" w:ascii="宋体" w:hAnsi="宋体" w:eastAsia="宋体" w:cs="@仿宋_GB2312"/>
          <w:kern w:val="2"/>
          <w:sz w:val="24"/>
          <w:highlight w:val="none"/>
          <w:lang w:val="en-US" w:eastAsia="zh-CN" w:bidi="ar-SA"/>
        </w:rPr>
        <w:t>磋商小组各成员应当独立对每个有效响应的供应商的响应文件进行评价、打分，汇总各项评分因素的得分</w:t>
      </w:r>
      <w:r>
        <w:rPr>
          <w:rFonts w:ascii="宋体" w:hAnsi="宋体" w:eastAsia="宋体" w:cs="@仿宋_GB2312"/>
          <w:kern w:val="2"/>
          <w:sz w:val="24"/>
          <w:highlight w:val="none"/>
          <w:lang w:val="en-US" w:eastAsia="zh-CN" w:bidi="ar-SA"/>
        </w:rPr>
        <w:t>，得到该</w:t>
      </w:r>
      <w:r>
        <w:rPr>
          <w:rFonts w:hint="eastAsia" w:ascii="宋体" w:hAnsi="宋体" w:eastAsia="宋体" w:cs="@仿宋_GB2312"/>
          <w:kern w:val="2"/>
          <w:sz w:val="24"/>
          <w:highlight w:val="none"/>
          <w:lang w:val="en-US" w:eastAsia="zh-CN" w:bidi="ar-SA"/>
        </w:rPr>
        <w:t>磋商小组成员对各有效响应供应商</w:t>
      </w:r>
      <w:r>
        <w:rPr>
          <w:rFonts w:ascii="宋体" w:hAnsi="宋体" w:eastAsia="宋体" w:cs="@仿宋_GB2312"/>
          <w:kern w:val="2"/>
          <w:sz w:val="24"/>
          <w:highlight w:val="none"/>
          <w:lang w:val="en-US" w:eastAsia="zh-CN" w:bidi="ar-SA"/>
        </w:rPr>
        <w:t>的技术资信分。</w:t>
      </w:r>
      <w:r>
        <w:rPr>
          <w:rFonts w:hint="eastAsia" w:ascii="宋体" w:hAnsi="宋体" w:eastAsia="宋体" w:cs="@仿宋_GB2312"/>
          <w:kern w:val="2"/>
          <w:sz w:val="24"/>
          <w:highlight w:val="none"/>
          <w:lang w:val="en-US" w:eastAsia="zh-CN" w:bidi="ar-SA"/>
        </w:rPr>
        <w:t>取磋商小组各成员技术资信分之平均值（四舍五入保留至小数点后两位数），</w:t>
      </w:r>
      <w:r>
        <w:rPr>
          <w:rFonts w:ascii="宋体" w:hAnsi="宋体" w:eastAsia="宋体" w:cs="@仿宋_GB2312"/>
          <w:kern w:val="2"/>
          <w:sz w:val="24"/>
          <w:highlight w:val="none"/>
          <w:lang w:val="en-US" w:eastAsia="zh-CN" w:bidi="ar-SA"/>
        </w:rPr>
        <w:t>得到该</w:t>
      </w:r>
      <w:r>
        <w:rPr>
          <w:rFonts w:hint="eastAsia" w:ascii="宋体" w:hAnsi="宋体" w:eastAsia="宋体" w:cs="@仿宋_GB2312"/>
          <w:kern w:val="2"/>
          <w:sz w:val="24"/>
          <w:highlight w:val="none"/>
          <w:lang w:val="en-US" w:eastAsia="zh-CN" w:bidi="ar-SA"/>
        </w:rPr>
        <w:t>供应商</w:t>
      </w:r>
      <w:r>
        <w:rPr>
          <w:rFonts w:ascii="宋体" w:hAnsi="宋体" w:eastAsia="宋体" w:cs="@仿宋_GB2312"/>
          <w:kern w:val="2"/>
          <w:sz w:val="24"/>
          <w:highlight w:val="none"/>
          <w:lang w:val="en-US" w:eastAsia="zh-CN" w:bidi="ar-SA"/>
        </w:rPr>
        <w:t>的技术资信分</w:t>
      </w:r>
      <w:r>
        <w:rPr>
          <w:rFonts w:hint="eastAsia" w:ascii="宋体" w:hAnsi="宋体" w:eastAsia="宋体" w:cs="@仿宋_GB2312"/>
          <w:kern w:val="2"/>
          <w:sz w:val="24"/>
          <w:highlight w:val="none"/>
          <w:lang w:val="en-US" w:eastAsia="zh-CN" w:bidi="ar-SA"/>
        </w:rPr>
        <w:t>。</w:t>
      </w:r>
    </w:p>
    <w:p w14:paraId="77E8B7E2">
      <w:pPr>
        <w:keepNext w:val="0"/>
        <w:keepLines w:val="0"/>
        <w:pageBreakBefore w:val="0"/>
        <w:widowControl w:val="0"/>
        <w:kinsoku/>
        <w:wordWrap/>
        <w:overflowPunct/>
        <w:topLinePunct w:val="0"/>
        <w:autoSpaceDE/>
        <w:autoSpaceDN/>
        <w:bidi w:val="0"/>
        <w:adjustRightInd/>
        <w:snapToGrid/>
        <w:spacing w:line="500" w:lineRule="exact"/>
        <w:ind w:firstLine="435"/>
        <w:jc w:val="left"/>
        <w:textAlignment w:val="auto"/>
        <w:rPr>
          <w:rFonts w:hint="eastAsia" w:ascii="宋体" w:hAnsi="宋体" w:eastAsia="宋体"/>
          <w:sz w:val="24"/>
          <w:highlight w:val="none"/>
          <w:lang w:val="en-US" w:eastAsia="zh-CN"/>
        </w:rPr>
      </w:pPr>
      <w:r>
        <w:rPr>
          <w:rFonts w:hint="eastAsia" w:ascii="宋体" w:hAnsi="宋体" w:eastAsia="宋体"/>
          <w:sz w:val="24"/>
          <w:highlight w:val="none"/>
        </w:rPr>
        <w:t>（2）</w:t>
      </w:r>
      <w:r>
        <w:rPr>
          <w:rFonts w:hint="eastAsia" w:ascii="宋体" w:hAnsi="宋体" w:eastAsia="宋体"/>
          <w:sz w:val="24"/>
          <w:highlight w:val="none"/>
          <w:lang w:val="en-US" w:eastAsia="zh-CN"/>
        </w:rPr>
        <w:t>综合总得分</w:t>
      </w:r>
    </w:p>
    <w:p w14:paraId="031E7C4A">
      <w:pPr>
        <w:keepNext w:val="0"/>
        <w:keepLines w:val="0"/>
        <w:pageBreakBefore w:val="0"/>
        <w:widowControl w:val="0"/>
        <w:kinsoku/>
        <w:wordWrap/>
        <w:overflowPunct/>
        <w:topLinePunct w:val="0"/>
        <w:autoSpaceDE/>
        <w:autoSpaceDN/>
        <w:bidi w:val="0"/>
        <w:adjustRightInd/>
        <w:snapToGrid/>
        <w:spacing w:line="500" w:lineRule="exact"/>
        <w:ind w:firstLine="435"/>
        <w:jc w:val="left"/>
        <w:textAlignment w:val="auto"/>
        <w:rPr>
          <w:rFonts w:ascii="宋体" w:hAnsi="宋体" w:eastAsia="宋体"/>
          <w:sz w:val="24"/>
          <w:highlight w:val="none"/>
        </w:rPr>
      </w:pPr>
      <w:r>
        <w:rPr>
          <w:rFonts w:ascii="宋体" w:hAnsi="宋体" w:eastAsia="宋体"/>
          <w:sz w:val="24"/>
          <w:highlight w:val="none"/>
        </w:rPr>
        <w:t>将</w:t>
      </w:r>
      <w:r>
        <w:rPr>
          <w:rFonts w:hint="eastAsia" w:ascii="宋体" w:hAnsi="宋体" w:eastAsia="宋体"/>
          <w:sz w:val="24"/>
          <w:highlight w:val="none"/>
        </w:rPr>
        <w:t>供应商</w:t>
      </w:r>
      <w:r>
        <w:rPr>
          <w:rFonts w:ascii="宋体" w:hAnsi="宋体" w:eastAsia="宋体"/>
          <w:sz w:val="24"/>
          <w:highlight w:val="none"/>
        </w:rPr>
        <w:t>的技术资信分加上根据上述标准计算出的价格分，即为该</w:t>
      </w:r>
      <w:r>
        <w:rPr>
          <w:rFonts w:hint="eastAsia" w:ascii="宋体" w:hAnsi="宋体" w:eastAsia="宋体"/>
          <w:sz w:val="24"/>
          <w:highlight w:val="none"/>
        </w:rPr>
        <w:t>供应商</w:t>
      </w:r>
      <w:r>
        <w:rPr>
          <w:rFonts w:ascii="宋体" w:hAnsi="宋体" w:eastAsia="宋体"/>
          <w:sz w:val="24"/>
          <w:highlight w:val="none"/>
        </w:rPr>
        <w:t>的综合总得分。</w:t>
      </w:r>
    </w:p>
    <w:p w14:paraId="375197B5">
      <w:pPr>
        <w:keepNext w:val="0"/>
        <w:keepLines w:val="0"/>
        <w:pageBreakBefore w:val="0"/>
        <w:widowControl w:val="0"/>
        <w:kinsoku/>
        <w:wordWrap/>
        <w:overflowPunct/>
        <w:topLinePunct w:val="0"/>
        <w:autoSpaceDE/>
        <w:autoSpaceDN/>
        <w:bidi w:val="0"/>
        <w:adjustRightInd/>
        <w:snapToGrid/>
        <w:spacing w:line="500" w:lineRule="exact"/>
        <w:ind w:firstLine="435"/>
        <w:jc w:val="left"/>
        <w:textAlignment w:val="auto"/>
        <w:rPr>
          <w:rFonts w:ascii="宋体" w:hAnsi="宋体" w:eastAsia="宋体"/>
          <w:sz w:val="24"/>
          <w:highlight w:val="none"/>
        </w:rPr>
      </w:pPr>
    </w:p>
    <w:p w14:paraId="4455FBCB">
      <w:pPr>
        <w:spacing w:line="360" w:lineRule="auto"/>
        <w:ind w:firstLine="435"/>
        <w:jc w:val="left"/>
        <w:rPr>
          <w:rFonts w:ascii="宋体" w:hAnsi="宋体" w:eastAsia="宋体"/>
          <w:color w:val="auto"/>
          <w:sz w:val="24"/>
          <w:highlight w:val="none"/>
        </w:rPr>
      </w:pPr>
      <w:r>
        <w:rPr>
          <w:rFonts w:ascii="宋体" w:hAnsi="宋体" w:eastAsia="宋体"/>
          <w:sz w:val="24"/>
          <w:highlight w:val="none"/>
        </w:rPr>
        <w:br w:type="page"/>
      </w:r>
      <w:r>
        <w:rPr>
          <w:rFonts w:hint="eastAsia" w:ascii="宋体" w:hAnsi="宋体" w:eastAsia="宋体"/>
          <w:color w:val="auto"/>
          <w:sz w:val="24"/>
          <w:highlight w:val="none"/>
        </w:rPr>
        <w:t>2</w:t>
      </w:r>
      <w:r>
        <w:rPr>
          <w:rFonts w:ascii="宋体" w:hAnsi="宋体" w:eastAsia="宋体"/>
          <w:color w:val="auto"/>
          <w:sz w:val="24"/>
          <w:highlight w:val="none"/>
        </w:rPr>
        <w:t>.</w:t>
      </w:r>
      <w:r>
        <w:rPr>
          <w:rFonts w:hint="eastAsia" w:ascii="宋体" w:hAnsi="宋体" w:eastAsia="宋体"/>
          <w:color w:val="auto"/>
          <w:sz w:val="24"/>
          <w:highlight w:val="none"/>
        </w:rPr>
        <w:t>2</w:t>
      </w:r>
      <w:r>
        <w:rPr>
          <w:rFonts w:ascii="宋体" w:hAnsi="宋体" w:eastAsia="宋体"/>
          <w:color w:val="auto"/>
          <w:sz w:val="24"/>
          <w:highlight w:val="none"/>
        </w:rPr>
        <w:t>.3</w:t>
      </w:r>
      <w:r>
        <w:rPr>
          <w:rFonts w:hint="eastAsia" w:ascii="宋体" w:hAnsi="宋体" w:eastAsia="宋体"/>
          <w:color w:val="auto"/>
          <w:sz w:val="24"/>
          <w:highlight w:val="none"/>
        </w:rPr>
        <w:t>分值汇总</w:t>
      </w:r>
    </w:p>
    <w:p w14:paraId="0CEFC699">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仿宋_GB2312"/>
          <w:color w:val="auto"/>
          <w:kern w:val="2"/>
          <w:sz w:val="24"/>
          <w:highlight w:val="none"/>
          <w:lang w:val="en-US" w:eastAsia="zh-CN" w:bidi="ar-SA"/>
        </w:rPr>
      </w:pPr>
      <w:r>
        <w:rPr>
          <w:rFonts w:hint="eastAsia" w:ascii="宋体" w:hAnsi="宋体" w:eastAsia="宋体" w:cs="@仿宋_GB2312"/>
          <w:color w:val="auto"/>
          <w:kern w:val="2"/>
          <w:sz w:val="24"/>
          <w:highlight w:val="none"/>
          <w:lang w:val="en-US" w:eastAsia="zh-CN" w:bidi="ar-SA"/>
        </w:rPr>
        <w:t>（1）技术资信评分</w:t>
      </w:r>
    </w:p>
    <w:p w14:paraId="4894B578">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宋体" w:hAnsi="宋体" w:eastAsia="宋体" w:cs="@仿宋_GB2312"/>
          <w:color w:val="auto"/>
          <w:kern w:val="2"/>
          <w:sz w:val="24"/>
          <w:highlight w:val="none"/>
          <w:lang w:val="en-US" w:eastAsia="zh-CN" w:bidi="ar-SA"/>
        </w:rPr>
      </w:pPr>
      <w:r>
        <w:rPr>
          <w:rFonts w:hint="eastAsia" w:ascii="宋体" w:hAnsi="宋体" w:eastAsia="宋体" w:cs="@仿宋_GB2312"/>
          <w:color w:val="auto"/>
          <w:kern w:val="2"/>
          <w:sz w:val="24"/>
          <w:highlight w:val="none"/>
          <w:lang w:val="en-US" w:eastAsia="zh-CN" w:bidi="ar-SA"/>
        </w:rPr>
        <w:t>磋商小组各成员应当独立对每个有效响应的供应商的响应文件进行评价、打分，汇总各项评分因素的得分</w:t>
      </w:r>
      <w:r>
        <w:rPr>
          <w:rFonts w:ascii="宋体" w:hAnsi="宋体" w:eastAsia="宋体" w:cs="@仿宋_GB2312"/>
          <w:color w:val="auto"/>
          <w:kern w:val="2"/>
          <w:sz w:val="24"/>
          <w:highlight w:val="none"/>
          <w:lang w:val="en-US" w:eastAsia="zh-CN" w:bidi="ar-SA"/>
        </w:rPr>
        <w:t>，得到该</w:t>
      </w:r>
      <w:r>
        <w:rPr>
          <w:rFonts w:hint="eastAsia" w:ascii="宋体" w:hAnsi="宋体" w:eastAsia="宋体" w:cs="@仿宋_GB2312"/>
          <w:color w:val="auto"/>
          <w:kern w:val="2"/>
          <w:sz w:val="24"/>
          <w:highlight w:val="none"/>
          <w:lang w:val="en-US" w:eastAsia="zh-CN" w:bidi="ar-SA"/>
        </w:rPr>
        <w:t>磋商小组成员对各有效响应供应商</w:t>
      </w:r>
      <w:r>
        <w:rPr>
          <w:rFonts w:ascii="宋体" w:hAnsi="宋体" w:eastAsia="宋体" w:cs="@仿宋_GB2312"/>
          <w:color w:val="auto"/>
          <w:kern w:val="2"/>
          <w:sz w:val="24"/>
          <w:highlight w:val="none"/>
          <w:lang w:val="en-US" w:eastAsia="zh-CN" w:bidi="ar-SA"/>
        </w:rPr>
        <w:t>的技术资信分。</w:t>
      </w:r>
      <w:r>
        <w:rPr>
          <w:rFonts w:hint="eastAsia" w:ascii="宋体" w:hAnsi="宋体" w:eastAsia="宋体" w:cs="@仿宋_GB2312"/>
          <w:color w:val="auto"/>
          <w:kern w:val="2"/>
          <w:sz w:val="24"/>
          <w:highlight w:val="none"/>
          <w:lang w:val="en-US" w:eastAsia="zh-CN" w:bidi="ar-SA"/>
        </w:rPr>
        <w:t>取磋商小组各成员技术资信分之平均值（四舍五入保留至小数点后两位数），</w:t>
      </w:r>
      <w:r>
        <w:rPr>
          <w:rFonts w:ascii="宋体" w:hAnsi="宋体" w:eastAsia="宋体" w:cs="@仿宋_GB2312"/>
          <w:color w:val="auto"/>
          <w:kern w:val="2"/>
          <w:sz w:val="24"/>
          <w:highlight w:val="none"/>
          <w:lang w:val="en-US" w:eastAsia="zh-CN" w:bidi="ar-SA"/>
        </w:rPr>
        <w:t>得到该</w:t>
      </w:r>
      <w:r>
        <w:rPr>
          <w:rFonts w:hint="eastAsia" w:ascii="宋体" w:hAnsi="宋体" w:eastAsia="宋体" w:cs="@仿宋_GB2312"/>
          <w:color w:val="auto"/>
          <w:kern w:val="2"/>
          <w:sz w:val="24"/>
          <w:highlight w:val="none"/>
          <w:lang w:val="en-US" w:eastAsia="zh-CN" w:bidi="ar-SA"/>
        </w:rPr>
        <w:t>供应商</w:t>
      </w:r>
      <w:r>
        <w:rPr>
          <w:rFonts w:ascii="宋体" w:hAnsi="宋体" w:eastAsia="宋体" w:cs="@仿宋_GB2312"/>
          <w:color w:val="auto"/>
          <w:kern w:val="2"/>
          <w:sz w:val="24"/>
          <w:highlight w:val="none"/>
          <w:lang w:val="en-US" w:eastAsia="zh-CN" w:bidi="ar-SA"/>
        </w:rPr>
        <w:t>的技术资信分</w:t>
      </w:r>
      <w:r>
        <w:rPr>
          <w:rFonts w:hint="eastAsia" w:ascii="宋体" w:hAnsi="宋体" w:eastAsia="宋体" w:cs="@仿宋_GB2312"/>
          <w:color w:val="auto"/>
          <w:kern w:val="2"/>
          <w:sz w:val="24"/>
          <w:highlight w:val="none"/>
          <w:lang w:val="en-US" w:eastAsia="zh-CN" w:bidi="ar-SA"/>
        </w:rPr>
        <w:t>。</w:t>
      </w:r>
    </w:p>
    <w:p w14:paraId="69885021">
      <w:pPr>
        <w:keepNext w:val="0"/>
        <w:keepLines w:val="0"/>
        <w:pageBreakBefore w:val="0"/>
        <w:widowControl w:val="0"/>
        <w:kinsoku/>
        <w:wordWrap/>
        <w:overflowPunct/>
        <w:topLinePunct w:val="0"/>
        <w:autoSpaceDE/>
        <w:autoSpaceDN/>
        <w:bidi w:val="0"/>
        <w:adjustRightInd/>
        <w:snapToGrid/>
        <w:spacing w:line="500" w:lineRule="exact"/>
        <w:ind w:firstLine="435"/>
        <w:jc w:val="left"/>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rPr>
        <w:t>（2）</w:t>
      </w:r>
      <w:r>
        <w:rPr>
          <w:rFonts w:hint="eastAsia" w:ascii="宋体" w:hAnsi="宋体" w:eastAsia="宋体"/>
          <w:color w:val="auto"/>
          <w:sz w:val="24"/>
          <w:highlight w:val="none"/>
          <w:lang w:val="en-US" w:eastAsia="zh-CN"/>
        </w:rPr>
        <w:t>综合总得分</w:t>
      </w:r>
    </w:p>
    <w:p w14:paraId="0034ADF4">
      <w:pPr>
        <w:keepNext w:val="0"/>
        <w:keepLines w:val="0"/>
        <w:pageBreakBefore w:val="0"/>
        <w:widowControl w:val="0"/>
        <w:kinsoku/>
        <w:wordWrap/>
        <w:overflowPunct/>
        <w:topLinePunct w:val="0"/>
        <w:autoSpaceDE/>
        <w:autoSpaceDN/>
        <w:bidi w:val="0"/>
        <w:adjustRightInd/>
        <w:snapToGrid/>
        <w:spacing w:line="50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将</w:t>
      </w:r>
      <w:r>
        <w:rPr>
          <w:rFonts w:hint="eastAsia" w:ascii="宋体" w:hAnsi="宋体" w:eastAsia="宋体"/>
          <w:color w:val="auto"/>
          <w:sz w:val="24"/>
          <w:highlight w:val="none"/>
        </w:rPr>
        <w:t>供应商</w:t>
      </w:r>
      <w:r>
        <w:rPr>
          <w:rFonts w:ascii="宋体" w:hAnsi="宋体" w:eastAsia="宋体"/>
          <w:color w:val="auto"/>
          <w:sz w:val="24"/>
          <w:highlight w:val="none"/>
        </w:rPr>
        <w:t>的技术资信分加上根据上述标准计算出的价格分，即为该</w:t>
      </w:r>
      <w:r>
        <w:rPr>
          <w:rFonts w:hint="eastAsia" w:ascii="宋体" w:hAnsi="宋体" w:eastAsia="宋体"/>
          <w:color w:val="auto"/>
          <w:sz w:val="24"/>
          <w:highlight w:val="none"/>
        </w:rPr>
        <w:t>供应商</w:t>
      </w:r>
      <w:r>
        <w:rPr>
          <w:rFonts w:ascii="宋体" w:hAnsi="宋体" w:eastAsia="宋体"/>
          <w:color w:val="auto"/>
          <w:sz w:val="24"/>
          <w:highlight w:val="none"/>
        </w:rPr>
        <w:t>的综合总得分。</w:t>
      </w:r>
    </w:p>
    <w:p w14:paraId="51932082">
      <w:pPr>
        <w:keepNext w:val="0"/>
        <w:keepLines w:val="0"/>
        <w:pageBreakBefore w:val="0"/>
        <w:widowControl w:val="0"/>
        <w:kinsoku/>
        <w:wordWrap/>
        <w:overflowPunct/>
        <w:topLinePunct w:val="0"/>
        <w:autoSpaceDE/>
        <w:autoSpaceDN/>
        <w:bidi w:val="0"/>
        <w:adjustRightInd/>
        <w:snapToGrid/>
        <w:spacing w:line="500" w:lineRule="exact"/>
        <w:ind w:firstLine="435"/>
        <w:jc w:val="left"/>
        <w:textAlignment w:val="auto"/>
        <w:rPr>
          <w:rFonts w:ascii="宋体" w:hAnsi="宋体" w:eastAsia="宋体"/>
          <w:color w:val="auto"/>
          <w:sz w:val="24"/>
          <w:highlight w:val="none"/>
        </w:rPr>
      </w:pPr>
    </w:p>
    <w:p w14:paraId="370CAE31">
      <w:pPr>
        <w:widowControl/>
        <w:jc w:val="left"/>
        <w:rPr>
          <w:rFonts w:ascii="宋体" w:hAnsi="宋体" w:eastAsia="宋体"/>
          <w:color w:val="auto"/>
          <w:sz w:val="24"/>
          <w:highlight w:val="none"/>
        </w:rPr>
      </w:pPr>
      <w:r>
        <w:rPr>
          <w:rFonts w:ascii="宋体" w:hAnsi="宋体" w:eastAsia="宋体"/>
          <w:color w:val="auto"/>
          <w:sz w:val="24"/>
          <w:highlight w:val="none"/>
        </w:rPr>
        <w:br w:type="page"/>
      </w:r>
    </w:p>
    <w:p w14:paraId="71E79252">
      <w:pPr>
        <w:pageBreakBefore w:val="0"/>
        <w:kinsoku/>
        <w:wordWrap w:val="0"/>
        <w:overflowPunct/>
        <w:topLinePunct w:val="0"/>
        <w:bidi w:val="0"/>
        <w:spacing w:line="360" w:lineRule="auto"/>
        <w:jc w:val="center"/>
        <w:textAlignment w:val="auto"/>
        <w:outlineLvl w:val="1"/>
        <w:rPr>
          <w:rFonts w:hint="eastAsia" w:ascii="华文中宋" w:hAnsi="华文中宋" w:eastAsia="华文中宋" w:cs="Times New Roman"/>
          <w:b/>
          <w:bCs/>
          <w:color w:val="auto"/>
          <w:kern w:val="44"/>
          <w:sz w:val="44"/>
          <w:szCs w:val="44"/>
          <w:highlight w:val="none"/>
          <w:lang w:val="en-US" w:eastAsia="zh-CN" w:bidi="ar-SA"/>
        </w:rPr>
      </w:pPr>
      <w:bookmarkStart w:id="18" w:name="_Toc26135"/>
      <w:r>
        <w:rPr>
          <w:rFonts w:hint="eastAsia" w:ascii="华文中宋" w:hAnsi="华文中宋" w:eastAsia="华文中宋" w:cs="Times New Roman"/>
          <w:b/>
          <w:bCs/>
          <w:color w:val="auto"/>
          <w:kern w:val="44"/>
          <w:sz w:val="44"/>
          <w:szCs w:val="44"/>
          <w:highlight w:val="none"/>
          <w:lang w:val="en-US" w:eastAsia="zh-CN" w:bidi="ar-SA"/>
        </w:rPr>
        <w:t>第五章  采购合同（仅供参考）</w:t>
      </w:r>
      <w:bookmarkEnd w:id="18"/>
    </w:p>
    <w:p w14:paraId="353BFC3B">
      <w:pPr>
        <w:keepNext w:val="0"/>
        <w:keepLines w:val="0"/>
        <w:pageBreakBefore w:val="0"/>
        <w:kinsoku/>
        <w:wordWrap w:val="0"/>
        <w:overflowPunct/>
        <w:topLinePunct w:val="0"/>
        <w:bidi w:val="0"/>
        <w:spacing w:line="440" w:lineRule="exact"/>
        <w:jc w:val="center"/>
        <w:textAlignment w:val="auto"/>
        <w:outlineLvl w:val="2"/>
        <w:rPr>
          <w:rFonts w:ascii="宋体" w:hAnsi="宋体" w:eastAsia="宋体"/>
          <w:b/>
          <w:color w:val="auto"/>
          <w:sz w:val="28"/>
          <w:szCs w:val="28"/>
          <w:highlight w:val="none"/>
        </w:rPr>
      </w:pPr>
      <w:r>
        <w:rPr>
          <w:rFonts w:hint="eastAsia" w:ascii="宋体" w:hAnsi="宋体" w:eastAsia="宋体"/>
          <w:b/>
          <w:color w:val="auto"/>
          <w:sz w:val="28"/>
          <w:szCs w:val="28"/>
          <w:highlight w:val="none"/>
        </w:rPr>
        <w:t>第一部分 合同书</w:t>
      </w:r>
    </w:p>
    <w:p w14:paraId="29B022EA">
      <w:pPr>
        <w:keepNext w:val="0"/>
        <w:keepLines w:val="0"/>
        <w:pageBreakBefore w:val="0"/>
        <w:kinsoku/>
        <w:wordWrap w:val="0"/>
        <w:overflowPunct/>
        <w:topLinePunct w:val="0"/>
        <w:bidi w:val="0"/>
        <w:spacing w:line="440" w:lineRule="exact"/>
        <w:jc w:val="center"/>
        <w:textAlignment w:val="auto"/>
        <w:rPr>
          <w:rFonts w:ascii="宋体" w:hAnsi="宋体" w:eastAsia="宋体"/>
          <w:b/>
          <w:color w:val="auto"/>
          <w:sz w:val="24"/>
          <w:highlight w:val="none"/>
        </w:rPr>
      </w:pPr>
    </w:p>
    <w:p w14:paraId="24359524">
      <w:pPr>
        <w:keepNext w:val="0"/>
        <w:keepLines w:val="0"/>
        <w:pageBreakBefore w:val="0"/>
        <w:kinsoku/>
        <w:wordWrap w:val="0"/>
        <w:overflowPunct/>
        <w:topLinePunct w:val="0"/>
        <w:bidi w:val="0"/>
        <w:spacing w:line="440" w:lineRule="exact"/>
        <w:jc w:val="center"/>
        <w:textAlignment w:val="auto"/>
        <w:rPr>
          <w:rFonts w:ascii="宋体" w:hAnsi="宋体" w:eastAsia="宋体"/>
          <w:b/>
          <w:color w:val="auto"/>
          <w:sz w:val="24"/>
          <w:highlight w:val="none"/>
        </w:rPr>
      </w:pPr>
    </w:p>
    <w:p w14:paraId="46D64235">
      <w:pPr>
        <w:keepNext w:val="0"/>
        <w:keepLines w:val="0"/>
        <w:pageBreakBefore w:val="0"/>
        <w:kinsoku/>
        <w:wordWrap w:val="0"/>
        <w:overflowPunct/>
        <w:topLinePunct w:val="0"/>
        <w:bidi w:val="0"/>
        <w:spacing w:line="440" w:lineRule="exact"/>
        <w:jc w:val="center"/>
        <w:textAlignment w:val="auto"/>
        <w:rPr>
          <w:rFonts w:ascii="宋体" w:hAnsi="宋体" w:eastAsia="宋体"/>
          <w:b/>
          <w:color w:val="auto"/>
          <w:sz w:val="24"/>
          <w:highlight w:val="none"/>
        </w:rPr>
      </w:pPr>
    </w:p>
    <w:p w14:paraId="665E9DBD">
      <w:pPr>
        <w:keepNext/>
        <w:keepLines/>
        <w:widowControl w:val="0"/>
        <w:spacing w:before="120" w:after="120" w:line="360" w:lineRule="auto"/>
        <w:jc w:val="left"/>
        <w:outlineLvl w:val="2"/>
        <w:rPr>
          <w:rFonts w:ascii="宋体" w:hAnsi="宋体" w:eastAsia="宋体" w:cs="@仿宋_GB2312"/>
          <w:b/>
          <w:bCs/>
          <w:color w:val="auto"/>
          <w:kern w:val="2"/>
          <w:sz w:val="24"/>
          <w:highlight w:val="none"/>
          <w:lang w:val="en-US" w:eastAsia="zh-CN" w:bidi="ar-SA"/>
        </w:rPr>
      </w:pPr>
    </w:p>
    <w:p w14:paraId="528D4DCB">
      <w:pPr>
        <w:rPr>
          <w:rFonts w:ascii="宋体" w:hAnsi="宋体" w:eastAsia="宋体"/>
          <w:b/>
          <w:color w:val="auto"/>
          <w:sz w:val="24"/>
          <w:highlight w:val="none"/>
        </w:rPr>
      </w:pPr>
    </w:p>
    <w:p w14:paraId="4BEF01BF">
      <w:pPr>
        <w:keepNext/>
        <w:keepLines/>
        <w:widowControl w:val="0"/>
        <w:spacing w:before="120" w:after="120" w:line="360" w:lineRule="auto"/>
        <w:jc w:val="left"/>
        <w:outlineLvl w:val="2"/>
        <w:rPr>
          <w:rFonts w:ascii="宋体" w:hAnsi="宋体" w:eastAsia="宋体" w:cs="@仿宋_GB2312"/>
          <w:b/>
          <w:bCs/>
          <w:color w:val="auto"/>
          <w:kern w:val="2"/>
          <w:sz w:val="24"/>
          <w:highlight w:val="none"/>
          <w:lang w:val="en-US" w:eastAsia="zh-CN" w:bidi="ar-SA"/>
        </w:rPr>
      </w:pPr>
    </w:p>
    <w:p w14:paraId="1FF2FBE2">
      <w:pPr>
        <w:rPr>
          <w:rFonts w:ascii="宋体" w:hAnsi="宋体" w:eastAsia="宋体"/>
          <w:b/>
          <w:color w:val="auto"/>
          <w:sz w:val="24"/>
          <w:highlight w:val="none"/>
        </w:rPr>
      </w:pPr>
    </w:p>
    <w:p w14:paraId="494CFB4E">
      <w:pPr>
        <w:keepNext/>
        <w:keepLines/>
        <w:widowControl w:val="0"/>
        <w:spacing w:before="120" w:after="120" w:line="360" w:lineRule="auto"/>
        <w:jc w:val="left"/>
        <w:outlineLvl w:val="2"/>
        <w:rPr>
          <w:rFonts w:ascii="宋体" w:hAnsi="宋体" w:eastAsia="宋体" w:cs="@仿宋_GB2312"/>
          <w:b/>
          <w:bCs/>
          <w:color w:val="auto"/>
          <w:kern w:val="2"/>
          <w:sz w:val="24"/>
          <w:highlight w:val="none"/>
          <w:lang w:val="en-US" w:eastAsia="zh-CN" w:bidi="ar-SA"/>
        </w:rPr>
      </w:pPr>
    </w:p>
    <w:p w14:paraId="3B7E24B1">
      <w:pPr>
        <w:rPr>
          <w:rFonts w:ascii="宋体" w:hAnsi="宋体" w:eastAsia="宋体"/>
          <w:b/>
          <w:color w:val="auto"/>
          <w:sz w:val="24"/>
          <w:highlight w:val="none"/>
        </w:rPr>
      </w:pPr>
    </w:p>
    <w:p w14:paraId="6C198B4C">
      <w:pPr>
        <w:keepNext/>
        <w:keepLines/>
        <w:widowControl w:val="0"/>
        <w:spacing w:before="120" w:after="120" w:line="360" w:lineRule="auto"/>
        <w:jc w:val="left"/>
        <w:outlineLvl w:val="2"/>
        <w:rPr>
          <w:rFonts w:ascii="宋体" w:hAnsi="宋体" w:eastAsia="宋体" w:cs="@仿宋_GB2312"/>
          <w:b/>
          <w:bCs/>
          <w:color w:val="auto"/>
          <w:kern w:val="2"/>
          <w:sz w:val="24"/>
          <w:highlight w:val="none"/>
          <w:lang w:val="en-US" w:eastAsia="zh-CN" w:bidi="ar-SA"/>
        </w:rPr>
      </w:pPr>
    </w:p>
    <w:p w14:paraId="13F3DA39">
      <w:pPr>
        <w:keepNext/>
        <w:keepLines/>
        <w:widowControl w:val="0"/>
        <w:spacing w:before="120" w:after="120" w:line="360" w:lineRule="auto"/>
        <w:jc w:val="left"/>
        <w:outlineLvl w:val="2"/>
        <w:rPr>
          <w:rFonts w:ascii="黑体" w:hAnsi="黑体" w:eastAsia="黑体" w:cs="@仿宋_GB2312"/>
          <w:bCs/>
          <w:color w:val="auto"/>
          <w:kern w:val="2"/>
          <w:sz w:val="24"/>
          <w:highlight w:val="none"/>
          <w:lang w:val="en-US" w:eastAsia="zh-CN" w:bidi="ar-SA"/>
        </w:rPr>
      </w:pPr>
    </w:p>
    <w:p w14:paraId="762B275F">
      <w:pPr>
        <w:keepNext w:val="0"/>
        <w:keepLines w:val="0"/>
        <w:pageBreakBefore w:val="0"/>
        <w:kinsoku/>
        <w:wordWrap w:val="0"/>
        <w:overflowPunct/>
        <w:topLinePunct w:val="0"/>
        <w:bidi w:val="0"/>
        <w:spacing w:before="120" w:line="440" w:lineRule="exact"/>
        <w:ind w:left="960"/>
        <w:jc w:val="left"/>
        <w:textAlignment w:val="auto"/>
        <w:rPr>
          <w:rFonts w:ascii="宋体" w:hAnsi="宋体" w:eastAsia="宋体"/>
          <w:color w:val="auto"/>
          <w:sz w:val="24"/>
          <w:highlight w:val="none"/>
          <w:u w:val="single"/>
        </w:rPr>
      </w:pPr>
      <w:r>
        <w:rPr>
          <w:rFonts w:hint="eastAsia" w:ascii="宋体" w:hAnsi="宋体" w:eastAsia="宋体"/>
          <w:color w:val="auto"/>
          <w:sz w:val="24"/>
          <w:highlight w:val="none"/>
        </w:rPr>
        <w:t>项目名称：</w:t>
      </w:r>
      <w:r>
        <w:rPr>
          <w:rFonts w:hint="eastAsia" w:ascii="宋体" w:hAnsi="宋体" w:eastAsia="宋体"/>
          <w:color w:val="auto"/>
          <w:sz w:val="24"/>
          <w:highlight w:val="none"/>
          <w:u w:val="single"/>
          <w:lang w:eastAsia="zh-CN"/>
        </w:rPr>
        <w:t>安徽省城镇保障性安居工程委托第三方现场核实评估</w:t>
      </w:r>
    </w:p>
    <w:p w14:paraId="56EB6DAA">
      <w:pPr>
        <w:keepNext w:val="0"/>
        <w:keepLines w:val="0"/>
        <w:pageBreakBefore w:val="0"/>
        <w:kinsoku/>
        <w:wordWrap w:val="0"/>
        <w:overflowPunct/>
        <w:topLinePunct w:val="0"/>
        <w:bidi w:val="0"/>
        <w:spacing w:before="120" w:line="440" w:lineRule="exact"/>
        <w:ind w:left="960"/>
        <w:jc w:val="left"/>
        <w:textAlignment w:val="auto"/>
        <w:rPr>
          <w:rFonts w:hint="eastAsia" w:ascii="宋体" w:hAnsi="宋体" w:eastAsia="宋体"/>
          <w:color w:val="auto"/>
          <w:sz w:val="24"/>
          <w:highlight w:val="none"/>
          <w:lang w:eastAsia="zh-CN"/>
        </w:rPr>
      </w:pPr>
      <w:r>
        <w:rPr>
          <w:rFonts w:hint="eastAsia" w:ascii="宋体" w:hAnsi="宋体" w:eastAsia="宋体"/>
          <w:color w:val="auto"/>
          <w:sz w:val="24"/>
          <w:highlight w:val="none"/>
        </w:rPr>
        <w:t>项目编号：</w:t>
      </w:r>
      <w:r>
        <w:rPr>
          <w:rFonts w:hint="eastAsia" w:ascii="宋体" w:hAnsi="宋体" w:eastAsia="宋体"/>
          <w:color w:val="auto"/>
          <w:sz w:val="24"/>
          <w:highlight w:val="none"/>
          <w:u w:val="single"/>
          <w:lang w:eastAsia="zh-CN"/>
        </w:rPr>
        <w:t>ZB202504052</w:t>
      </w:r>
    </w:p>
    <w:p w14:paraId="3A367BA3">
      <w:pPr>
        <w:keepNext w:val="0"/>
        <w:keepLines w:val="0"/>
        <w:pageBreakBefore w:val="0"/>
        <w:kinsoku/>
        <w:wordWrap w:val="0"/>
        <w:overflowPunct/>
        <w:topLinePunct w:val="0"/>
        <w:bidi w:val="0"/>
        <w:spacing w:before="120" w:line="440" w:lineRule="exact"/>
        <w:ind w:left="960"/>
        <w:jc w:val="left"/>
        <w:textAlignment w:val="auto"/>
        <w:rPr>
          <w:rFonts w:ascii="宋体" w:hAnsi="宋体" w:eastAsia="宋体"/>
          <w:color w:val="auto"/>
          <w:sz w:val="24"/>
          <w:highlight w:val="none"/>
          <w:u w:val="single"/>
        </w:rPr>
      </w:pPr>
      <w:r>
        <w:rPr>
          <w:rFonts w:hint="eastAsia" w:ascii="宋体" w:hAnsi="宋体" w:eastAsia="宋体"/>
          <w:color w:val="auto"/>
          <w:sz w:val="24"/>
          <w:highlight w:val="none"/>
        </w:rPr>
        <w:t>甲方（采购人）：</w:t>
      </w:r>
      <w:r>
        <w:rPr>
          <w:rFonts w:hint="eastAsia" w:ascii="宋体" w:hAnsi="宋体" w:eastAsia="宋体"/>
          <w:color w:val="auto"/>
          <w:sz w:val="24"/>
          <w:highlight w:val="none"/>
          <w:u w:val="single"/>
          <w:lang w:val="en-US" w:eastAsia="zh-CN"/>
        </w:rPr>
        <w:t>安徽省住房和城乡建设厅</w:t>
      </w:r>
    </w:p>
    <w:p w14:paraId="3BB664CA">
      <w:pPr>
        <w:keepNext w:val="0"/>
        <w:keepLines w:val="0"/>
        <w:pageBreakBefore w:val="0"/>
        <w:kinsoku/>
        <w:wordWrap w:val="0"/>
        <w:overflowPunct/>
        <w:topLinePunct w:val="0"/>
        <w:bidi w:val="0"/>
        <w:spacing w:before="120" w:line="440" w:lineRule="exact"/>
        <w:ind w:left="960"/>
        <w:jc w:val="left"/>
        <w:textAlignment w:val="auto"/>
        <w:rPr>
          <w:rFonts w:ascii="宋体" w:hAnsi="宋体" w:eastAsia="宋体"/>
          <w:color w:val="auto"/>
          <w:sz w:val="24"/>
          <w:highlight w:val="none"/>
          <w:u w:val="single"/>
        </w:rPr>
      </w:pPr>
      <w:r>
        <w:rPr>
          <w:rFonts w:hint="eastAsia" w:ascii="宋体" w:hAnsi="宋体" w:eastAsia="宋体"/>
          <w:color w:val="auto"/>
          <w:sz w:val="24"/>
          <w:highlight w:val="none"/>
        </w:rPr>
        <w:t>乙方（成交供应商）：</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p>
    <w:p w14:paraId="716A0D22">
      <w:pPr>
        <w:keepNext w:val="0"/>
        <w:keepLines w:val="0"/>
        <w:pageBreakBefore w:val="0"/>
        <w:kinsoku/>
        <w:wordWrap w:val="0"/>
        <w:overflowPunct/>
        <w:topLinePunct w:val="0"/>
        <w:bidi w:val="0"/>
        <w:spacing w:before="120" w:line="440" w:lineRule="exact"/>
        <w:ind w:firstLine="960" w:firstLineChars="400"/>
        <w:jc w:val="left"/>
        <w:textAlignment w:val="auto"/>
        <w:rPr>
          <w:rFonts w:ascii="宋体" w:hAnsi="宋体" w:eastAsia="宋体"/>
          <w:color w:val="auto"/>
          <w:sz w:val="24"/>
          <w:highlight w:val="none"/>
          <w:u w:val="single"/>
        </w:rPr>
      </w:pPr>
      <w:r>
        <w:rPr>
          <w:rFonts w:hint="eastAsia" w:ascii="宋体" w:hAnsi="宋体" w:eastAsia="宋体"/>
          <w:color w:val="auto"/>
          <w:sz w:val="24"/>
          <w:highlight w:val="none"/>
        </w:rPr>
        <w:t>签订地：</w:t>
      </w:r>
      <w:r>
        <w:rPr>
          <w:rFonts w:hint="eastAsia" w:ascii="宋体" w:hAnsi="宋体" w:eastAsia="宋体"/>
          <w:color w:val="auto"/>
          <w:sz w:val="24"/>
          <w:highlight w:val="none"/>
          <w:u w:val="single"/>
        </w:rPr>
        <w:t xml:space="preserve">                                     </w:t>
      </w:r>
    </w:p>
    <w:p w14:paraId="13340380">
      <w:pPr>
        <w:keepNext w:val="0"/>
        <w:keepLines w:val="0"/>
        <w:pageBreakBefore w:val="0"/>
        <w:kinsoku/>
        <w:wordWrap w:val="0"/>
        <w:overflowPunct/>
        <w:topLinePunct w:val="0"/>
        <w:bidi w:val="0"/>
        <w:spacing w:before="120" w:line="440" w:lineRule="exact"/>
        <w:ind w:firstLine="960" w:firstLineChars="400"/>
        <w:jc w:val="left"/>
        <w:textAlignment w:val="auto"/>
        <w:rPr>
          <w:rFonts w:ascii="宋体" w:hAnsi="宋体" w:eastAsia="宋体"/>
          <w:color w:val="auto"/>
          <w:sz w:val="24"/>
          <w:highlight w:val="none"/>
        </w:rPr>
      </w:pPr>
      <w:r>
        <w:rPr>
          <w:rFonts w:hint="eastAsia" w:ascii="宋体" w:hAnsi="宋体" w:eastAsia="宋体"/>
          <w:color w:val="auto"/>
          <w:sz w:val="24"/>
          <w:highlight w:val="none"/>
        </w:rPr>
        <w:t>签订日期：</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年</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月</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日</w:t>
      </w:r>
    </w:p>
    <w:p w14:paraId="7A9CBDD8">
      <w:pPr>
        <w:keepNext w:val="0"/>
        <w:keepLines w:val="0"/>
        <w:pageBreakBefore w:val="0"/>
        <w:widowControl/>
        <w:kinsoku/>
        <w:wordWrap w:val="0"/>
        <w:overflowPunct/>
        <w:topLinePunct w:val="0"/>
        <w:bidi w:val="0"/>
        <w:spacing w:line="440" w:lineRule="exact"/>
        <w:jc w:val="left"/>
        <w:textAlignment w:val="auto"/>
        <w:rPr>
          <w:rFonts w:ascii="宋体" w:hAnsi="宋体" w:eastAsia="宋体"/>
          <w:color w:val="auto"/>
          <w:sz w:val="24"/>
          <w:highlight w:val="none"/>
        </w:rPr>
      </w:pPr>
      <w:r>
        <w:rPr>
          <w:rFonts w:ascii="宋体" w:hAnsi="宋体" w:eastAsia="宋体"/>
          <w:color w:val="auto"/>
          <w:sz w:val="24"/>
          <w:highlight w:val="none"/>
        </w:rPr>
        <w:br w:type="page"/>
      </w:r>
    </w:p>
    <w:p w14:paraId="3139D47A">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u w:val="single"/>
          <w:lang w:eastAsia="zh-CN"/>
        </w:rPr>
        <w:t>安徽省住房和城乡建设厅</w:t>
      </w:r>
      <w:r>
        <w:rPr>
          <w:rFonts w:hint="eastAsia" w:ascii="宋体" w:hAnsi="宋体" w:eastAsia="宋体"/>
          <w:color w:val="auto"/>
          <w:sz w:val="24"/>
          <w:highlight w:val="none"/>
        </w:rPr>
        <w:t>（</w:t>
      </w:r>
      <w:r>
        <w:rPr>
          <w:rFonts w:hint="eastAsia" w:ascii="宋体" w:hAnsi="宋体" w:eastAsia="宋体"/>
          <w:color w:val="auto"/>
          <w:sz w:val="24"/>
          <w:highlight w:val="none"/>
          <w:lang w:val="zh-CN"/>
        </w:rPr>
        <w:t>以下简称：甲方</w:t>
      </w:r>
      <w:r>
        <w:rPr>
          <w:rFonts w:hint="eastAsia" w:ascii="宋体" w:hAnsi="宋体" w:eastAsia="宋体"/>
          <w:color w:val="auto"/>
          <w:sz w:val="24"/>
          <w:highlight w:val="none"/>
        </w:rPr>
        <w:t>）通过</w:t>
      </w:r>
      <w:r>
        <w:rPr>
          <w:rFonts w:hint="eastAsia" w:ascii="宋体" w:hAnsi="宋体" w:eastAsia="宋体"/>
          <w:color w:val="auto"/>
          <w:sz w:val="24"/>
          <w:highlight w:val="none"/>
          <w:u w:val="single"/>
          <w:lang w:eastAsia="zh-CN"/>
        </w:rPr>
        <w:t>鼎信数智技术集团股份有限公司</w:t>
      </w:r>
      <w:r>
        <w:rPr>
          <w:rFonts w:hint="eastAsia" w:ascii="宋体" w:hAnsi="宋体" w:eastAsia="宋体"/>
          <w:color w:val="auto"/>
          <w:sz w:val="24"/>
          <w:highlight w:val="none"/>
        </w:rPr>
        <w:t>组织的</w:t>
      </w:r>
      <w:r>
        <w:rPr>
          <w:rFonts w:hint="eastAsia" w:ascii="宋体" w:hAnsi="宋体" w:eastAsia="宋体"/>
          <w:color w:val="auto"/>
          <w:sz w:val="24"/>
          <w:highlight w:val="none"/>
          <w:u w:val="single"/>
        </w:rPr>
        <w:t>磋商</w:t>
      </w:r>
      <w:r>
        <w:rPr>
          <w:rFonts w:hint="eastAsia" w:ascii="宋体" w:hAnsi="宋体" w:eastAsia="宋体"/>
          <w:color w:val="auto"/>
          <w:sz w:val="24"/>
          <w:highlight w:val="none"/>
        </w:rPr>
        <w:t>方式采购活动，经</w:t>
      </w:r>
      <w:r>
        <w:rPr>
          <w:rFonts w:hint="eastAsia" w:ascii="宋体" w:hAnsi="宋体" w:eastAsia="宋体"/>
          <w:color w:val="auto"/>
          <w:sz w:val="24"/>
          <w:highlight w:val="none"/>
          <w:u w:val="single"/>
        </w:rPr>
        <w:t>磋商小组</w:t>
      </w:r>
      <w:r>
        <w:rPr>
          <w:rFonts w:hint="eastAsia" w:ascii="宋体" w:hAnsi="宋体" w:eastAsia="宋体"/>
          <w:color w:val="auto"/>
          <w:sz w:val="24"/>
          <w:highlight w:val="none"/>
        </w:rPr>
        <w:t>评定，</w:t>
      </w:r>
      <w:r>
        <w:rPr>
          <w:rFonts w:hint="eastAsia" w:ascii="宋体" w:hAnsi="宋体" w:eastAsia="宋体"/>
          <w:i/>
          <w:iCs/>
          <w:color w:val="auto"/>
          <w:sz w:val="24"/>
          <w:highlight w:val="none"/>
          <w:u w:val="single"/>
        </w:rPr>
        <w:t>（成交供应商名称）</w:t>
      </w:r>
      <w:r>
        <w:rPr>
          <w:rFonts w:hint="eastAsia" w:ascii="宋体" w:hAnsi="宋体" w:eastAsia="宋体"/>
          <w:color w:val="auto"/>
          <w:sz w:val="24"/>
          <w:highlight w:val="none"/>
        </w:rPr>
        <w:t>（</w:t>
      </w:r>
      <w:r>
        <w:rPr>
          <w:rFonts w:hint="eastAsia" w:ascii="宋体" w:hAnsi="宋体" w:eastAsia="宋体"/>
          <w:color w:val="auto"/>
          <w:sz w:val="24"/>
          <w:highlight w:val="none"/>
          <w:lang w:val="zh-CN"/>
        </w:rPr>
        <w:t>以下简称：乙方</w:t>
      </w:r>
      <w:r>
        <w:rPr>
          <w:rFonts w:hint="eastAsia" w:ascii="宋体" w:hAnsi="宋体" w:eastAsia="宋体"/>
          <w:color w:val="auto"/>
          <w:sz w:val="24"/>
          <w:highlight w:val="none"/>
        </w:rPr>
        <w:t>）为本项目成交供应商，现按照采购文件确定的事项签订本合同。</w:t>
      </w:r>
    </w:p>
    <w:p w14:paraId="540F9313">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lang w:val="zh-CN"/>
        </w:rPr>
      </w:pPr>
      <w:r>
        <w:rPr>
          <w:rFonts w:hint="eastAsia" w:ascii="宋体" w:hAnsi="宋体" w:eastAsia="宋体"/>
          <w:color w:val="auto"/>
          <w:sz w:val="24"/>
          <w:highlight w:val="none"/>
        </w:rPr>
        <w:t>根据《中华人民共和国民法典》等相关法律法规之规定，按照平等、自愿、公平和诚实信用的原则，经甲方和乙方协商一致，约定以下合同条款，以兹共同遵守、全面履行。</w:t>
      </w:r>
    </w:p>
    <w:p w14:paraId="6366C2EF">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19" w:name="_Toc2232"/>
      <w:bookmarkStart w:id="20" w:name="_Toc24059"/>
      <w:bookmarkStart w:id="21" w:name="_Toc3029"/>
      <w:r>
        <w:rPr>
          <w:rFonts w:hint="eastAsia" w:ascii="宋体" w:hAnsi="宋体" w:eastAsia="宋体"/>
          <w:b/>
          <w:bCs/>
          <w:color w:val="auto"/>
          <w:sz w:val="24"/>
          <w:highlight w:val="none"/>
          <w:lang w:val="zh-CN"/>
        </w:rPr>
        <w:t>1.1</w:t>
      </w:r>
      <w:r>
        <w:rPr>
          <w:rFonts w:ascii="宋体" w:hAnsi="宋体" w:eastAsia="宋体"/>
          <w:b/>
          <w:bCs/>
          <w:color w:val="auto"/>
          <w:sz w:val="24"/>
          <w:highlight w:val="none"/>
          <w:lang w:val="zh-CN"/>
        </w:rPr>
        <w:t xml:space="preserve"> </w:t>
      </w:r>
      <w:r>
        <w:rPr>
          <w:rFonts w:hint="eastAsia" w:ascii="宋体" w:hAnsi="宋体" w:eastAsia="宋体"/>
          <w:b/>
          <w:bCs/>
          <w:color w:val="auto"/>
          <w:sz w:val="24"/>
          <w:highlight w:val="none"/>
          <w:lang w:val="zh-CN"/>
        </w:rPr>
        <w:t>合同组成部分</w:t>
      </w:r>
      <w:bookmarkEnd w:id="19"/>
      <w:bookmarkEnd w:id="20"/>
      <w:bookmarkEnd w:id="21"/>
    </w:p>
    <w:p w14:paraId="36BB3181">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lang w:val="zh-CN"/>
        </w:rPr>
      </w:pPr>
      <w:r>
        <w:rPr>
          <w:rFonts w:hint="eastAsia" w:ascii="宋体" w:hAnsi="宋体" w:eastAsia="宋体"/>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5E7D3E52">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lang w:val="zh-CN"/>
        </w:rPr>
      </w:pPr>
      <w:r>
        <w:rPr>
          <w:rFonts w:hint="eastAsia" w:ascii="宋体" w:hAnsi="宋体" w:eastAsia="宋体"/>
          <w:color w:val="auto"/>
          <w:sz w:val="24"/>
          <w:highlight w:val="none"/>
          <w:lang w:val="zh-CN"/>
        </w:rPr>
        <w:t>1.1.1本合同及其补充合同、变更协议；</w:t>
      </w:r>
    </w:p>
    <w:p w14:paraId="7BA5149E">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lang w:val="zh-CN"/>
        </w:rPr>
      </w:pPr>
      <w:r>
        <w:rPr>
          <w:rFonts w:hint="eastAsia" w:ascii="宋体" w:hAnsi="宋体" w:eastAsia="宋体"/>
          <w:color w:val="auto"/>
          <w:sz w:val="24"/>
          <w:highlight w:val="none"/>
          <w:lang w:val="zh-CN"/>
        </w:rPr>
        <w:t>1.1.2成交通知书；</w:t>
      </w:r>
    </w:p>
    <w:p w14:paraId="4DEED34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lang w:val="zh-CN"/>
        </w:rPr>
      </w:pPr>
      <w:r>
        <w:rPr>
          <w:rFonts w:hint="eastAsia" w:ascii="宋体" w:hAnsi="宋体" w:eastAsia="宋体"/>
          <w:color w:val="auto"/>
          <w:sz w:val="24"/>
          <w:highlight w:val="none"/>
          <w:lang w:val="zh-CN"/>
        </w:rPr>
        <w:t>1.1.3响应文件（含澄清或者说明文件）；</w:t>
      </w:r>
    </w:p>
    <w:p w14:paraId="69419373">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lang w:val="zh-CN"/>
        </w:rPr>
      </w:pPr>
      <w:r>
        <w:rPr>
          <w:rFonts w:hint="eastAsia" w:ascii="宋体" w:hAnsi="宋体" w:eastAsia="宋体"/>
          <w:color w:val="auto"/>
          <w:sz w:val="24"/>
          <w:highlight w:val="none"/>
          <w:lang w:val="zh-CN"/>
        </w:rPr>
        <w:t>1.1.4磋商文件（含澄清或者修改文件）；</w:t>
      </w:r>
    </w:p>
    <w:p w14:paraId="707B6191">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lang w:val="zh-CN"/>
        </w:rPr>
      </w:pPr>
      <w:r>
        <w:rPr>
          <w:rFonts w:hint="eastAsia" w:ascii="宋体" w:hAnsi="宋体" w:eastAsia="宋体"/>
          <w:color w:val="auto"/>
          <w:sz w:val="24"/>
          <w:highlight w:val="none"/>
          <w:lang w:val="zh-CN"/>
        </w:rPr>
        <w:t>1.1.5其他相关采购文件。</w:t>
      </w:r>
    </w:p>
    <w:p w14:paraId="7D8E3692">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22" w:name="_Toc18585"/>
      <w:bookmarkStart w:id="23" w:name="_Toc2918"/>
      <w:bookmarkStart w:id="24" w:name="_Toc6311"/>
      <w:bookmarkStart w:id="25" w:name="_Toc6773"/>
      <w:bookmarkStart w:id="26" w:name="_Toc22185"/>
      <w:r>
        <w:rPr>
          <w:rFonts w:hint="eastAsia" w:ascii="宋体" w:hAnsi="宋体" w:eastAsia="宋体"/>
          <w:b/>
          <w:bCs/>
          <w:color w:val="auto"/>
          <w:sz w:val="24"/>
          <w:highlight w:val="none"/>
          <w:lang w:val="zh-CN"/>
        </w:rPr>
        <w:t xml:space="preserve">1.2 </w:t>
      </w:r>
      <w:bookmarkEnd w:id="22"/>
      <w:bookmarkEnd w:id="23"/>
      <w:bookmarkEnd w:id="24"/>
      <w:bookmarkEnd w:id="25"/>
      <w:bookmarkEnd w:id="26"/>
      <w:r>
        <w:rPr>
          <w:rFonts w:hint="eastAsia" w:ascii="宋体" w:hAnsi="宋体" w:eastAsia="宋体"/>
          <w:b/>
          <w:bCs/>
          <w:color w:val="auto"/>
          <w:sz w:val="24"/>
          <w:highlight w:val="none"/>
          <w:lang w:val="zh-CN"/>
        </w:rPr>
        <w:t>服务</w:t>
      </w:r>
    </w:p>
    <w:p w14:paraId="758BBF6B">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218A59D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4A13F410">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5989BBD4">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27" w:name="_Toc21631"/>
      <w:bookmarkStart w:id="28" w:name="_Toc21551"/>
      <w:bookmarkStart w:id="29" w:name="_Toc23292"/>
      <w:r>
        <w:rPr>
          <w:rFonts w:hint="eastAsia" w:ascii="宋体" w:hAnsi="宋体" w:eastAsia="宋体"/>
          <w:b/>
          <w:bCs/>
          <w:color w:val="auto"/>
          <w:sz w:val="24"/>
          <w:highlight w:val="none"/>
          <w:lang w:val="zh-CN"/>
        </w:rPr>
        <w:t>1.</w:t>
      </w:r>
      <w:r>
        <w:rPr>
          <w:rFonts w:ascii="宋体" w:hAnsi="宋体" w:eastAsia="宋体"/>
          <w:b/>
          <w:bCs/>
          <w:color w:val="auto"/>
          <w:sz w:val="24"/>
          <w:highlight w:val="none"/>
          <w:lang w:val="zh-CN"/>
        </w:rPr>
        <w:t xml:space="preserve">3 </w:t>
      </w:r>
      <w:r>
        <w:rPr>
          <w:rFonts w:hint="eastAsia" w:ascii="宋体" w:hAnsi="宋体" w:eastAsia="宋体"/>
          <w:b/>
          <w:bCs/>
          <w:color w:val="auto"/>
          <w:sz w:val="24"/>
          <w:highlight w:val="none"/>
          <w:lang w:val="zh-CN"/>
        </w:rPr>
        <w:t>价款</w:t>
      </w:r>
      <w:bookmarkEnd w:id="27"/>
      <w:bookmarkEnd w:id="28"/>
      <w:bookmarkEnd w:id="29"/>
    </w:p>
    <w:p w14:paraId="38BE7B08">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本合同总价为</w:t>
      </w:r>
      <w:r>
        <w:rPr>
          <w:rFonts w:hint="eastAsia"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ascii="宋体" w:hAnsi="宋体" w:eastAsia="宋体"/>
          <w:color w:val="auto"/>
          <w:sz w:val="24"/>
          <w:highlight w:val="none"/>
        </w:rPr>
        <w:t>元</w:t>
      </w:r>
      <w:r>
        <w:rPr>
          <w:rFonts w:hint="eastAsia" w:ascii="宋体" w:hAnsi="宋体" w:eastAsia="宋体"/>
          <w:color w:val="auto"/>
          <w:sz w:val="24"/>
          <w:highlight w:val="none"/>
        </w:rPr>
        <w:t>（大写：人民币</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元）</w:t>
      </w:r>
      <w:r>
        <w:rPr>
          <w:rFonts w:ascii="宋体" w:hAnsi="宋体" w:eastAsia="宋体"/>
          <w:color w:val="auto"/>
          <w:sz w:val="24"/>
          <w:highlight w:val="none"/>
        </w:rPr>
        <w:t>。</w:t>
      </w:r>
    </w:p>
    <w:p w14:paraId="76B21107">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u w:val="single"/>
        </w:rPr>
      </w:pPr>
      <w:r>
        <w:rPr>
          <w:rFonts w:ascii="宋体" w:hAnsi="宋体" w:eastAsia="宋体"/>
          <w:color w:val="auto"/>
          <w:sz w:val="24"/>
          <w:highlight w:val="none"/>
        </w:rPr>
        <w:t>分项价格：</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4363"/>
        <w:gridCol w:w="12"/>
        <w:gridCol w:w="3260"/>
        <w:gridCol w:w="13"/>
      </w:tblGrid>
      <w:tr w14:paraId="578CD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968" w:type="dxa"/>
            <w:noWrap w:val="0"/>
            <w:vAlign w:val="center"/>
          </w:tcPr>
          <w:p w14:paraId="08FC8B1D">
            <w:pPr>
              <w:keepNext w:val="0"/>
              <w:keepLines w:val="0"/>
              <w:pageBreakBefore w:val="0"/>
              <w:kinsoku/>
              <w:wordWrap w:val="0"/>
              <w:overflowPunct/>
              <w:topLinePunct w:val="0"/>
              <w:bidi w:val="0"/>
              <w:spacing w:line="440" w:lineRule="exact"/>
              <w:jc w:val="left"/>
              <w:textAlignment w:val="auto"/>
              <w:rPr>
                <w:rFonts w:ascii="宋体" w:hAnsi="宋体" w:eastAsia="宋体"/>
                <w:color w:val="auto"/>
                <w:sz w:val="24"/>
                <w:highlight w:val="none"/>
                <w:lang w:val="zh-CN"/>
              </w:rPr>
            </w:pPr>
            <w:r>
              <w:rPr>
                <w:rFonts w:ascii="宋体" w:hAnsi="宋体" w:eastAsia="宋体"/>
                <w:color w:val="auto"/>
                <w:sz w:val="24"/>
                <w:highlight w:val="none"/>
                <w:lang w:val="zh-CN"/>
              </w:rPr>
              <w:t>序号</w:t>
            </w:r>
          </w:p>
        </w:tc>
        <w:tc>
          <w:tcPr>
            <w:tcW w:w="4363" w:type="dxa"/>
            <w:noWrap w:val="0"/>
            <w:vAlign w:val="center"/>
          </w:tcPr>
          <w:p w14:paraId="46182FCA">
            <w:pPr>
              <w:keepNext w:val="0"/>
              <w:keepLines w:val="0"/>
              <w:pageBreakBefore w:val="0"/>
              <w:widowControl w:val="0"/>
              <w:kinsoku/>
              <w:wordWrap w:val="0"/>
              <w:overflowPunct/>
              <w:topLinePunct w:val="0"/>
              <w:bidi w:val="0"/>
              <w:spacing w:line="440" w:lineRule="exact"/>
              <w:ind w:firstLine="200"/>
              <w:jc w:val="left"/>
              <w:textAlignment w:val="auto"/>
              <w:rPr>
                <w:rFonts w:ascii="宋体" w:hAnsi="宋体" w:eastAsia="宋体" w:cs="Times New Roman"/>
                <w:color w:val="auto"/>
                <w:kern w:val="2"/>
                <w:sz w:val="24"/>
                <w:szCs w:val="24"/>
                <w:highlight w:val="none"/>
                <w:lang w:val="en-US" w:eastAsia="zh-CN" w:bidi="ar-SA"/>
              </w:rPr>
            </w:pPr>
            <w:r>
              <w:rPr>
                <w:rFonts w:hint="eastAsia" w:ascii="宋体" w:hAnsi="宋体" w:eastAsia="宋体" w:cs="Times New Roman"/>
                <w:color w:val="auto"/>
                <w:kern w:val="2"/>
                <w:sz w:val="24"/>
                <w:szCs w:val="24"/>
                <w:highlight w:val="none"/>
                <w:lang w:val="en-US" w:eastAsia="zh-CN" w:bidi="ar-SA"/>
              </w:rPr>
              <w:t>分项名称</w:t>
            </w:r>
          </w:p>
        </w:tc>
        <w:tc>
          <w:tcPr>
            <w:tcW w:w="3272" w:type="dxa"/>
            <w:gridSpan w:val="2"/>
            <w:noWrap w:val="0"/>
            <w:vAlign w:val="center"/>
          </w:tcPr>
          <w:p w14:paraId="539D541F">
            <w:pPr>
              <w:keepNext w:val="0"/>
              <w:keepLines w:val="0"/>
              <w:pageBreakBefore w:val="0"/>
              <w:widowControl w:val="0"/>
              <w:kinsoku/>
              <w:wordWrap w:val="0"/>
              <w:overflowPunct/>
              <w:topLinePunct w:val="0"/>
              <w:bidi w:val="0"/>
              <w:spacing w:line="440" w:lineRule="exact"/>
              <w:jc w:val="left"/>
              <w:textAlignment w:val="auto"/>
              <w:rPr>
                <w:rFonts w:ascii="宋体" w:hAnsi="宋体" w:eastAsia="宋体" w:cs="Times New Roman"/>
                <w:color w:val="auto"/>
                <w:kern w:val="2"/>
                <w:sz w:val="24"/>
                <w:szCs w:val="24"/>
                <w:highlight w:val="none"/>
                <w:lang w:val="en-US" w:eastAsia="zh-CN" w:bidi="ar-SA"/>
              </w:rPr>
            </w:pPr>
            <w:r>
              <w:rPr>
                <w:rFonts w:ascii="宋体" w:hAnsi="宋体" w:eastAsia="宋体" w:cs="Times New Roman"/>
                <w:color w:val="auto"/>
                <w:kern w:val="2"/>
                <w:sz w:val="24"/>
                <w:szCs w:val="24"/>
                <w:highlight w:val="none"/>
                <w:lang w:val="en-US" w:eastAsia="zh-CN" w:bidi="ar-SA"/>
              </w:rPr>
              <w:t>分项价格</w:t>
            </w:r>
          </w:p>
        </w:tc>
      </w:tr>
      <w:tr w14:paraId="4095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968" w:type="dxa"/>
            <w:noWrap w:val="0"/>
            <w:vAlign w:val="top"/>
          </w:tcPr>
          <w:p w14:paraId="3E4B2A72">
            <w:pPr>
              <w:keepNext w:val="0"/>
              <w:keepLines w:val="0"/>
              <w:pageBreakBefore w:val="0"/>
              <w:kinsoku/>
              <w:wordWrap w:val="0"/>
              <w:overflowPunct/>
              <w:topLinePunct w:val="0"/>
              <w:bidi w:val="0"/>
              <w:spacing w:line="440" w:lineRule="exact"/>
              <w:jc w:val="left"/>
              <w:textAlignment w:val="auto"/>
              <w:rPr>
                <w:rFonts w:ascii="宋体" w:hAnsi="宋体" w:eastAsia="宋体"/>
                <w:color w:val="auto"/>
                <w:sz w:val="24"/>
                <w:highlight w:val="none"/>
                <w:lang w:val="zh-CN"/>
              </w:rPr>
            </w:pPr>
            <w:r>
              <w:rPr>
                <w:rFonts w:hint="eastAsia" w:ascii="宋体" w:hAnsi="宋体" w:eastAsia="宋体"/>
                <w:color w:val="auto"/>
                <w:sz w:val="24"/>
                <w:highlight w:val="none"/>
                <w:lang w:val="zh-CN"/>
              </w:rPr>
              <w:t>1</w:t>
            </w:r>
          </w:p>
        </w:tc>
        <w:tc>
          <w:tcPr>
            <w:tcW w:w="4363" w:type="dxa"/>
            <w:noWrap w:val="0"/>
            <w:vAlign w:val="center"/>
          </w:tcPr>
          <w:p w14:paraId="7F17CC5C">
            <w:pPr>
              <w:keepNext w:val="0"/>
              <w:keepLines w:val="0"/>
              <w:pageBreakBefore w:val="0"/>
              <w:widowControl w:val="0"/>
              <w:kinsoku/>
              <w:wordWrap w:val="0"/>
              <w:overflowPunct/>
              <w:topLinePunct w:val="0"/>
              <w:bidi w:val="0"/>
              <w:spacing w:line="440" w:lineRule="exact"/>
              <w:ind w:firstLine="200"/>
              <w:jc w:val="left"/>
              <w:textAlignment w:val="auto"/>
              <w:rPr>
                <w:rFonts w:ascii="宋体" w:hAnsi="宋体" w:eastAsia="宋体" w:cs="Times New Roman"/>
                <w:color w:val="auto"/>
                <w:kern w:val="2"/>
                <w:sz w:val="24"/>
                <w:szCs w:val="24"/>
                <w:highlight w:val="none"/>
                <w:lang w:val="en-US" w:eastAsia="zh-CN" w:bidi="ar-SA"/>
              </w:rPr>
            </w:pPr>
          </w:p>
        </w:tc>
        <w:tc>
          <w:tcPr>
            <w:tcW w:w="3272" w:type="dxa"/>
            <w:gridSpan w:val="2"/>
            <w:noWrap w:val="0"/>
            <w:vAlign w:val="center"/>
          </w:tcPr>
          <w:p w14:paraId="76D8C353">
            <w:pPr>
              <w:keepNext w:val="0"/>
              <w:keepLines w:val="0"/>
              <w:pageBreakBefore w:val="0"/>
              <w:widowControl w:val="0"/>
              <w:kinsoku/>
              <w:wordWrap w:val="0"/>
              <w:overflowPunct/>
              <w:topLinePunct w:val="0"/>
              <w:bidi w:val="0"/>
              <w:spacing w:line="440" w:lineRule="exact"/>
              <w:ind w:firstLine="200"/>
              <w:jc w:val="left"/>
              <w:textAlignment w:val="auto"/>
              <w:rPr>
                <w:rFonts w:ascii="宋体" w:hAnsi="宋体" w:eastAsia="宋体" w:cs="Times New Roman"/>
                <w:color w:val="auto"/>
                <w:kern w:val="2"/>
                <w:sz w:val="24"/>
                <w:szCs w:val="24"/>
                <w:highlight w:val="none"/>
                <w:lang w:val="en-US" w:eastAsia="zh-CN" w:bidi="ar-SA"/>
              </w:rPr>
            </w:pPr>
          </w:p>
        </w:tc>
      </w:tr>
      <w:tr w14:paraId="78FF8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968" w:type="dxa"/>
            <w:noWrap w:val="0"/>
            <w:vAlign w:val="top"/>
          </w:tcPr>
          <w:p w14:paraId="599976FF">
            <w:pPr>
              <w:keepNext w:val="0"/>
              <w:keepLines w:val="0"/>
              <w:pageBreakBefore w:val="0"/>
              <w:kinsoku/>
              <w:wordWrap w:val="0"/>
              <w:overflowPunct/>
              <w:topLinePunct w:val="0"/>
              <w:bidi w:val="0"/>
              <w:spacing w:line="440" w:lineRule="exact"/>
              <w:jc w:val="left"/>
              <w:textAlignment w:val="auto"/>
              <w:rPr>
                <w:rFonts w:ascii="宋体" w:hAnsi="宋体" w:eastAsia="宋体"/>
                <w:color w:val="auto"/>
                <w:sz w:val="24"/>
                <w:highlight w:val="none"/>
                <w:lang w:val="zh-CN"/>
              </w:rPr>
            </w:pPr>
            <w:r>
              <w:rPr>
                <w:rFonts w:hint="eastAsia" w:ascii="宋体" w:hAnsi="宋体" w:eastAsia="宋体"/>
                <w:color w:val="auto"/>
                <w:sz w:val="24"/>
                <w:highlight w:val="none"/>
                <w:lang w:val="zh-CN"/>
              </w:rPr>
              <w:t>2</w:t>
            </w:r>
          </w:p>
        </w:tc>
        <w:tc>
          <w:tcPr>
            <w:tcW w:w="4363" w:type="dxa"/>
            <w:noWrap w:val="0"/>
            <w:vAlign w:val="center"/>
          </w:tcPr>
          <w:p w14:paraId="47FDE2CA">
            <w:pPr>
              <w:keepNext w:val="0"/>
              <w:keepLines w:val="0"/>
              <w:pageBreakBefore w:val="0"/>
              <w:widowControl w:val="0"/>
              <w:kinsoku/>
              <w:wordWrap w:val="0"/>
              <w:overflowPunct/>
              <w:topLinePunct w:val="0"/>
              <w:bidi w:val="0"/>
              <w:spacing w:line="440" w:lineRule="exact"/>
              <w:ind w:firstLine="200"/>
              <w:jc w:val="left"/>
              <w:textAlignment w:val="auto"/>
              <w:rPr>
                <w:rFonts w:ascii="宋体" w:hAnsi="宋体" w:eastAsia="宋体" w:cs="Times New Roman"/>
                <w:color w:val="auto"/>
                <w:kern w:val="2"/>
                <w:sz w:val="24"/>
                <w:szCs w:val="24"/>
                <w:highlight w:val="none"/>
                <w:lang w:val="en-US" w:eastAsia="zh-CN" w:bidi="ar-SA"/>
              </w:rPr>
            </w:pPr>
          </w:p>
        </w:tc>
        <w:tc>
          <w:tcPr>
            <w:tcW w:w="3272" w:type="dxa"/>
            <w:gridSpan w:val="2"/>
            <w:noWrap w:val="0"/>
            <w:vAlign w:val="center"/>
          </w:tcPr>
          <w:p w14:paraId="2ABA4A78">
            <w:pPr>
              <w:keepNext w:val="0"/>
              <w:keepLines w:val="0"/>
              <w:pageBreakBefore w:val="0"/>
              <w:widowControl w:val="0"/>
              <w:kinsoku/>
              <w:wordWrap w:val="0"/>
              <w:overflowPunct/>
              <w:topLinePunct w:val="0"/>
              <w:bidi w:val="0"/>
              <w:spacing w:line="440" w:lineRule="exact"/>
              <w:ind w:firstLine="200"/>
              <w:jc w:val="left"/>
              <w:textAlignment w:val="auto"/>
              <w:rPr>
                <w:rFonts w:ascii="宋体" w:hAnsi="宋体" w:eastAsia="宋体" w:cs="Times New Roman"/>
                <w:color w:val="auto"/>
                <w:kern w:val="2"/>
                <w:sz w:val="24"/>
                <w:szCs w:val="24"/>
                <w:highlight w:val="none"/>
                <w:lang w:val="en-US" w:eastAsia="zh-CN" w:bidi="ar-SA"/>
              </w:rPr>
            </w:pPr>
          </w:p>
        </w:tc>
      </w:tr>
      <w:tr w14:paraId="5F825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968" w:type="dxa"/>
            <w:noWrap w:val="0"/>
            <w:vAlign w:val="top"/>
          </w:tcPr>
          <w:p w14:paraId="5432A1A5">
            <w:pPr>
              <w:keepNext w:val="0"/>
              <w:keepLines w:val="0"/>
              <w:pageBreakBefore w:val="0"/>
              <w:kinsoku/>
              <w:wordWrap w:val="0"/>
              <w:overflowPunct/>
              <w:topLinePunct w:val="0"/>
              <w:bidi w:val="0"/>
              <w:spacing w:line="440" w:lineRule="exact"/>
              <w:jc w:val="left"/>
              <w:textAlignment w:val="auto"/>
              <w:rPr>
                <w:rFonts w:ascii="宋体" w:hAnsi="宋体" w:eastAsia="宋体"/>
                <w:color w:val="auto"/>
                <w:sz w:val="24"/>
                <w:highlight w:val="none"/>
                <w:lang w:val="zh-CN"/>
              </w:rPr>
            </w:pPr>
            <w:r>
              <w:rPr>
                <w:rFonts w:ascii="宋体" w:hAnsi="宋体" w:eastAsia="宋体"/>
                <w:color w:val="auto"/>
                <w:sz w:val="24"/>
                <w:highlight w:val="none"/>
                <w:lang w:val="zh-CN"/>
              </w:rPr>
              <w:t>3</w:t>
            </w:r>
          </w:p>
        </w:tc>
        <w:tc>
          <w:tcPr>
            <w:tcW w:w="4363" w:type="dxa"/>
            <w:noWrap w:val="0"/>
            <w:vAlign w:val="center"/>
          </w:tcPr>
          <w:p w14:paraId="3F614F6E">
            <w:pPr>
              <w:keepNext w:val="0"/>
              <w:keepLines w:val="0"/>
              <w:pageBreakBefore w:val="0"/>
              <w:widowControl w:val="0"/>
              <w:kinsoku/>
              <w:wordWrap w:val="0"/>
              <w:overflowPunct/>
              <w:topLinePunct w:val="0"/>
              <w:bidi w:val="0"/>
              <w:spacing w:line="440" w:lineRule="exact"/>
              <w:ind w:firstLine="200"/>
              <w:jc w:val="left"/>
              <w:textAlignment w:val="auto"/>
              <w:rPr>
                <w:rFonts w:ascii="宋体" w:hAnsi="宋体" w:eastAsia="宋体" w:cs="Times New Roman"/>
                <w:color w:val="auto"/>
                <w:kern w:val="2"/>
                <w:sz w:val="24"/>
                <w:szCs w:val="24"/>
                <w:highlight w:val="none"/>
                <w:lang w:val="en-US" w:eastAsia="zh-CN" w:bidi="ar-SA"/>
              </w:rPr>
            </w:pPr>
          </w:p>
        </w:tc>
        <w:tc>
          <w:tcPr>
            <w:tcW w:w="3272" w:type="dxa"/>
            <w:gridSpan w:val="2"/>
            <w:noWrap w:val="0"/>
            <w:vAlign w:val="center"/>
          </w:tcPr>
          <w:p w14:paraId="35984172">
            <w:pPr>
              <w:keepNext w:val="0"/>
              <w:keepLines w:val="0"/>
              <w:pageBreakBefore w:val="0"/>
              <w:widowControl w:val="0"/>
              <w:kinsoku/>
              <w:wordWrap w:val="0"/>
              <w:overflowPunct/>
              <w:topLinePunct w:val="0"/>
              <w:bidi w:val="0"/>
              <w:spacing w:line="440" w:lineRule="exact"/>
              <w:ind w:firstLine="200"/>
              <w:jc w:val="left"/>
              <w:textAlignment w:val="auto"/>
              <w:rPr>
                <w:rFonts w:ascii="宋体" w:hAnsi="宋体" w:eastAsia="宋体" w:cs="Times New Roman"/>
                <w:color w:val="auto"/>
                <w:kern w:val="2"/>
                <w:sz w:val="24"/>
                <w:szCs w:val="24"/>
                <w:highlight w:val="none"/>
                <w:lang w:val="en-US" w:eastAsia="zh-CN" w:bidi="ar-SA"/>
              </w:rPr>
            </w:pPr>
          </w:p>
        </w:tc>
      </w:tr>
      <w:tr w14:paraId="55EE3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69" w:hRule="atLeast"/>
          <w:jc w:val="center"/>
        </w:trPr>
        <w:tc>
          <w:tcPr>
            <w:tcW w:w="968" w:type="dxa"/>
            <w:noWrap w:val="0"/>
            <w:vAlign w:val="top"/>
          </w:tcPr>
          <w:p w14:paraId="21EF7E1E">
            <w:pPr>
              <w:keepNext w:val="0"/>
              <w:keepLines w:val="0"/>
              <w:pageBreakBefore w:val="0"/>
              <w:kinsoku/>
              <w:wordWrap w:val="0"/>
              <w:overflowPunct/>
              <w:topLinePunct w:val="0"/>
              <w:bidi w:val="0"/>
              <w:spacing w:line="440" w:lineRule="exact"/>
              <w:jc w:val="left"/>
              <w:textAlignment w:val="auto"/>
              <w:rPr>
                <w:rFonts w:ascii="宋体" w:hAnsi="宋体" w:eastAsia="宋体"/>
                <w:color w:val="auto"/>
                <w:sz w:val="24"/>
                <w:highlight w:val="none"/>
                <w:lang w:val="zh-CN"/>
              </w:rPr>
            </w:pPr>
            <w:r>
              <w:rPr>
                <w:rFonts w:hint="eastAsia" w:ascii="宋体" w:hAnsi="宋体" w:eastAsia="宋体"/>
                <w:color w:val="auto"/>
                <w:sz w:val="24"/>
                <w:highlight w:val="none"/>
                <w:lang w:val="zh-CN"/>
              </w:rPr>
              <w:t>……</w:t>
            </w:r>
          </w:p>
        </w:tc>
        <w:tc>
          <w:tcPr>
            <w:tcW w:w="4363" w:type="dxa"/>
            <w:noWrap w:val="0"/>
            <w:vAlign w:val="center"/>
          </w:tcPr>
          <w:p w14:paraId="1014E909">
            <w:pPr>
              <w:keepNext w:val="0"/>
              <w:keepLines w:val="0"/>
              <w:pageBreakBefore w:val="0"/>
              <w:widowControl w:val="0"/>
              <w:kinsoku/>
              <w:wordWrap w:val="0"/>
              <w:overflowPunct/>
              <w:topLinePunct w:val="0"/>
              <w:bidi w:val="0"/>
              <w:spacing w:line="440" w:lineRule="exact"/>
              <w:ind w:firstLine="200"/>
              <w:jc w:val="left"/>
              <w:textAlignment w:val="auto"/>
              <w:rPr>
                <w:rFonts w:ascii="宋体" w:hAnsi="宋体" w:eastAsia="宋体" w:cs="Times New Roman"/>
                <w:color w:val="auto"/>
                <w:kern w:val="2"/>
                <w:sz w:val="24"/>
                <w:szCs w:val="24"/>
                <w:highlight w:val="none"/>
                <w:lang w:val="en-US" w:eastAsia="zh-CN" w:bidi="ar-SA"/>
              </w:rPr>
            </w:pPr>
          </w:p>
        </w:tc>
        <w:tc>
          <w:tcPr>
            <w:tcW w:w="3272" w:type="dxa"/>
            <w:gridSpan w:val="2"/>
            <w:noWrap w:val="0"/>
            <w:vAlign w:val="center"/>
          </w:tcPr>
          <w:p w14:paraId="6A554ED3">
            <w:pPr>
              <w:keepNext w:val="0"/>
              <w:keepLines w:val="0"/>
              <w:pageBreakBefore w:val="0"/>
              <w:widowControl w:val="0"/>
              <w:kinsoku/>
              <w:wordWrap w:val="0"/>
              <w:overflowPunct/>
              <w:topLinePunct w:val="0"/>
              <w:bidi w:val="0"/>
              <w:spacing w:line="440" w:lineRule="exact"/>
              <w:ind w:firstLine="200"/>
              <w:jc w:val="left"/>
              <w:textAlignment w:val="auto"/>
              <w:rPr>
                <w:rFonts w:ascii="宋体" w:hAnsi="宋体" w:eastAsia="宋体" w:cs="Times New Roman"/>
                <w:color w:val="auto"/>
                <w:kern w:val="2"/>
                <w:sz w:val="24"/>
                <w:szCs w:val="24"/>
                <w:highlight w:val="none"/>
                <w:lang w:val="en-US" w:eastAsia="zh-CN" w:bidi="ar-SA"/>
              </w:rPr>
            </w:pPr>
          </w:p>
        </w:tc>
      </w:tr>
      <w:tr w14:paraId="0D3DD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43" w:type="dxa"/>
            <w:gridSpan w:val="3"/>
            <w:noWrap w:val="0"/>
            <w:vAlign w:val="center"/>
          </w:tcPr>
          <w:p w14:paraId="4B4E31AB">
            <w:pPr>
              <w:keepNext w:val="0"/>
              <w:keepLines w:val="0"/>
              <w:pageBreakBefore w:val="0"/>
              <w:widowControl w:val="0"/>
              <w:kinsoku/>
              <w:wordWrap w:val="0"/>
              <w:overflowPunct/>
              <w:topLinePunct w:val="0"/>
              <w:bidi w:val="0"/>
              <w:spacing w:line="440" w:lineRule="exact"/>
              <w:ind w:firstLine="200"/>
              <w:jc w:val="left"/>
              <w:textAlignment w:val="auto"/>
              <w:rPr>
                <w:rFonts w:ascii="宋体" w:hAnsi="宋体" w:eastAsia="宋体" w:cs="Times New Roman"/>
                <w:color w:val="auto"/>
                <w:kern w:val="2"/>
                <w:sz w:val="24"/>
                <w:szCs w:val="24"/>
                <w:highlight w:val="none"/>
                <w:lang w:val="en-US" w:eastAsia="zh-CN" w:bidi="ar-SA"/>
              </w:rPr>
            </w:pPr>
            <w:r>
              <w:rPr>
                <w:rFonts w:hint="eastAsia" w:ascii="宋体" w:hAnsi="宋体" w:eastAsia="宋体" w:cs="Times New Roman"/>
                <w:color w:val="auto"/>
                <w:kern w:val="2"/>
                <w:sz w:val="24"/>
                <w:szCs w:val="24"/>
                <w:highlight w:val="none"/>
                <w:lang w:val="en-US" w:eastAsia="zh-CN" w:bidi="ar-SA"/>
              </w:rPr>
              <w:t>总价</w:t>
            </w:r>
          </w:p>
        </w:tc>
        <w:tc>
          <w:tcPr>
            <w:tcW w:w="3273" w:type="dxa"/>
            <w:gridSpan w:val="2"/>
            <w:noWrap w:val="0"/>
            <w:vAlign w:val="center"/>
          </w:tcPr>
          <w:p w14:paraId="4ABCE4A6">
            <w:pPr>
              <w:keepNext w:val="0"/>
              <w:keepLines w:val="0"/>
              <w:pageBreakBefore w:val="0"/>
              <w:widowControl w:val="0"/>
              <w:kinsoku/>
              <w:wordWrap w:val="0"/>
              <w:overflowPunct/>
              <w:topLinePunct w:val="0"/>
              <w:bidi w:val="0"/>
              <w:spacing w:line="440" w:lineRule="exact"/>
              <w:ind w:firstLine="200"/>
              <w:jc w:val="left"/>
              <w:textAlignment w:val="auto"/>
              <w:rPr>
                <w:rFonts w:ascii="宋体" w:hAnsi="宋体" w:eastAsia="宋体" w:cs="Times New Roman"/>
                <w:color w:val="auto"/>
                <w:kern w:val="2"/>
                <w:sz w:val="24"/>
                <w:szCs w:val="24"/>
                <w:highlight w:val="none"/>
                <w:lang w:val="en-US" w:eastAsia="zh-CN" w:bidi="ar-SA"/>
              </w:rPr>
            </w:pPr>
          </w:p>
        </w:tc>
      </w:tr>
    </w:tbl>
    <w:p w14:paraId="2DF23428">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30" w:name="_Toc10340"/>
      <w:bookmarkStart w:id="31" w:name="_Toc1814"/>
      <w:bookmarkStart w:id="32" w:name="_Toc22618"/>
      <w:r>
        <w:rPr>
          <w:rFonts w:hint="eastAsia" w:ascii="宋体" w:hAnsi="宋体" w:eastAsia="宋体"/>
          <w:b/>
          <w:bCs/>
          <w:color w:val="auto"/>
          <w:sz w:val="24"/>
          <w:highlight w:val="none"/>
          <w:lang w:val="zh-CN"/>
        </w:rPr>
        <w:t>1.</w:t>
      </w:r>
      <w:r>
        <w:rPr>
          <w:rFonts w:ascii="宋体" w:hAnsi="宋体" w:eastAsia="宋体"/>
          <w:b/>
          <w:bCs/>
          <w:color w:val="auto"/>
          <w:sz w:val="24"/>
          <w:highlight w:val="none"/>
          <w:lang w:val="zh-CN"/>
        </w:rPr>
        <w:t>4 付款方式和发票开具方式</w:t>
      </w:r>
      <w:bookmarkEnd w:id="30"/>
      <w:bookmarkEnd w:id="31"/>
      <w:bookmarkEnd w:id="32"/>
    </w:p>
    <w:p w14:paraId="213E74EC">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1.4.1</w:t>
      </w:r>
      <w:r>
        <w:rPr>
          <w:rFonts w:ascii="宋体" w:hAnsi="宋体" w:eastAsia="宋体"/>
          <w:color w:val="auto"/>
          <w:sz w:val="24"/>
          <w:highlight w:val="none"/>
        </w:rPr>
        <w:t>付款方式：</w:t>
      </w:r>
      <w:r>
        <w:rPr>
          <w:rFonts w:hint="eastAsia" w:ascii="宋体" w:hAnsi="宋体" w:eastAsia="宋体" w:cs="宋体"/>
          <w:b w:val="0"/>
          <w:bCs/>
          <w:kern w:val="0"/>
          <w:sz w:val="24"/>
          <w:szCs w:val="24"/>
          <w:highlight w:val="none"/>
          <w:lang w:val="en-US" w:eastAsia="zh-CN" w:bidi="ar-SA"/>
        </w:rPr>
        <w:t>签订合同后10个工作日内支付合同总价的70%作为启动经费，项目达到合同约定要求验收合格后，支付剩余30%的</w:t>
      </w:r>
      <w:bookmarkStart w:id="174" w:name="_GoBack"/>
      <w:bookmarkEnd w:id="174"/>
      <w:r>
        <w:rPr>
          <w:rFonts w:hint="eastAsia" w:ascii="宋体" w:hAnsi="宋体" w:eastAsia="宋体" w:cs="宋体"/>
          <w:b w:val="0"/>
          <w:bCs/>
          <w:kern w:val="0"/>
          <w:sz w:val="24"/>
          <w:szCs w:val="24"/>
          <w:highlight w:val="none"/>
          <w:lang w:val="en-US" w:eastAsia="zh-CN" w:bidi="ar-SA"/>
        </w:rPr>
        <w:t>合同款，付款前第三方提供等额增值发票。</w:t>
      </w:r>
    </w:p>
    <w:p w14:paraId="724E635C">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1.4.2发票开具方式：</w:t>
      </w:r>
      <w:r>
        <w:rPr>
          <w:rFonts w:hint="eastAsia" w:ascii="宋体" w:hAnsi="宋体" w:eastAsia="宋体" w:cs="宋体"/>
          <w:b w:val="0"/>
          <w:bCs/>
          <w:color w:val="auto"/>
          <w:kern w:val="0"/>
          <w:sz w:val="24"/>
          <w:szCs w:val="24"/>
          <w:highlight w:val="none"/>
          <w:lang w:val="en-US" w:eastAsia="zh-CN" w:bidi="ar-SA"/>
        </w:rPr>
        <w:t>付款前成交供应商须提供等额正规发票，否则不予支付。</w:t>
      </w:r>
    </w:p>
    <w:p w14:paraId="66FE5719">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33" w:name="_Toc19304"/>
      <w:bookmarkStart w:id="34" w:name="_Toc2846"/>
      <w:bookmarkStart w:id="35" w:name="_Toc32071"/>
      <w:r>
        <w:rPr>
          <w:rFonts w:hint="eastAsia" w:ascii="宋体" w:hAnsi="宋体" w:eastAsia="宋体"/>
          <w:b/>
          <w:bCs/>
          <w:color w:val="auto"/>
          <w:sz w:val="24"/>
          <w:highlight w:val="none"/>
          <w:lang w:val="zh-CN"/>
        </w:rPr>
        <w:t>1.</w:t>
      </w:r>
      <w:r>
        <w:rPr>
          <w:rFonts w:ascii="宋体" w:hAnsi="宋体" w:eastAsia="宋体"/>
          <w:b/>
          <w:bCs/>
          <w:color w:val="auto"/>
          <w:sz w:val="24"/>
          <w:highlight w:val="none"/>
          <w:lang w:val="zh-CN"/>
        </w:rPr>
        <w:t xml:space="preserve">5 </w:t>
      </w:r>
      <w:r>
        <w:rPr>
          <w:rFonts w:hint="eastAsia" w:ascii="宋体" w:hAnsi="宋体" w:eastAsia="宋体"/>
          <w:b/>
          <w:bCs/>
          <w:color w:val="auto"/>
          <w:sz w:val="24"/>
          <w:highlight w:val="none"/>
          <w:lang w:val="zh-CN"/>
        </w:rPr>
        <w:t>服务</w:t>
      </w:r>
      <w:r>
        <w:rPr>
          <w:rFonts w:ascii="宋体" w:hAnsi="宋体" w:eastAsia="宋体"/>
          <w:b/>
          <w:bCs/>
          <w:color w:val="auto"/>
          <w:sz w:val="24"/>
          <w:highlight w:val="none"/>
          <w:lang w:val="zh-CN"/>
        </w:rPr>
        <w:t>期限</w:t>
      </w:r>
      <w:r>
        <w:rPr>
          <w:rFonts w:hint="eastAsia" w:ascii="宋体" w:hAnsi="宋体" w:eastAsia="宋体"/>
          <w:b/>
          <w:bCs/>
          <w:color w:val="auto"/>
          <w:sz w:val="24"/>
          <w:highlight w:val="none"/>
          <w:lang w:val="zh-CN"/>
        </w:rPr>
        <w:t>、地点和方式</w:t>
      </w:r>
      <w:bookmarkEnd w:id="33"/>
      <w:bookmarkEnd w:id="34"/>
      <w:bookmarkEnd w:id="35"/>
    </w:p>
    <w:p w14:paraId="7005B427">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u w:val="single"/>
        </w:rPr>
      </w:pPr>
      <w:r>
        <w:rPr>
          <w:rFonts w:hint="eastAsia" w:ascii="宋体" w:hAnsi="宋体" w:eastAsia="宋体"/>
          <w:color w:val="auto"/>
          <w:sz w:val="24"/>
          <w:highlight w:val="none"/>
        </w:rPr>
        <w:t>1.5.1服务期限</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42134C28">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1.5.2服务地点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03D5BE75">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1.5.3服务方式：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0F031DC0">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36" w:name="_Toc27250"/>
      <w:bookmarkStart w:id="37" w:name="_Toc19554"/>
      <w:bookmarkStart w:id="38" w:name="_Toc21423"/>
      <w:r>
        <w:rPr>
          <w:rFonts w:hint="eastAsia" w:ascii="宋体" w:hAnsi="宋体" w:eastAsia="宋体"/>
          <w:b/>
          <w:bCs/>
          <w:color w:val="auto"/>
          <w:sz w:val="24"/>
          <w:highlight w:val="none"/>
          <w:lang w:val="zh-CN"/>
        </w:rPr>
        <w:t>1.6 违约责任</w:t>
      </w:r>
      <w:bookmarkEnd w:id="36"/>
      <w:bookmarkEnd w:id="37"/>
      <w:bookmarkEnd w:id="38"/>
    </w:p>
    <w:p w14:paraId="1208F91C">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1.6.1</w:t>
      </w:r>
      <w:r>
        <w:rPr>
          <w:rFonts w:ascii="宋体" w:hAnsi="宋体" w:eastAsia="宋体"/>
          <w:color w:val="auto"/>
          <w:sz w:val="24"/>
          <w:highlight w:val="none"/>
        </w:rPr>
        <w:t>除不可抗力外，如果乙方没有按照本合同约定的期限</w:t>
      </w:r>
      <w:r>
        <w:rPr>
          <w:rFonts w:hint="eastAsia" w:ascii="宋体" w:hAnsi="宋体" w:eastAsia="宋体"/>
          <w:color w:val="auto"/>
          <w:sz w:val="24"/>
          <w:highlight w:val="none"/>
        </w:rPr>
        <w:t>、</w:t>
      </w:r>
      <w:r>
        <w:rPr>
          <w:rFonts w:ascii="宋体" w:hAnsi="宋体" w:eastAsia="宋体"/>
          <w:color w:val="auto"/>
          <w:sz w:val="24"/>
          <w:highlight w:val="none"/>
        </w:rPr>
        <w:t>地点和方式</w:t>
      </w:r>
      <w:r>
        <w:rPr>
          <w:rFonts w:hint="eastAsia" w:ascii="宋体" w:hAnsi="宋体" w:eastAsia="宋体"/>
          <w:color w:val="auto"/>
          <w:sz w:val="24"/>
          <w:highlight w:val="none"/>
        </w:rPr>
        <w:t>履行</w:t>
      </w:r>
      <w:r>
        <w:rPr>
          <w:rFonts w:ascii="宋体" w:hAnsi="宋体" w:eastAsia="宋体"/>
          <w:color w:val="auto"/>
          <w:sz w:val="24"/>
          <w:highlight w:val="none"/>
        </w:rPr>
        <w:t>，那么甲方可要求乙方支付违约金</w:t>
      </w:r>
      <w:r>
        <w:rPr>
          <w:rFonts w:hint="eastAsia" w:ascii="宋体" w:hAnsi="宋体" w:eastAsia="宋体"/>
          <w:color w:val="auto"/>
          <w:sz w:val="24"/>
          <w:highlight w:val="none"/>
        </w:rPr>
        <w:t>，</w:t>
      </w:r>
      <w:r>
        <w:rPr>
          <w:rFonts w:ascii="宋体" w:hAnsi="宋体" w:eastAsia="宋体"/>
          <w:color w:val="auto"/>
          <w:sz w:val="24"/>
          <w:highlight w:val="none"/>
        </w:rPr>
        <w:t>违约金按每迟延</w:t>
      </w:r>
      <w:r>
        <w:rPr>
          <w:rFonts w:hint="eastAsia" w:ascii="宋体" w:hAnsi="宋体" w:eastAsia="宋体"/>
          <w:color w:val="auto"/>
          <w:sz w:val="24"/>
          <w:highlight w:val="none"/>
        </w:rPr>
        <w:t>履行</w:t>
      </w:r>
      <w:r>
        <w:rPr>
          <w:rFonts w:ascii="宋体" w:hAnsi="宋体" w:eastAsia="宋体"/>
          <w:color w:val="auto"/>
          <w:sz w:val="24"/>
          <w:highlight w:val="none"/>
        </w:rPr>
        <w:t>一日的应提供而未</w:t>
      </w:r>
      <w:r>
        <w:rPr>
          <w:rFonts w:hint="eastAsia" w:ascii="宋体" w:hAnsi="宋体" w:eastAsia="宋体"/>
          <w:color w:val="auto"/>
          <w:sz w:val="24"/>
          <w:highlight w:val="none"/>
        </w:rPr>
        <w:t>提供</w:t>
      </w:r>
      <w:r>
        <w:rPr>
          <w:rFonts w:ascii="宋体" w:hAnsi="宋体" w:eastAsia="宋体"/>
          <w:color w:val="auto"/>
          <w:sz w:val="24"/>
          <w:highlight w:val="none"/>
        </w:rPr>
        <w:t>服务价格的</w:t>
      </w:r>
      <w:r>
        <w:rPr>
          <w:rFonts w:hint="eastAsia" w:ascii="宋体" w:hAnsi="宋体" w:eastAsia="宋体"/>
          <w:color w:val="auto"/>
          <w:sz w:val="24"/>
          <w:highlight w:val="none"/>
          <w:u w:val="single"/>
        </w:rPr>
        <w:t xml:space="preserve">    </w:t>
      </w:r>
      <w:r>
        <w:rPr>
          <w:rFonts w:ascii="宋体" w:hAnsi="宋体" w:eastAsia="宋体"/>
          <w:color w:val="auto"/>
          <w:sz w:val="24"/>
          <w:highlight w:val="none"/>
        </w:rPr>
        <w:t>%计算</w:t>
      </w:r>
      <w:r>
        <w:rPr>
          <w:rFonts w:hint="eastAsia" w:ascii="宋体" w:hAnsi="宋体" w:eastAsia="宋体"/>
          <w:color w:val="auto"/>
          <w:sz w:val="24"/>
          <w:highlight w:val="none"/>
        </w:rPr>
        <w:t>，</w:t>
      </w:r>
      <w:r>
        <w:rPr>
          <w:rFonts w:ascii="宋体" w:hAnsi="宋体" w:eastAsia="宋体"/>
          <w:color w:val="auto"/>
          <w:sz w:val="24"/>
          <w:highlight w:val="none"/>
        </w:rPr>
        <w:t>最高限额为</w:t>
      </w:r>
      <w:r>
        <w:rPr>
          <w:rFonts w:hint="eastAsia" w:ascii="宋体" w:hAnsi="宋体" w:eastAsia="宋体"/>
          <w:color w:val="auto"/>
          <w:sz w:val="24"/>
          <w:highlight w:val="none"/>
        </w:rPr>
        <w:t>本</w:t>
      </w:r>
      <w:r>
        <w:rPr>
          <w:rFonts w:ascii="宋体" w:hAnsi="宋体" w:eastAsia="宋体"/>
          <w:color w:val="auto"/>
          <w:sz w:val="24"/>
          <w:highlight w:val="none"/>
        </w:rPr>
        <w:t>合同总价的</w:t>
      </w:r>
      <w:r>
        <w:rPr>
          <w:rFonts w:hint="eastAsia" w:ascii="宋体" w:hAnsi="宋体" w:eastAsia="宋体"/>
          <w:color w:val="auto"/>
          <w:sz w:val="24"/>
          <w:highlight w:val="none"/>
          <w:u w:val="single"/>
        </w:rPr>
        <w:t xml:space="preserve">     </w:t>
      </w:r>
      <w:r>
        <w:rPr>
          <w:rFonts w:ascii="宋体" w:hAnsi="宋体" w:eastAsia="宋体"/>
          <w:color w:val="auto"/>
          <w:sz w:val="24"/>
          <w:highlight w:val="none"/>
        </w:rPr>
        <w:t>%</w:t>
      </w:r>
      <w:r>
        <w:rPr>
          <w:rFonts w:hint="eastAsia" w:ascii="宋体" w:hAnsi="宋体" w:eastAsia="宋体"/>
          <w:color w:val="auto"/>
          <w:sz w:val="24"/>
          <w:highlight w:val="none"/>
        </w:rPr>
        <w:t>；</w:t>
      </w:r>
      <w:r>
        <w:rPr>
          <w:rFonts w:ascii="宋体" w:hAnsi="宋体" w:eastAsia="宋体"/>
          <w:color w:val="auto"/>
          <w:sz w:val="24"/>
          <w:highlight w:val="none"/>
        </w:rPr>
        <w:t>迟延</w:t>
      </w:r>
      <w:r>
        <w:rPr>
          <w:rFonts w:hint="eastAsia" w:ascii="宋体" w:hAnsi="宋体" w:eastAsia="宋体"/>
          <w:color w:val="auto"/>
          <w:sz w:val="24"/>
          <w:highlight w:val="none"/>
        </w:rPr>
        <w:t>履行</w:t>
      </w:r>
      <w:r>
        <w:rPr>
          <w:rFonts w:ascii="宋体" w:hAnsi="宋体" w:eastAsia="宋体"/>
          <w:color w:val="auto"/>
          <w:sz w:val="24"/>
          <w:highlight w:val="none"/>
        </w:rPr>
        <w:t>的违约金计算数额达到前述最高限额之日起</w:t>
      </w:r>
      <w:r>
        <w:rPr>
          <w:rFonts w:hint="eastAsia" w:ascii="宋体" w:hAnsi="宋体" w:eastAsia="宋体"/>
          <w:color w:val="auto"/>
          <w:sz w:val="24"/>
          <w:highlight w:val="none"/>
        </w:rPr>
        <w:t>，</w:t>
      </w:r>
      <w:r>
        <w:rPr>
          <w:rFonts w:ascii="宋体" w:hAnsi="宋体" w:eastAsia="宋体"/>
          <w:color w:val="auto"/>
          <w:sz w:val="24"/>
          <w:highlight w:val="none"/>
        </w:rPr>
        <w:t>甲方有权在要求乙方支付违约金的同时</w:t>
      </w:r>
      <w:r>
        <w:rPr>
          <w:rFonts w:hint="eastAsia" w:ascii="宋体" w:hAnsi="宋体" w:eastAsia="宋体"/>
          <w:color w:val="auto"/>
          <w:sz w:val="24"/>
          <w:highlight w:val="none"/>
        </w:rPr>
        <w:t>，书面通知乙方</w:t>
      </w:r>
      <w:r>
        <w:rPr>
          <w:rFonts w:ascii="宋体" w:hAnsi="宋体" w:eastAsia="宋体"/>
          <w:color w:val="auto"/>
          <w:sz w:val="24"/>
          <w:highlight w:val="none"/>
        </w:rPr>
        <w:t>解除本合同</w:t>
      </w:r>
      <w:r>
        <w:rPr>
          <w:rFonts w:hint="eastAsia" w:ascii="宋体" w:hAnsi="宋体" w:eastAsia="宋体"/>
          <w:color w:val="auto"/>
          <w:sz w:val="24"/>
          <w:highlight w:val="none"/>
        </w:rPr>
        <w:t>；</w:t>
      </w:r>
    </w:p>
    <w:p w14:paraId="52B6CB0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1.6.2</w:t>
      </w:r>
      <w:r>
        <w:rPr>
          <w:rFonts w:ascii="宋体" w:hAnsi="宋体" w:eastAsia="宋体"/>
          <w:color w:val="auto"/>
          <w:sz w:val="24"/>
          <w:highlight w:val="none"/>
        </w:rPr>
        <w:t>除不可抗力外，如果甲方没有按照本合同约定的付款方式付款，那么乙方可要求甲方支付违约金</w:t>
      </w:r>
      <w:r>
        <w:rPr>
          <w:rFonts w:hint="eastAsia" w:ascii="宋体" w:hAnsi="宋体" w:eastAsia="宋体"/>
          <w:color w:val="auto"/>
          <w:sz w:val="24"/>
          <w:highlight w:val="none"/>
        </w:rPr>
        <w:t>，</w:t>
      </w:r>
      <w:r>
        <w:rPr>
          <w:rFonts w:ascii="宋体" w:hAnsi="宋体" w:eastAsia="宋体"/>
          <w:color w:val="auto"/>
          <w:sz w:val="24"/>
          <w:highlight w:val="none"/>
        </w:rPr>
        <w:t>违约金按每迟延</w:t>
      </w:r>
      <w:r>
        <w:rPr>
          <w:rFonts w:hint="eastAsia" w:ascii="宋体" w:hAnsi="宋体" w:eastAsia="宋体"/>
          <w:color w:val="auto"/>
          <w:sz w:val="24"/>
          <w:highlight w:val="none"/>
        </w:rPr>
        <w:t>付款</w:t>
      </w:r>
      <w:r>
        <w:rPr>
          <w:rFonts w:ascii="宋体" w:hAnsi="宋体" w:eastAsia="宋体"/>
          <w:color w:val="auto"/>
          <w:sz w:val="24"/>
          <w:highlight w:val="none"/>
        </w:rPr>
        <w:t>一日的应付而未付款的</w:t>
      </w:r>
      <w:r>
        <w:rPr>
          <w:rFonts w:hint="eastAsia" w:ascii="宋体" w:hAnsi="宋体" w:eastAsia="宋体"/>
          <w:color w:val="auto"/>
          <w:sz w:val="24"/>
          <w:highlight w:val="none"/>
          <w:u w:val="single"/>
        </w:rPr>
        <w:t xml:space="preserve">    </w:t>
      </w:r>
      <w:r>
        <w:rPr>
          <w:rFonts w:ascii="宋体" w:hAnsi="宋体" w:eastAsia="宋体"/>
          <w:color w:val="auto"/>
          <w:sz w:val="24"/>
          <w:highlight w:val="none"/>
        </w:rPr>
        <w:t>%计算</w:t>
      </w:r>
      <w:r>
        <w:rPr>
          <w:rFonts w:hint="eastAsia" w:ascii="宋体" w:hAnsi="宋体" w:eastAsia="宋体"/>
          <w:color w:val="auto"/>
          <w:sz w:val="24"/>
          <w:highlight w:val="none"/>
        </w:rPr>
        <w:t>，</w:t>
      </w:r>
      <w:r>
        <w:rPr>
          <w:rFonts w:ascii="宋体" w:hAnsi="宋体" w:eastAsia="宋体"/>
          <w:color w:val="auto"/>
          <w:sz w:val="24"/>
          <w:highlight w:val="none"/>
        </w:rPr>
        <w:t>最高限额为</w:t>
      </w:r>
      <w:r>
        <w:rPr>
          <w:rFonts w:hint="eastAsia" w:ascii="宋体" w:hAnsi="宋体" w:eastAsia="宋体"/>
          <w:color w:val="auto"/>
          <w:sz w:val="24"/>
          <w:highlight w:val="none"/>
        </w:rPr>
        <w:t>本</w:t>
      </w:r>
      <w:r>
        <w:rPr>
          <w:rFonts w:ascii="宋体" w:hAnsi="宋体" w:eastAsia="宋体"/>
          <w:color w:val="auto"/>
          <w:sz w:val="24"/>
          <w:highlight w:val="none"/>
        </w:rPr>
        <w:t>合同总价的</w:t>
      </w:r>
      <w:r>
        <w:rPr>
          <w:rFonts w:hint="eastAsia" w:ascii="宋体" w:hAnsi="宋体" w:eastAsia="宋体"/>
          <w:color w:val="auto"/>
          <w:sz w:val="24"/>
          <w:highlight w:val="none"/>
          <w:u w:val="single"/>
        </w:rPr>
        <w:t xml:space="preserve">     </w:t>
      </w:r>
      <w:r>
        <w:rPr>
          <w:rFonts w:ascii="宋体" w:hAnsi="宋体" w:eastAsia="宋体"/>
          <w:color w:val="auto"/>
          <w:sz w:val="24"/>
          <w:highlight w:val="none"/>
        </w:rPr>
        <w:t>%</w:t>
      </w:r>
      <w:r>
        <w:rPr>
          <w:rFonts w:hint="eastAsia" w:ascii="宋体" w:hAnsi="宋体" w:eastAsia="宋体"/>
          <w:color w:val="auto"/>
          <w:sz w:val="24"/>
          <w:highlight w:val="none"/>
        </w:rPr>
        <w:t>；</w:t>
      </w:r>
      <w:r>
        <w:rPr>
          <w:rFonts w:ascii="宋体" w:hAnsi="宋体" w:eastAsia="宋体"/>
          <w:color w:val="auto"/>
          <w:sz w:val="24"/>
          <w:highlight w:val="none"/>
        </w:rPr>
        <w:t>迟延</w:t>
      </w:r>
      <w:r>
        <w:rPr>
          <w:rFonts w:hint="eastAsia" w:ascii="宋体" w:hAnsi="宋体" w:eastAsia="宋体"/>
          <w:color w:val="auto"/>
          <w:sz w:val="24"/>
          <w:highlight w:val="none"/>
        </w:rPr>
        <w:t>付款</w:t>
      </w:r>
      <w:r>
        <w:rPr>
          <w:rFonts w:ascii="宋体" w:hAnsi="宋体" w:eastAsia="宋体"/>
          <w:color w:val="auto"/>
          <w:sz w:val="24"/>
          <w:highlight w:val="none"/>
        </w:rPr>
        <w:t>的违约金计算数额达到前述最高限额之日起</w:t>
      </w:r>
      <w:r>
        <w:rPr>
          <w:rFonts w:hint="eastAsia" w:ascii="宋体" w:hAnsi="宋体" w:eastAsia="宋体"/>
          <w:color w:val="auto"/>
          <w:sz w:val="24"/>
          <w:highlight w:val="none"/>
        </w:rPr>
        <w:t>，乙</w:t>
      </w:r>
      <w:r>
        <w:rPr>
          <w:rFonts w:ascii="宋体" w:hAnsi="宋体" w:eastAsia="宋体"/>
          <w:color w:val="auto"/>
          <w:sz w:val="24"/>
          <w:highlight w:val="none"/>
        </w:rPr>
        <w:t>方有权在要求甲方支付违约金的同时</w:t>
      </w:r>
      <w:r>
        <w:rPr>
          <w:rFonts w:hint="eastAsia" w:ascii="宋体" w:hAnsi="宋体" w:eastAsia="宋体"/>
          <w:color w:val="auto"/>
          <w:sz w:val="24"/>
          <w:highlight w:val="none"/>
        </w:rPr>
        <w:t>，书面通知甲方</w:t>
      </w:r>
      <w:r>
        <w:rPr>
          <w:rFonts w:ascii="宋体" w:hAnsi="宋体" w:eastAsia="宋体"/>
          <w:color w:val="auto"/>
          <w:sz w:val="24"/>
          <w:highlight w:val="none"/>
        </w:rPr>
        <w:t>解除本合同</w:t>
      </w:r>
      <w:r>
        <w:rPr>
          <w:rFonts w:hint="eastAsia" w:ascii="宋体" w:hAnsi="宋体" w:eastAsia="宋体"/>
          <w:color w:val="auto"/>
          <w:sz w:val="24"/>
          <w:highlight w:val="none"/>
        </w:rPr>
        <w:t>；</w:t>
      </w:r>
    </w:p>
    <w:p w14:paraId="4FB4893F">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C0C0B93">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4DCF8C8B">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6D398A6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1.6.6如果出现采购监督管理部门在处理投诉事项期间，书面通知甲方暂停采购活动的情形，或者询问或质疑事项可能影响成交结果的，导致甲方中止履行合同的情形，均不视为甲方违约。</w:t>
      </w:r>
    </w:p>
    <w:p w14:paraId="187398F1">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39" w:name="_Toc16021"/>
      <w:bookmarkStart w:id="40" w:name="_Toc28375"/>
      <w:bookmarkStart w:id="41" w:name="_Toc15583"/>
      <w:r>
        <w:rPr>
          <w:rFonts w:hint="eastAsia" w:ascii="宋体" w:hAnsi="宋体" w:eastAsia="宋体"/>
          <w:b/>
          <w:bCs/>
          <w:color w:val="auto"/>
          <w:sz w:val="24"/>
          <w:highlight w:val="none"/>
          <w:lang w:val="zh-CN"/>
        </w:rPr>
        <w:t>1.7</w:t>
      </w:r>
      <w:r>
        <w:rPr>
          <w:rFonts w:ascii="宋体" w:hAnsi="宋体" w:eastAsia="宋体"/>
          <w:b/>
          <w:bCs/>
          <w:color w:val="auto"/>
          <w:sz w:val="24"/>
          <w:highlight w:val="none"/>
          <w:lang w:val="zh-CN"/>
        </w:rPr>
        <w:t xml:space="preserve"> </w:t>
      </w:r>
      <w:r>
        <w:rPr>
          <w:rFonts w:hint="eastAsia" w:ascii="宋体" w:hAnsi="宋体" w:eastAsia="宋体"/>
          <w:b/>
          <w:bCs/>
          <w:color w:val="auto"/>
          <w:sz w:val="24"/>
          <w:highlight w:val="none"/>
          <w:lang w:val="zh-CN"/>
        </w:rPr>
        <w:t>合同</w:t>
      </w:r>
      <w:r>
        <w:rPr>
          <w:rFonts w:ascii="宋体" w:hAnsi="宋体" w:eastAsia="宋体"/>
          <w:b/>
          <w:bCs/>
          <w:color w:val="auto"/>
          <w:sz w:val="24"/>
          <w:highlight w:val="none"/>
          <w:lang w:val="zh-CN"/>
        </w:rPr>
        <w:t>争议的解决</w:t>
      </w:r>
      <w:bookmarkEnd w:id="39"/>
      <w:bookmarkEnd w:id="40"/>
      <w:bookmarkEnd w:id="41"/>
    </w:p>
    <w:p w14:paraId="37567D4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本合</w:t>
      </w:r>
      <w:r>
        <w:rPr>
          <w:rFonts w:ascii="宋体" w:hAnsi="宋体" w:eastAsia="宋体"/>
          <w:color w:val="auto"/>
          <w:sz w:val="24"/>
          <w:highlight w:val="none"/>
        </w:rPr>
        <w:t>同履行过程中发生的任何争议，双方当事人均可</w:t>
      </w:r>
      <w:r>
        <w:rPr>
          <w:rFonts w:hint="eastAsia" w:ascii="宋体" w:hAnsi="宋体" w:eastAsia="宋体"/>
          <w:color w:val="auto"/>
          <w:sz w:val="24"/>
          <w:highlight w:val="none"/>
        </w:rPr>
        <w:t>通过和解或者调解解决；不愿和解、调解或者和解、调解不成的，可以选择下列第</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种方式解决：</w:t>
      </w:r>
    </w:p>
    <w:p w14:paraId="5D8BAE53">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1.7.1将争议提交</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仲裁委员会依申请仲裁时其现行有效的仲裁规则裁决；</w:t>
      </w:r>
    </w:p>
    <w:p w14:paraId="16E2D36D">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1.7.2向</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人民法院起诉。</w:t>
      </w:r>
    </w:p>
    <w:p w14:paraId="548249F1">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42" w:name="_Toc15322"/>
      <w:bookmarkStart w:id="43" w:name="_Toc7245"/>
      <w:bookmarkStart w:id="44" w:name="_Toc11173"/>
      <w:r>
        <w:rPr>
          <w:rFonts w:hint="eastAsia" w:ascii="宋体" w:hAnsi="宋体" w:eastAsia="宋体"/>
          <w:b/>
          <w:bCs/>
          <w:color w:val="auto"/>
          <w:sz w:val="24"/>
          <w:highlight w:val="none"/>
          <w:lang w:val="zh-CN"/>
        </w:rPr>
        <w:t>1.8</w:t>
      </w:r>
      <w:r>
        <w:rPr>
          <w:rFonts w:ascii="宋体" w:hAnsi="宋体" w:eastAsia="宋体"/>
          <w:b/>
          <w:bCs/>
          <w:color w:val="auto"/>
          <w:sz w:val="24"/>
          <w:highlight w:val="none"/>
          <w:lang w:val="zh-CN"/>
        </w:rPr>
        <w:t xml:space="preserve"> 合同生效</w:t>
      </w:r>
      <w:bookmarkEnd w:id="42"/>
      <w:bookmarkEnd w:id="43"/>
      <w:bookmarkEnd w:id="44"/>
    </w:p>
    <w:p w14:paraId="6549BA07">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本合同自</w:t>
      </w:r>
      <w:r>
        <w:rPr>
          <w:rFonts w:hint="eastAsia" w:ascii="宋体" w:hAnsi="宋体" w:eastAsia="宋体"/>
          <w:color w:val="auto"/>
          <w:sz w:val="24"/>
          <w:highlight w:val="none"/>
        </w:rPr>
        <w:t>双方当事人盖章时</w:t>
      </w:r>
      <w:r>
        <w:rPr>
          <w:rFonts w:ascii="宋体" w:hAnsi="宋体" w:eastAsia="宋体"/>
          <w:color w:val="auto"/>
          <w:sz w:val="24"/>
          <w:highlight w:val="none"/>
        </w:rPr>
        <w:t>生效。</w:t>
      </w:r>
    </w:p>
    <w:p w14:paraId="5AA60C20">
      <w:pPr>
        <w:keepNext w:val="0"/>
        <w:keepLines w:val="0"/>
        <w:pageBreakBefore w:val="0"/>
        <w:kinsoku/>
        <w:wordWrap w:val="0"/>
        <w:overflowPunct/>
        <w:topLinePunct w:val="0"/>
        <w:autoSpaceDE w:val="0"/>
        <w:autoSpaceDN w:val="0"/>
        <w:bidi w:val="0"/>
        <w:adjustRightInd w:val="0"/>
        <w:spacing w:line="440" w:lineRule="exact"/>
        <w:jc w:val="left"/>
        <w:textAlignment w:val="auto"/>
        <w:rPr>
          <w:rFonts w:ascii="宋体" w:hAnsi="宋体" w:eastAsia="宋体"/>
          <w:color w:val="auto"/>
          <w:sz w:val="24"/>
          <w:highlight w:val="none"/>
          <w:lang w:val="zh-CN"/>
        </w:rPr>
      </w:pPr>
    </w:p>
    <w:p w14:paraId="03CBDA36">
      <w:pPr>
        <w:keepNext w:val="0"/>
        <w:keepLines w:val="0"/>
        <w:pageBreakBefore w:val="0"/>
        <w:kinsoku/>
        <w:wordWrap w:val="0"/>
        <w:overflowPunct/>
        <w:topLinePunct w:val="0"/>
        <w:autoSpaceDE w:val="0"/>
        <w:autoSpaceDN w:val="0"/>
        <w:bidi w:val="0"/>
        <w:adjustRightInd w:val="0"/>
        <w:spacing w:line="440" w:lineRule="exact"/>
        <w:jc w:val="left"/>
        <w:textAlignment w:val="auto"/>
        <w:rPr>
          <w:rFonts w:ascii="宋体" w:hAnsi="宋体" w:eastAsia="宋体"/>
          <w:color w:val="auto"/>
          <w:sz w:val="24"/>
          <w:highlight w:val="none"/>
          <w:lang w:val="zh-CN"/>
        </w:rPr>
      </w:pPr>
    </w:p>
    <w:p w14:paraId="580BA8AB">
      <w:pPr>
        <w:keepNext w:val="0"/>
        <w:keepLines w:val="0"/>
        <w:pageBreakBefore w:val="0"/>
        <w:kinsoku/>
        <w:wordWrap w:val="0"/>
        <w:overflowPunct/>
        <w:topLinePunct w:val="0"/>
        <w:autoSpaceDE w:val="0"/>
        <w:autoSpaceDN w:val="0"/>
        <w:bidi w:val="0"/>
        <w:adjustRightInd w:val="0"/>
        <w:spacing w:line="440" w:lineRule="exact"/>
        <w:jc w:val="left"/>
        <w:textAlignment w:val="auto"/>
        <w:rPr>
          <w:rFonts w:ascii="宋体" w:hAnsi="宋体" w:eastAsia="宋体"/>
          <w:color w:val="auto"/>
          <w:sz w:val="24"/>
          <w:highlight w:val="none"/>
          <w:lang w:val="zh-CN"/>
        </w:rPr>
      </w:pPr>
    </w:p>
    <w:p w14:paraId="3049E5D2">
      <w:pPr>
        <w:keepNext w:val="0"/>
        <w:keepLines w:val="0"/>
        <w:pageBreakBefore w:val="0"/>
        <w:kinsoku/>
        <w:wordWrap w:val="0"/>
        <w:overflowPunct/>
        <w:topLinePunct w:val="0"/>
        <w:autoSpaceDE w:val="0"/>
        <w:autoSpaceDN w:val="0"/>
        <w:bidi w:val="0"/>
        <w:adjustRightInd w:val="0"/>
        <w:spacing w:line="440" w:lineRule="exact"/>
        <w:jc w:val="left"/>
        <w:textAlignment w:val="auto"/>
        <w:rPr>
          <w:rFonts w:ascii="宋体" w:hAnsi="宋体" w:eastAsia="宋体"/>
          <w:bCs/>
          <w:color w:val="auto"/>
          <w:sz w:val="24"/>
          <w:highlight w:val="none"/>
          <w:lang w:val="zh-CN"/>
        </w:rPr>
      </w:pPr>
      <w:r>
        <w:rPr>
          <w:rFonts w:hint="eastAsia" w:ascii="宋体" w:hAnsi="宋体" w:eastAsia="宋体"/>
          <w:bCs/>
          <w:color w:val="auto"/>
          <w:sz w:val="24"/>
          <w:highlight w:val="none"/>
          <w:lang w:val="zh-CN"/>
        </w:rPr>
        <w:t xml:space="preserve">甲 </w:t>
      </w:r>
      <w:r>
        <w:rPr>
          <w:rFonts w:ascii="宋体" w:hAnsi="宋体" w:eastAsia="宋体"/>
          <w:bCs/>
          <w:color w:val="auto"/>
          <w:sz w:val="24"/>
          <w:highlight w:val="none"/>
          <w:lang w:val="zh-CN"/>
        </w:rPr>
        <w:t xml:space="preserve">   </w:t>
      </w:r>
      <w:r>
        <w:rPr>
          <w:rFonts w:hint="eastAsia" w:ascii="宋体" w:hAnsi="宋体" w:eastAsia="宋体"/>
          <w:bCs/>
          <w:color w:val="auto"/>
          <w:sz w:val="24"/>
          <w:highlight w:val="none"/>
          <w:lang w:val="zh-CN"/>
        </w:rPr>
        <w:t>方：</w:t>
      </w:r>
      <w:r>
        <w:rPr>
          <w:rFonts w:hint="eastAsia" w:ascii="宋体" w:hAnsi="宋体" w:eastAsia="宋体"/>
          <w:bCs/>
          <w:color w:val="auto"/>
          <w:sz w:val="24"/>
          <w:highlight w:val="none"/>
          <w:u w:val="single"/>
          <w:lang w:val="zh-CN"/>
        </w:rPr>
        <w:t xml:space="preserve">    （单位盖章）     </w:t>
      </w:r>
      <w:r>
        <w:rPr>
          <w:rFonts w:hint="eastAsia" w:ascii="宋体" w:hAnsi="宋体" w:eastAsia="宋体"/>
          <w:bCs/>
          <w:color w:val="auto"/>
          <w:sz w:val="24"/>
          <w:highlight w:val="none"/>
          <w:lang w:val="zh-CN"/>
        </w:rPr>
        <w:t xml:space="preserve">          乙方：</w:t>
      </w:r>
      <w:r>
        <w:rPr>
          <w:rFonts w:hint="eastAsia" w:ascii="宋体" w:hAnsi="宋体" w:eastAsia="宋体"/>
          <w:bCs/>
          <w:color w:val="auto"/>
          <w:sz w:val="24"/>
          <w:highlight w:val="none"/>
          <w:u w:val="single"/>
          <w:lang w:val="zh-CN"/>
        </w:rPr>
        <w:t xml:space="preserve">    （单位盖章）     </w:t>
      </w:r>
    </w:p>
    <w:p w14:paraId="030FE997">
      <w:pPr>
        <w:keepNext w:val="0"/>
        <w:keepLines w:val="0"/>
        <w:pageBreakBefore w:val="0"/>
        <w:kinsoku/>
        <w:wordWrap w:val="0"/>
        <w:overflowPunct/>
        <w:topLinePunct w:val="0"/>
        <w:autoSpaceDE w:val="0"/>
        <w:autoSpaceDN w:val="0"/>
        <w:bidi w:val="0"/>
        <w:adjustRightInd w:val="0"/>
        <w:spacing w:line="440" w:lineRule="exact"/>
        <w:jc w:val="left"/>
        <w:textAlignment w:val="auto"/>
        <w:rPr>
          <w:rFonts w:ascii="宋体" w:hAnsi="宋体" w:eastAsia="宋体"/>
          <w:color w:val="auto"/>
          <w:sz w:val="24"/>
          <w:highlight w:val="none"/>
          <w:lang w:val="zh-CN"/>
        </w:rPr>
      </w:pPr>
      <w:r>
        <w:rPr>
          <w:rFonts w:hint="eastAsia" w:ascii="宋体" w:hAnsi="宋体" w:eastAsia="宋体"/>
          <w:color w:val="auto"/>
          <w:sz w:val="24"/>
          <w:highlight w:val="none"/>
          <w:lang w:val="zh-CN"/>
        </w:rPr>
        <w:t xml:space="preserve">法定代表人                             </w:t>
      </w:r>
      <w:r>
        <w:rPr>
          <w:rFonts w:ascii="宋体" w:hAnsi="宋体" w:eastAsia="宋体"/>
          <w:color w:val="auto"/>
          <w:sz w:val="24"/>
          <w:highlight w:val="none"/>
          <w:lang w:val="zh-CN"/>
        </w:rPr>
        <w:t xml:space="preserve">  </w:t>
      </w:r>
      <w:r>
        <w:rPr>
          <w:rFonts w:hint="eastAsia" w:ascii="宋体" w:hAnsi="宋体" w:eastAsia="宋体"/>
          <w:color w:val="auto"/>
          <w:sz w:val="24"/>
          <w:highlight w:val="none"/>
          <w:lang w:val="zh-CN"/>
        </w:rPr>
        <w:t>法定代表人</w:t>
      </w:r>
    </w:p>
    <w:p w14:paraId="406A0378">
      <w:pPr>
        <w:keepNext w:val="0"/>
        <w:keepLines w:val="0"/>
        <w:pageBreakBefore w:val="0"/>
        <w:kinsoku/>
        <w:wordWrap w:val="0"/>
        <w:overflowPunct/>
        <w:topLinePunct w:val="0"/>
        <w:autoSpaceDE w:val="0"/>
        <w:autoSpaceDN w:val="0"/>
        <w:bidi w:val="0"/>
        <w:adjustRightInd w:val="0"/>
        <w:spacing w:line="440" w:lineRule="exact"/>
        <w:jc w:val="left"/>
        <w:textAlignment w:val="auto"/>
        <w:rPr>
          <w:rFonts w:ascii="宋体" w:hAnsi="宋体" w:eastAsia="宋体"/>
          <w:color w:val="auto"/>
          <w:sz w:val="24"/>
          <w:highlight w:val="none"/>
          <w:lang w:val="zh-CN"/>
        </w:rPr>
      </w:pPr>
      <w:r>
        <w:rPr>
          <w:rFonts w:hint="eastAsia" w:ascii="宋体" w:hAnsi="宋体" w:eastAsia="宋体"/>
          <w:color w:val="auto"/>
          <w:sz w:val="24"/>
          <w:highlight w:val="none"/>
          <w:lang w:val="zh-CN"/>
        </w:rPr>
        <w:t>或授权代表（签字）：                      或授权代表（签字）：</w:t>
      </w:r>
    </w:p>
    <w:p w14:paraId="31780D7D">
      <w:pPr>
        <w:keepNext w:val="0"/>
        <w:keepLines w:val="0"/>
        <w:pageBreakBefore w:val="0"/>
        <w:widowControl/>
        <w:kinsoku/>
        <w:wordWrap w:val="0"/>
        <w:overflowPunct/>
        <w:topLinePunct w:val="0"/>
        <w:bidi w:val="0"/>
        <w:spacing w:line="440" w:lineRule="exact"/>
        <w:jc w:val="left"/>
        <w:textAlignment w:val="auto"/>
        <w:rPr>
          <w:rFonts w:ascii="宋体" w:hAnsi="宋体" w:eastAsia="宋体"/>
          <w:bCs/>
          <w:color w:val="auto"/>
          <w:sz w:val="24"/>
          <w:highlight w:val="none"/>
        </w:rPr>
      </w:pPr>
      <w:bookmarkStart w:id="45" w:name="_Toc331685783"/>
      <w:r>
        <w:rPr>
          <w:rFonts w:hint="eastAsia" w:ascii="宋体" w:hAnsi="宋体" w:eastAsia="宋体"/>
          <w:bCs/>
          <w:color w:val="auto"/>
          <w:sz w:val="24"/>
          <w:highlight w:val="none"/>
        </w:rPr>
        <w:t>时间：</w:t>
      </w:r>
      <w:r>
        <w:rPr>
          <w:rFonts w:hint="eastAsia" w:ascii="宋体" w:hAnsi="宋体" w:eastAsia="宋体"/>
          <w:bCs/>
          <w:color w:val="auto"/>
          <w:sz w:val="24"/>
          <w:highlight w:val="none"/>
          <w:u w:val="single"/>
        </w:rPr>
        <w:t xml:space="preserve">  </w:t>
      </w:r>
      <w:r>
        <w:rPr>
          <w:rFonts w:ascii="宋体" w:hAnsi="宋体" w:eastAsia="宋体"/>
          <w:bCs/>
          <w:color w:val="auto"/>
          <w:sz w:val="24"/>
          <w:highlight w:val="none"/>
          <w:u w:val="single"/>
        </w:rPr>
        <w:t xml:space="preserve">  </w:t>
      </w:r>
      <w:r>
        <w:rPr>
          <w:rFonts w:hint="eastAsia" w:ascii="宋体" w:hAnsi="宋体" w:eastAsia="宋体"/>
          <w:bCs/>
          <w:color w:val="auto"/>
          <w:sz w:val="24"/>
          <w:highlight w:val="none"/>
          <w:u w:val="single"/>
        </w:rPr>
        <w:t xml:space="preserve">  </w:t>
      </w:r>
      <w:r>
        <w:rPr>
          <w:rFonts w:hint="eastAsia" w:ascii="宋体" w:hAnsi="宋体" w:eastAsia="宋体"/>
          <w:bCs/>
          <w:color w:val="auto"/>
          <w:sz w:val="24"/>
          <w:highlight w:val="none"/>
        </w:rPr>
        <w:t>年</w:t>
      </w:r>
      <w:r>
        <w:rPr>
          <w:rFonts w:hint="eastAsia" w:ascii="宋体" w:hAnsi="宋体" w:eastAsia="宋体"/>
          <w:bCs/>
          <w:color w:val="auto"/>
          <w:sz w:val="24"/>
          <w:highlight w:val="none"/>
          <w:u w:val="single"/>
        </w:rPr>
        <w:t xml:space="preserve">  </w:t>
      </w:r>
      <w:r>
        <w:rPr>
          <w:rFonts w:ascii="宋体" w:hAnsi="宋体" w:eastAsia="宋体"/>
          <w:bCs/>
          <w:color w:val="auto"/>
          <w:sz w:val="24"/>
          <w:highlight w:val="none"/>
          <w:u w:val="single"/>
        </w:rPr>
        <w:t xml:space="preserve"> </w:t>
      </w:r>
      <w:r>
        <w:rPr>
          <w:rFonts w:hint="eastAsia" w:ascii="宋体" w:hAnsi="宋体" w:eastAsia="宋体"/>
          <w:bCs/>
          <w:color w:val="auto"/>
          <w:sz w:val="24"/>
          <w:highlight w:val="none"/>
          <w:u w:val="single"/>
        </w:rPr>
        <w:t xml:space="preserve"> </w:t>
      </w:r>
      <w:r>
        <w:rPr>
          <w:rFonts w:hint="eastAsia" w:ascii="宋体" w:hAnsi="宋体" w:eastAsia="宋体"/>
          <w:bCs/>
          <w:color w:val="auto"/>
          <w:sz w:val="24"/>
          <w:highlight w:val="none"/>
        </w:rPr>
        <w:t>月</w:t>
      </w:r>
      <w:r>
        <w:rPr>
          <w:rFonts w:hint="eastAsia" w:ascii="宋体" w:hAnsi="宋体" w:eastAsia="宋体"/>
          <w:bCs/>
          <w:color w:val="auto"/>
          <w:sz w:val="24"/>
          <w:highlight w:val="none"/>
          <w:u w:val="single"/>
        </w:rPr>
        <w:t xml:space="preserve">  </w:t>
      </w:r>
      <w:r>
        <w:rPr>
          <w:rFonts w:ascii="宋体" w:hAnsi="宋体" w:eastAsia="宋体"/>
          <w:bCs/>
          <w:color w:val="auto"/>
          <w:sz w:val="24"/>
          <w:highlight w:val="none"/>
          <w:u w:val="single"/>
        </w:rPr>
        <w:t xml:space="preserve"> </w:t>
      </w:r>
      <w:r>
        <w:rPr>
          <w:rFonts w:hint="eastAsia" w:ascii="宋体" w:hAnsi="宋体" w:eastAsia="宋体"/>
          <w:bCs/>
          <w:color w:val="auto"/>
          <w:sz w:val="24"/>
          <w:highlight w:val="none"/>
          <w:u w:val="single"/>
        </w:rPr>
        <w:t xml:space="preserve"> </w:t>
      </w:r>
      <w:r>
        <w:rPr>
          <w:rFonts w:hint="eastAsia" w:ascii="宋体" w:hAnsi="宋体" w:eastAsia="宋体"/>
          <w:bCs/>
          <w:color w:val="auto"/>
          <w:sz w:val="24"/>
          <w:highlight w:val="none"/>
        </w:rPr>
        <w:t>日               时间：</w:t>
      </w:r>
      <w:r>
        <w:rPr>
          <w:rFonts w:hint="eastAsia" w:ascii="宋体" w:hAnsi="宋体" w:eastAsia="宋体"/>
          <w:bCs/>
          <w:color w:val="auto"/>
          <w:sz w:val="24"/>
          <w:highlight w:val="none"/>
          <w:u w:val="single"/>
        </w:rPr>
        <w:t xml:space="preserve">  </w:t>
      </w:r>
      <w:r>
        <w:rPr>
          <w:rFonts w:ascii="宋体" w:hAnsi="宋体" w:eastAsia="宋体"/>
          <w:bCs/>
          <w:color w:val="auto"/>
          <w:sz w:val="24"/>
          <w:highlight w:val="none"/>
          <w:u w:val="single"/>
        </w:rPr>
        <w:t xml:space="preserve">  </w:t>
      </w:r>
      <w:r>
        <w:rPr>
          <w:rFonts w:hint="eastAsia" w:ascii="宋体" w:hAnsi="宋体" w:eastAsia="宋体"/>
          <w:bCs/>
          <w:color w:val="auto"/>
          <w:sz w:val="24"/>
          <w:highlight w:val="none"/>
          <w:u w:val="single"/>
        </w:rPr>
        <w:t xml:space="preserve">  </w:t>
      </w:r>
      <w:r>
        <w:rPr>
          <w:rFonts w:hint="eastAsia" w:ascii="宋体" w:hAnsi="宋体" w:eastAsia="宋体"/>
          <w:bCs/>
          <w:color w:val="auto"/>
          <w:sz w:val="24"/>
          <w:highlight w:val="none"/>
        </w:rPr>
        <w:t>年</w:t>
      </w:r>
      <w:r>
        <w:rPr>
          <w:rFonts w:hint="eastAsia" w:ascii="宋体" w:hAnsi="宋体" w:eastAsia="宋体"/>
          <w:bCs/>
          <w:color w:val="auto"/>
          <w:sz w:val="24"/>
          <w:highlight w:val="none"/>
          <w:u w:val="single"/>
        </w:rPr>
        <w:t xml:space="preserve">  </w:t>
      </w:r>
      <w:r>
        <w:rPr>
          <w:rFonts w:ascii="宋体" w:hAnsi="宋体" w:eastAsia="宋体"/>
          <w:bCs/>
          <w:color w:val="auto"/>
          <w:sz w:val="24"/>
          <w:highlight w:val="none"/>
          <w:u w:val="single"/>
        </w:rPr>
        <w:t xml:space="preserve"> </w:t>
      </w:r>
      <w:r>
        <w:rPr>
          <w:rFonts w:hint="eastAsia" w:ascii="宋体" w:hAnsi="宋体" w:eastAsia="宋体"/>
          <w:bCs/>
          <w:color w:val="auto"/>
          <w:sz w:val="24"/>
          <w:highlight w:val="none"/>
          <w:u w:val="single"/>
        </w:rPr>
        <w:t xml:space="preserve"> </w:t>
      </w:r>
      <w:r>
        <w:rPr>
          <w:rFonts w:hint="eastAsia" w:ascii="宋体" w:hAnsi="宋体" w:eastAsia="宋体"/>
          <w:bCs/>
          <w:color w:val="auto"/>
          <w:sz w:val="24"/>
          <w:highlight w:val="none"/>
        </w:rPr>
        <w:t>月</w:t>
      </w:r>
      <w:r>
        <w:rPr>
          <w:rFonts w:hint="eastAsia" w:ascii="宋体" w:hAnsi="宋体" w:eastAsia="宋体"/>
          <w:bCs/>
          <w:color w:val="auto"/>
          <w:sz w:val="24"/>
          <w:highlight w:val="none"/>
          <w:u w:val="single"/>
        </w:rPr>
        <w:t xml:space="preserve"> </w:t>
      </w:r>
      <w:r>
        <w:rPr>
          <w:rFonts w:ascii="宋体" w:hAnsi="宋体" w:eastAsia="宋体"/>
          <w:bCs/>
          <w:color w:val="auto"/>
          <w:sz w:val="24"/>
          <w:highlight w:val="none"/>
          <w:u w:val="single"/>
        </w:rPr>
        <w:t xml:space="preserve"> </w:t>
      </w:r>
      <w:r>
        <w:rPr>
          <w:rFonts w:hint="eastAsia" w:ascii="宋体" w:hAnsi="宋体" w:eastAsia="宋体"/>
          <w:bCs/>
          <w:color w:val="auto"/>
          <w:sz w:val="24"/>
          <w:highlight w:val="none"/>
          <w:u w:val="single"/>
        </w:rPr>
        <w:t xml:space="preserve">  </w:t>
      </w:r>
      <w:r>
        <w:rPr>
          <w:rFonts w:hint="eastAsia" w:ascii="宋体" w:hAnsi="宋体" w:eastAsia="宋体"/>
          <w:bCs/>
          <w:color w:val="auto"/>
          <w:sz w:val="24"/>
          <w:highlight w:val="none"/>
        </w:rPr>
        <w:t>日</w:t>
      </w:r>
    </w:p>
    <w:p w14:paraId="72E30FB0">
      <w:pPr>
        <w:keepNext w:val="0"/>
        <w:keepLines w:val="0"/>
        <w:pageBreakBefore w:val="0"/>
        <w:widowControl/>
        <w:kinsoku/>
        <w:wordWrap w:val="0"/>
        <w:overflowPunct/>
        <w:topLinePunct w:val="0"/>
        <w:bidi w:val="0"/>
        <w:spacing w:line="440" w:lineRule="exact"/>
        <w:jc w:val="left"/>
        <w:textAlignment w:val="auto"/>
        <w:rPr>
          <w:rFonts w:ascii="宋体" w:hAnsi="宋体" w:eastAsia="宋体"/>
          <w:b/>
          <w:color w:val="auto"/>
          <w:sz w:val="24"/>
          <w:highlight w:val="none"/>
        </w:rPr>
      </w:pPr>
      <w:r>
        <w:rPr>
          <w:rFonts w:ascii="宋体" w:hAnsi="宋体" w:eastAsia="宋体"/>
          <w:b/>
          <w:color w:val="auto"/>
          <w:sz w:val="24"/>
          <w:highlight w:val="none"/>
        </w:rPr>
        <w:br w:type="page"/>
      </w:r>
    </w:p>
    <w:p w14:paraId="15A46509">
      <w:pPr>
        <w:keepNext w:val="0"/>
        <w:keepLines w:val="0"/>
        <w:pageBreakBefore w:val="0"/>
        <w:kinsoku/>
        <w:wordWrap w:val="0"/>
        <w:overflowPunct/>
        <w:topLinePunct w:val="0"/>
        <w:bidi w:val="0"/>
        <w:spacing w:line="440" w:lineRule="exact"/>
        <w:jc w:val="center"/>
        <w:textAlignment w:val="auto"/>
        <w:outlineLvl w:val="2"/>
        <w:rPr>
          <w:rFonts w:ascii="宋体" w:hAnsi="宋体" w:eastAsia="宋体"/>
          <w:b/>
          <w:color w:val="auto"/>
          <w:sz w:val="28"/>
          <w:szCs w:val="28"/>
          <w:highlight w:val="none"/>
        </w:rPr>
      </w:pPr>
      <w:r>
        <w:rPr>
          <w:rFonts w:hint="eastAsia" w:ascii="宋体" w:hAnsi="宋体" w:eastAsia="宋体"/>
          <w:b/>
          <w:color w:val="auto"/>
          <w:sz w:val="28"/>
          <w:szCs w:val="28"/>
          <w:highlight w:val="none"/>
        </w:rPr>
        <w:t>第二部分</w:t>
      </w:r>
      <w:r>
        <w:rPr>
          <w:rFonts w:ascii="宋体" w:hAnsi="宋体" w:eastAsia="宋体"/>
          <w:b/>
          <w:color w:val="auto"/>
          <w:sz w:val="28"/>
          <w:szCs w:val="28"/>
          <w:highlight w:val="none"/>
        </w:rPr>
        <w:t xml:space="preserve"> </w:t>
      </w:r>
      <w:r>
        <w:rPr>
          <w:rFonts w:hint="eastAsia" w:ascii="宋体" w:hAnsi="宋体" w:eastAsia="宋体"/>
          <w:b/>
          <w:color w:val="auto"/>
          <w:sz w:val="28"/>
          <w:szCs w:val="28"/>
          <w:highlight w:val="none"/>
        </w:rPr>
        <w:t>合同一般条款</w:t>
      </w:r>
      <w:bookmarkEnd w:id="45"/>
    </w:p>
    <w:p w14:paraId="08A8CFB3">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46" w:name="_Ref467379225"/>
      <w:bookmarkStart w:id="47" w:name="_Toc19614"/>
      <w:bookmarkStart w:id="48" w:name="_Toc28763"/>
      <w:bookmarkStart w:id="49" w:name="_Ref467379101"/>
      <w:bookmarkStart w:id="50" w:name="_Toc259093669"/>
      <w:bookmarkStart w:id="51" w:name="_Ref467379195"/>
      <w:bookmarkStart w:id="52" w:name="_Ref467379094"/>
      <w:bookmarkStart w:id="53" w:name="_Ref467378404"/>
      <w:bookmarkStart w:id="54" w:name="_Ref467378499"/>
      <w:bookmarkStart w:id="55" w:name="_Ref467379109"/>
      <w:bookmarkStart w:id="56" w:name="_Toc16917"/>
      <w:bookmarkStart w:id="57" w:name="_Toc279701240"/>
      <w:bookmarkStart w:id="58" w:name="_Ref467379205"/>
      <w:bookmarkStart w:id="59" w:name="_Ref467378463"/>
      <w:bookmarkStart w:id="60" w:name="_Toc487900349"/>
      <w:bookmarkStart w:id="61" w:name="_Ref467379214"/>
      <w:r>
        <w:rPr>
          <w:rFonts w:hint="eastAsia" w:ascii="宋体" w:hAnsi="宋体" w:eastAsia="宋体"/>
          <w:b/>
          <w:bCs/>
          <w:color w:val="auto"/>
          <w:sz w:val="24"/>
          <w:highlight w:val="none"/>
          <w:lang w:val="zh-CN"/>
        </w:rPr>
        <w:t>2.1</w:t>
      </w:r>
      <w:r>
        <w:rPr>
          <w:rFonts w:ascii="宋体" w:hAnsi="宋体" w:eastAsia="宋体"/>
          <w:b/>
          <w:bCs/>
          <w:color w:val="auto"/>
          <w:sz w:val="24"/>
          <w:highlight w:val="none"/>
          <w:lang w:val="zh-CN"/>
        </w:rPr>
        <w:t xml:space="preserve"> 定义</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14:paraId="136B641E">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本合同中的下列</w:t>
      </w:r>
      <w:r>
        <w:rPr>
          <w:rFonts w:hint="eastAsia" w:ascii="宋体" w:hAnsi="宋体" w:eastAsia="宋体"/>
          <w:color w:val="auto"/>
          <w:sz w:val="24"/>
          <w:highlight w:val="none"/>
        </w:rPr>
        <w:t>词</w:t>
      </w:r>
      <w:r>
        <w:rPr>
          <w:rFonts w:ascii="宋体" w:hAnsi="宋体" w:eastAsia="宋体"/>
          <w:color w:val="auto"/>
          <w:sz w:val="24"/>
          <w:highlight w:val="none"/>
        </w:rPr>
        <w:t>语应</w:t>
      </w:r>
      <w:r>
        <w:rPr>
          <w:rFonts w:hint="eastAsia" w:ascii="宋体" w:hAnsi="宋体" w:eastAsia="宋体"/>
          <w:color w:val="auto"/>
          <w:sz w:val="24"/>
          <w:highlight w:val="none"/>
        </w:rPr>
        <w:t>按以下内容进行</w:t>
      </w:r>
      <w:r>
        <w:rPr>
          <w:rFonts w:ascii="宋体" w:hAnsi="宋体" w:eastAsia="宋体"/>
          <w:color w:val="auto"/>
          <w:sz w:val="24"/>
          <w:highlight w:val="none"/>
        </w:rPr>
        <w:t>解释：</w:t>
      </w:r>
    </w:p>
    <w:p w14:paraId="1539E49C">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.1</w:t>
      </w:r>
      <w:r>
        <w:rPr>
          <w:rFonts w:ascii="宋体" w:hAnsi="宋体" w:eastAsia="宋体"/>
          <w:color w:val="auto"/>
          <w:sz w:val="24"/>
          <w:highlight w:val="none"/>
        </w:rPr>
        <w:t>“合同”系指采购人和成交供应商签订的载明双方当事人所达成的协议，并包括所有的附件、附录和构成合同的其他文件。</w:t>
      </w:r>
    </w:p>
    <w:p w14:paraId="2BCF860B">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1.2“合同价”系指根据合同约定，成交供应商在完全履行合同义务后</w:t>
      </w:r>
      <w:r>
        <w:rPr>
          <w:rFonts w:hint="eastAsia" w:ascii="宋体" w:hAnsi="宋体" w:eastAsia="宋体"/>
          <w:color w:val="auto"/>
          <w:sz w:val="24"/>
          <w:highlight w:val="none"/>
        </w:rPr>
        <w:t>，</w:t>
      </w:r>
      <w:r>
        <w:rPr>
          <w:rFonts w:ascii="宋体" w:hAnsi="宋体" w:eastAsia="宋体"/>
          <w:color w:val="auto"/>
          <w:sz w:val="24"/>
          <w:highlight w:val="none"/>
        </w:rPr>
        <w:t>采购人应支付给成交供应商的价格。</w:t>
      </w:r>
    </w:p>
    <w:p w14:paraId="309AC92E">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1.3“</w:t>
      </w:r>
      <w:r>
        <w:rPr>
          <w:rFonts w:hint="eastAsia" w:ascii="宋体" w:hAnsi="宋体" w:eastAsia="宋体"/>
          <w:color w:val="auto"/>
          <w:sz w:val="24"/>
          <w:highlight w:val="none"/>
        </w:rPr>
        <w:t>服务</w:t>
      </w:r>
      <w:r>
        <w:rPr>
          <w:rFonts w:ascii="宋体" w:hAnsi="宋体" w:eastAsia="宋体"/>
          <w:color w:val="auto"/>
          <w:sz w:val="24"/>
          <w:highlight w:val="none"/>
        </w:rPr>
        <w:t>”系指</w:t>
      </w:r>
      <w:r>
        <w:rPr>
          <w:rFonts w:hint="eastAsia" w:ascii="宋体" w:hAnsi="宋体" w:eastAsia="宋体"/>
          <w:color w:val="auto"/>
          <w:sz w:val="24"/>
          <w:highlight w:val="none"/>
        </w:rPr>
        <w:t>成交供应商</w:t>
      </w:r>
      <w:r>
        <w:rPr>
          <w:rFonts w:ascii="宋体" w:hAnsi="宋体" w:eastAsia="宋体"/>
          <w:color w:val="auto"/>
          <w:sz w:val="24"/>
          <w:highlight w:val="none"/>
        </w:rPr>
        <w:t>根据合同约定应向采购人</w:t>
      </w:r>
      <w:r>
        <w:rPr>
          <w:rFonts w:hint="eastAsia" w:ascii="宋体" w:hAnsi="宋体" w:eastAsia="宋体"/>
          <w:color w:val="auto"/>
          <w:sz w:val="24"/>
          <w:highlight w:val="none"/>
        </w:rPr>
        <w:t>履行</w:t>
      </w:r>
      <w:r>
        <w:rPr>
          <w:rFonts w:ascii="宋体" w:hAnsi="宋体" w:eastAsia="宋体"/>
          <w:color w:val="auto"/>
          <w:sz w:val="24"/>
          <w:highlight w:val="none"/>
        </w:rPr>
        <w:t>的</w:t>
      </w:r>
      <w:r>
        <w:rPr>
          <w:rFonts w:hint="eastAsia" w:ascii="宋体" w:hAnsi="宋体" w:eastAsia="宋体"/>
          <w:color w:val="auto"/>
          <w:sz w:val="24"/>
          <w:highlight w:val="none"/>
        </w:rPr>
        <w:t>除货物和工程以外的其他采购对象，包括采购人自身需要的服务和向社会公众提供的公共服务。</w:t>
      </w:r>
    </w:p>
    <w:p w14:paraId="7E25895A">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bookmarkStart w:id="62" w:name="_Ref467378840"/>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4</w:t>
      </w:r>
      <w:r>
        <w:rPr>
          <w:rFonts w:ascii="宋体" w:hAnsi="宋体" w:eastAsia="宋体"/>
          <w:color w:val="auto"/>
          <w:sz w:val="24"/>
          <w:highlight w:val="none"/>
        </w:rPr>
        <w:t>“</w:t>
      </w:r>
      <w:r>
        <w:rPr>
          <w:rFonts w:hint="eastAsia" w:ascii="宋体" w:hAnsi="宋体" w:eastAsia="宋体"/>
          <w:color w:val="auto"/>
          <w:sz w:val="24"/>
          <w:highlight w:val="none"/>
        </w:rPr>
        <w:t>甲方</w:t>
      </w:r>
      <w:r>
        <w:rPr>
          <w:rFonts w:ascii="宋体" w:hAnsi="宋体" w:eastAsia="宋体"/>
          <w:color w:val="auto"/>
          <w:sz w:val="24"/>
          <w:highlight w:val="none"/>
        </w:rPr>
        <w:t>”系指与</w:t>
      </w:r>
      <w:r>
        <w:rPr>
          <w:rFonts w:hint="eastAsia" w:ascii="宋体" w:hAnsi="宋体" w:eastAsia="宋体"/>
          <w:color w:val="auto"/>
          <w:sz w:val="24"/>
          <w:highlight w:val="none"/>
        </w:rPr>
        <w:t>成交供应商</w:t>
      </w:r>
      <w:r>
        <w:rPr>
          <w:rFonts w:ascii="宋体" w:hAnsi="宋体" w:eastAsia="宋体"/>
          <w:color w:val="auto"/>
          <w:sz w:val="24"/>
          <w:highlight w:val="none"/>
        </w:rPr>
        <w:t>签署合同的采购人</w:t>
      </w:r>
      <w:bookmarkEnd w:id="62"/>
      <w:r>
        <w:rPr>
          <w:rFonts w:hint="eastAsia" w:ascii="宋体" w:hAnsi="宋体" w:eastAsia="宋体"/>
          <w:color w:val="auto"/>
          <w:sz w:val="24"/>
          <w:highlight w:val="none"/>
        </w:rPr>
        <w:t>；采购人委托采购代理机构代表其与乙方签订合同的，采购人的授权委托书作为合同附件。</w:t>
      </w:r>
    </w:p>
    <w:p w14:paraId="740625FD">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bookmarkStart w:id="63" w:name="_Ref467379400"/>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5</w:t>
      </w:r>
      <w:r>
        <w:rPr>
          <w:rFonts w:ascii="宋体" w:hAnsi="宋体" w:eastAsia="宋体"/>
          <w:color w:val="auto"/>
          <w:sz w:val="24"/>
          <w:highlight w:val="none"/>
        </w:rPr>
        <w:t>“乙方”系指根据合同约定</w:t>
      </w:r>
      <w:r>
        <w:rPr>
          <w:rFonts w:hint="eastAsia" w:ascii="宋体" w:hAnsi="宋体" w:eastAsia="宋体"/>
          <w:color w:val="auto"/>
          <w:sz w:val="24"/>
          <w:highlight w:val="none"/>
        </w:rPr>
        <w:t>提供服务</w:t>
      </w:r>
      <w:r>
        <w:rPr>
          <w:rFonts w:ascii="宋体" w:hAnsi="宋体" w:eastAsia="宋体"/>
          <w:color w:val="auto"/>
          <w:sz w:val="24"/>
          <w:highlight w:val="none"/>
        </w:rPr>
        <w:t>的成交供应商</w:t>
      </w:r>
      <w:bookmarkEnd w:id="63"/>
      <w:r>
        <w:rPr>
          <w:rFonts w:hint="eastAsia" w:ascii="宋体" w:hAnsi="宋体" w:eastAsia="宋体"/>
          <w:color w:val="auto"/>
          <w:sz w:val="24"/>
          <w:highlight w:val="none"/>
        </w:rPr>
        <w:t>；两个以上的自然人、法人或者其他组织组成一个联合体，以一个供应商的身份共同参加采购的，联合体各方均应为乙方或者与乙方相同地位的合同当事人，并就合同约定的事项对甲方承担连带责任。</w:t>
      </w:r>
    </w:p>
    <w:p w14:paraId="4A843FA0">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bookmarkStart w:id="64" w:name="_Ref467379436"/>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6</w:t>
      </w:r>
      <w:r>
        <w:rPr>
          <w:rFonts w:ascii="宋体" w:hAnsi="宋体" w:eastAsia="宋体"/>
          <w:color w:val="auto"/>
          <w:sz w:val="24"/>
          <w:highlight w:val="none"/>
        </w:rPr>
        <w:t>“现场”系指合同约定</w:t>
      </w:r>
      <w:r>
        <w:rPr>
          <w:rFonts w:hint="eastAsia" w:ascii="宋体" w:hAnsi="宋体" w:eastAsia="宋体"/>
          <w:color w:val="auto"/>
          <w:sz w:val="24"/>
          <w:highlight w:val="none"/>
        </w:rPr>
        <w:t>提供服务</w:t>
      </w:r>
      <w:r>
        <w:rPr>
          <w:rFonts w:ascii="宋体" w:hAnsi="宋体" w:eastAsia="宋体"/>
          <w:color w:val="auto"/>
          <w:sz w:val="24"/>
          <w:highlight w:val="none"/>
        </w:rPr>
        <w:t>的地点。</w:t>
      </w:r>
      <w:bookmarkEnd w:id="64"/>
    </w:p>
    <w:p w14:paraId="5F425D27">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65" w:name="_Toc259093670"/>
      <w:bookmarkStart w:id="66" w:name="_Toc487900350"/>
      <w:bookmarkStart w:id="67" w:name="_Toc32504"/>
      <w:bookmarkStart w:id="68" w:name="_Toc13336"/>
      <w:bookmarkStart w:id="69" w:name="_Toc279701241"/>
      <w:bookmarkStart w:id="70" w:name="_Toc27635"/>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2 技术规范</w:t>
      </w:r>
      <w:bookmarkEnd w:id="65"/>
      <w:bookmarkEnd w:id="66"/>
      <w:bookmarkEnd w:id="67"/>
      <w:bookmarkEnd w:id="68"/>
      <w:bookmarkEnd w:id="69"/>
      <w:bookmarkEnd w:id="70"/>
    </w:p>
    <w:p w14:paraId="3E9D043F">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货物所应遵守的技术规范应与采购文件规定的技术规范和技术规范附件(如果有的话)及其技术规范偏差表(如果被甲方接受的话)相一致</w:t>
      </w:r>
      <w:r>
        <w:rPr>
          <w:rFonts w:hint="eastAsia" w:ascii="宋体" w:hAnsi="宋体" w:eastAsia="宋体"/>
          <w:color w:val="auto"/>
          <w:sz w:val="24"/>
          <w:highlight w:val="none"/>
        </w:rPr>
        <w:t>；</w:t>
      </w:r>
      <w:r>
        <w:rPr>
          <w:rFonts w:ascii="宋体" w:hAnsi="宋体" w:eastAsia="宋体"/>
          <w:color w:val="auto"/>
          <w:sz w:val="24"/>
          <w:highlight w:val="none"/>
        </w:rPr>
        <w:t>如果采购文件中没有技术规范的相应说明，那么应以国家有关部门最新颁布的相应标准</w:t>
      </w:r>
      <w:r>
        <w:rPr>
          <w:rFonts w:hint="eastAsia" w:ascii="宋体" w:hAnsi="宋体" w:eastAsia="宋体"/>
          <w:color w:val="auto"/>
          <w:sz w:val="24"/>
          <w:highlight w:val="none"/>
        </w:rPr>
        <w:t>和</w:t>
      </w:r>
      <w:r>
        <w:rPr>
          <w:rFonts w:ascii="宋体" w:hAnsi="宋体" w:eastAsia="宋体"/>
          <w:color w:val="auto"/>
          <w:sz w:val="24"/>
          <w:highlight w:val="none"/>
        </w:rPr>
        <w:t>规范为准。</w:t>
      </w:r>
    </w:p>
    <w:p w14:paraId="5DE9672F">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71" w:name="_Toc9829"/>
      <w:bookmarkStart w:id="72" w:name="_Toc27853"/>
      <w:bookmarkStart w:id="73" w:name="_Toc487900351"/>
      <w:bookmarkStart w:id="74" w:name="_Toc279701242"/>
      <w:bookmarkStart w:id="75" w:name="_Toc31634"/>
      <w:bookmarkStart w:id="76" w:name="_Toc259093671"/>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3 知识产权</w:t>
      </w:r>
      <w:bookmarkEnd w:id="71"/>
      <w:bookmarkEnd w:id="72"/>
      <w:bookmarkEnd w:id="73"/>
      <w:bookmarkEnd w:id="74"/>
      <w:bookmarkEnd w:id="75"/>
      <w:bookmarkEnd w:id="76"/>
    </w:p>
    <w:p w14:paraId="1407A545">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2.3.1乙</w:t>
      </w:r>
      <w:r>
        <w:rPr>
          <w:rFonts w:ascii="宋体" w:hAnsi="宋体" w:eastAsia="宋体"/>
          <w:color w:val="auto"/>
          <w:sz w:val="24"/>
          <w:highlight w:val="none"/>
        </w:rPr>
        <w:t>方应保证</w:t>
      </w:r>
      <w:r>
        <w:rPr>
          <w:rFonts w:hint="eastAsia" w:ascii="宋体" w:hAnsi="宋体" w:eastAsia="宋体"/>
          <w:color w:val="auto"/>
          <w:sz w:val="24"/>
          <w:highlight w:val="none"/>
        </w:rPr>
        <w:t>其提供的服务</w:t>
      </w:r>
      <w:r>
        <w:rPr>
          <w:rFonts w:ascii="宋体" w:hAnsi="宋体" w:eastAsia="宋体"/>
          <w:color w:val="auto"/>
          <w:sz w:val="24"/>
          <w:highlight w:val="none"/>
        </w:rPr>
        <w:t>不受任何第三方提出的侵犯其著作权、商标权、专利权等知识产权方面的起诉</w:t>
      </w:r>
      <w:r>
        <w:rPr>
          <w:rFonts w:hint="eastAsia" w:ascii="宋体" w:hAnsi="宋体" w:eastAsia="宋体"/>
          <w:color w:val="auto"/>
          <w:sz w:val="24"/>
          <w:highlight w:val="none"/>
        </w:rPr>
        <w:t>；</w:t>
      </w:r>
      <w:r>
        <w:rPr>
          <w:rFonts w:ascii="宋体" w:hAnsi="宋体" w:eastAsia="宋体"/>
          <w:color w:val="auto"/>
          <w:sz w:val="24"/>
          <w:highlight w:val="none"/>
        </w:rPr>
        <w:t>如果任何第三方提出侵权</w:t>
      </w:r>
      <w:r>
        <w:rPr>
          <w:rFonts w:hint="eastAsia" w:ascii="宋体" w:hAnsi="宋体" w:eastAsia="宋体"/>
          <w:color w:val="auto"/>
          <w:sz w:val="24"/>
          <w:highlight w:val="none"/>
        </w:rPr>
        <w:t>指控</w:t>
      </w:r>
      <w:r>
        <w:rPr>
          <w:rFonts w:ascii="宋体" w:hAnsi="宋体" w:eastAsia="宋体"/>
          <w:color w:val="auto"/>
          <w:sz w:val="24"/>
          <w:highlight w:val="none"/>
        </w:rPr>
        <w:t>，那么乙方须与该第三方交涉并承担由此发生的一切责任、费用和赔偿</w:t>
      </w:r>
      <w:r>
        <w:rPr>
          <w:rFonts w:hint="eastAsia" w:ascii="宋体" w:hAnsi="宋体" w:eastAsia="宋体"/>
          <w:color w:val="auto"/>
          <w:sz w:val="24"/>
          <w:highlight w:val="none"/>
        </w:rPr>
        <w:t>；</w:t>
      </w:r>
    </w:p>
    <w:p w14:paraId="62F499BF">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2.3.2具有知识产权的计算机软件等货物的知识产权归属，</w:t>
      </w:r>
      <w:r>
        <w:rPr>
          <w:rFonts w:ascii="宋体" w:hAnsi="宋体" w:eastAsia="宋体"/>
          <w:color w:val="auto"/>
          <w:sz w:val="24"/>
          <w:highlight w:val="none"/>
        </w:rPr>
        <w:t>详见</w:t>
      </w:r>
      <w:r>
        <w:rPr>
          <w:rFonts w:ascii="宋体" w:hAnsi="宋体" w:eastAsia="宋体"/>
          <w:b/>
          <w:i/>
          <w:color w:val="auto"/>
          <w:sz w:val="24"/>
          <w:highlight w:val="none"/>
          <w:u w:val="single"/>
        </w:rPr>
        <w:t>合同专用条款</w:t>
      </w:r>
      <w:r>
        <w:rPr>
          <w:rFonts w:ascii="宋体" w:hAnsi="宋体" w:eastAsia="宋体"/>
          <w:color w:val="auto"/>
          <w:sz w:val="24"/>
          <w:highlight w:val="none"/>
        </w:rPr>
        <w:t>。</w:t>
      </w:r>
    </w:p>
    <w:p w14:paraId="69ACB839">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77" w:name="_Ref467379542"/>
      <w:bookmarkStart w:id="78" w:name="_Toc487900354"/>
      <w:bookmarkStart w:id="79" w:name="_Ref467379536"/>
      <w:bookmarkStart w:id="80" w:name="_Ref467378591"/>
      <w:bookmarkStart w:id="81" w:name="_Ref467378541"/>
      <w:bookmarkStart w:id="82" w:name="_Toc259093674"/>
      <w:bookmarkStart w:id="83" w:name="_Toc279701245"/>
      <w:bookmarkStart w:id="84" w:name="_Ref467379527"/>
      <w:bookmarkStart w:id="85" w:name="_Toc30272"/>
      <w:bookmarkStart w:id="86" w:name="_Toc26182"/>
      <w:bookmarkStart w:id="87" w:name="_Toc19074"/>
      <w:r>
        <w:rPr>
          <w:rFonts w:hint="eastAsia" w:ascii="宋体" w:hAnsi="宋体" w:eastAsia="宋体"/>
          <w:b/>
          <w:bCs/>
          <w:color w:val="auto"/>
          <w:sz w:val="24"/>
          <w:highlight w:val="none"/>
          <w:lang w:val="zh-CN"/>
        </w:rPr>
        <w:t>2.</w:t>
      </w:r>
      <w:bookmarkEnd w:id="77"/>
      <w:bookmarkEnd w:id="78"/>
      <w:bookmarkEnd w:id="79"/>
      <w:bookmarkEnd w:id="80"/>
      <w:bookmarkEnd w:id="81"/>
      <w:bookmarkEnd w:id="82"/>
      <w:bookmarkEnd w:id="83"/>
      <w:bookmarkEnd w:id="84"/>
      <w:r>
        <w:rPr>
          <w:rFonts w:ascii="宋体" w:hAnsi="宋体" w:eastAsia="宋体"/>
          <w:b/>
          <w:bCs/>
          <w:color w:val="auto"/>
          <w:sz w:val="24"/>
          <w:highlight w:val="none"/>
          <w:lang w:val="zh-CN"/>
        </w:rPr>
        <w:t xml:space="preserve">4 </w:t>
      </w:r>
      <w:r>
        <w:rPr>
          <w:rFonts w:hint="eastAsia" w:ascii="宋体" w:hAnsi="宋体" w:eastAsia="宋体"/>
          <w:b/>
          <w:bCs/>
          <w:color w:val="auto"/>
          <w:sz w:val="24"/>
          <w:highlight w:val="none"/>
          <w:lang w:val="zh-CN"/>
        </w:rPr>
        <w:t>履约检查和问题反馈</w:t>
      </w:r>
      <w:bookmarkEnd w:id="85"/>
      <w:bookmarkEnd w:id="86"/>
      <w:bookmarkEnd w:id="87"/>
    </w:p>
    <w:p w14:paraId="600FD600">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bookmarkStart w:id="88" w:name="_Toc186431854"/>
      <w:bookmarkStart w:id="89" w:name="_Ref467379793"/>
      <w:bookmarkStart w:id="90" w:name="_Toc259093676"/>
      <w:bookmarkStart w:id="91" w:name="_Toc279701247"/>
      <w:bookmarkStart w:id="92" w:name="_Toc487900357"/>
      <w:bookmarkStart w:id="93" w:name="_Ref467379807"/>
      <w:r>
        <w:rPr>
          <w:rFonts w:hint="eastAsia" w:ascii="宋体" w:hAnsi="宋体" w:eastAsia="宋体"/>
          <w:color w:val="auto"/>
          <w:sz w:val="24"/>
          <w:highlight w:val="none"/>
        </w:rPr>
        <w:t>2.4</w:t>
      </w:r>
      <w:r>
        <w:rPr>
          <w:rFonts w:ascii="宋体" w:hAnsi="宋体" w:eastAsia="宋体"/>
          <w:color w:val="auto"/>
          <w:sz w:val="24"/>
          <w:highlight w:val="none"/>
        </w:rPr>
        <w:t>.1甲方</w:t>
      </w:r>
      <w:r>
        <w:rPr>
          <w:rFonts w:hint="eastAsia" w:ascii="宋体" w:hAnsi="宋体" w:eastAsia="宋体"/>
          <w:color w:val="auto"/>
          <w:sz w:val="24"/>
          <w:highlight w:val="none"/>
        </w:rPr>
        <w:t>有权</w:t>
      </w:r>
      <w:r>
        <w:rPr>
          <w:rFonts w:ascii="宋体" w:hAnsi="宋体" w:eastAsia="宋体"/>
          <w:color w:val="auto"/>
          <w:sz w:val="24"/>
          <w:highlight w:val="none"/>
        </w:rPr>
        <w:t>在其认为必要时</w:t>
      </w:r>
      <w:r>
        <w:rPr>
          <w:rFonts w:hint="eastAsia" w:ascii="宋体" w:hAnsi="宋体" w:eastAsia="宋体"/>
          <w:color w:val="auto"/>
          <w:sz w:val="24"/>
          <w:highlight w:val="none"/>
        </w:rPr>
        <w:t>，对乙方是否能够按照合同约定提供服务进行履约检查，以确保乙方所提供的服务能够依约满足甲方项目需求，但不得因履约检查妨碍乙方的正常工作，乙方应予积极配合；</w:t>
      </w:r>
    </w:p>
    <w:p w14:paraId="13414855">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4</w:t>
      </w:r>
      <w:r>
        <w:rPr>
          <w:rFonts w:hint="eastAsia" w:ascii="宋体" w:hAnsi="宋体" w:eastAsia="宋体"/>
          <w:color w:val="auto"/>
          <w:sz w:val="24"/>
          <w:highlight w:val="none"/>
        </w:rPr>
        <w:t>.2合同履行期间，甲方有权将履行过程中出现的问题反馈给乙方，双方当事人应以书面形式约定需要完善和改进的内容</w:t>
      </w:r>
      <w:bookmarkEnd w:id="88"/>
      <w:bookmarkStart w:id="94" w:name="_Toc186431855"/>
      <w:r>
        <w:rPr>
          <w:rFonts w:hint="eastAsia" w:ascii="宋体" w:hAnsi="宋体" w:eastAsia="宋体"/>
          <w:color w:val="auto"/>
          <w:sz w:val="24"/>
          <w:highlight w:val="none"/>
        </w:rPr>
        <w:t>。</w:t>
      </w:r>
    </w:p>
    <w:bookmarkEnd w:id="94"/>
    <w:p w14:paraId="004DCAD4">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95" w:name="_Toc7836"/>
      <w:bookmarkStart w:id="96" w:name="_Toc28451"/>
      <w:bookmarkStart w:id="97" w:name="_Toc19219"/>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5</w:t>
      </w:r>
      <w:r>
        <w:rPr>
          <w:rFonts w:hint="eastAsia" w:ascii="宋体" w:hAnsi="宋体" w:eastAsia="宋体"/>
          <w:b/>
          <w:bCs/>
          <w:color w:val="auto"/>
          <w:sz w:val="24"/>
          <w:highlight w:val="none"/>
          <w:lang w:val="zh-CN"/>
        </w:rPr>
        <w:t xml:space="preserve"> </w:t>
      </w:r>
      <w:r>
        <w:rPr>
          <w:rFonts w:ascii="宋体" w:hAnsi="宋体" w:eastAsia="宋体"/>
          <w:b/>
          <w:bCs/>
          <w:color w:val="auto"/>
          <w:sz w:val="24"/>
          <w:highlight w:val="none"/>
          <w:lang w:val="zh-CN"/>
        </w:rPr>
        <w:t>结算方式和付款条件</w:t>
      </w:r>
      <w:bookmarkEnd w:id="89"/>
      <w:bookmarkEnd w:id="90"/>
      <w:bookmarkEnd w:id="91"/>
      <w:bookmarkEnd w:id="92"/>
      <w:bookmarkEnd w:id="93"/>
      <w:bookmarkEnd w:id="95"/>
      <w:bookmarkEnd w:id="96"/>
      <w:bookmarkEnd w:id="97"/>
    </w:p>
    <w:p w14:paraId="56008A6B">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详见</w:t>
      </w:r>
      <w:r>
        <w:rPr>
          <w:rFonts w:ascii="宋体" w:hAnsi="宋体" w:eastAsia="宋体"/>
          <w:b/>
          <w:i/>
          <w:color w:val="auto"/>
          <w:sz w:val="24"/>
          <w:highlight w:val="none"/>
          <w:u w:val="single"/>
        </w:rPr>
        <w:t>合同专用条款</w:t>
      </w:r>
      <w:r>
        <w:rPr>
          <w:rFonts w:ascii="宋体" w:hAnsi="宋体" w:eastAsia="宋体"/>
          <w:color w:val="auto"/>
          <w:sz w:val="24"/>
          <w:highlight w:val="none"/>
        </w:rPr>
        <w:t>。</w:t>
      </w:r>
    </w:p>
    <w:p w14:paraId="727F4B40">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98" w:name="_Ref467379863"/>
      <w:bookmarkStart w:id="99" w:name="_Toc487900358"/>
      <w:bookmarkStart w:id="100" w:name="_Ref467379923"/>
      <w:bookmarkStart w:id="101" w:name="_Toc259093677"/>
      <w:bookmarkStart w:id="102" w:name="_Toc279701248"/>
      <w:bookmarkStart w:id="103" w:name="_Ref467379852"/>
      <w:bookmarkStart w:id="104" w:name="_Toc16110"/>
      <w:bookmarkStart w:id="105" w:name="_Toc774"/>
      <w:bookmarkStart w:id="106" w:name="_Toc3225"/>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6</w:t>
      </w:r>
      <w:r>
        <w:rPr>
          <w:rFonts w:hint="eastAsia" w:ascii="宋体" w:hAnsi="宋体" w:eastAsia="宋体"/>
          <w:b/>
          <w:bCs/>
          <w:color w:val="auto"/>
          <w:sz w:val="24"/>
          <w:highlight w:val="none"/>
          <w:lang w:val="zh-CN"/>
        </w:rPr>
        <w:t xml:space="preserve"> </w:t>
      </w:r>
      <w:r>
        <w:rPr>
          <w:rFonts w:ascii="宋体" w:hAnsi="宋体" w:eastAsia="宋体"/>
          <w:b/>
          <w:bCs/>
          <w:color w:val="auto"/>
          <w:sz w:val="24"/>
          <w:highlight w:val="none"/>
          <w:lang w:val="zh-CN"/>
        </w:rPr>
        <w:t>技术资料</w:t>
      </w:r>
      <w:bookmarkEnd w:id="98"/>
      <w:bookmarkEnd w:id="99"/>
      <w:bookmarkEnd w:id="100"/>
      <w:bookmarkEnd w:id="101"/>
      <w:bookmarkEnd w:id="102"/>
      <w:bookmarkEnd w:id="103"/>
      <w:r>
        <w:rPr>
          <w:rFonts w:ascii="宋体" w:hAnsi="宋体" w:eastAsia="宋体"/>
          <w:b/>
          <w:bCs/>
          <w:color w:val="auto"/>
          <w:sz w:val="24"/>
          <w:highlight w:val="none"/>
          <w:lang w:val="zh-CN"/>
        </w:rPr>
        <w:t>和保密义务</w:t>
      </w:r>
      <w:bookmarkEnd w:id="104"/>
      <w:bookmarkEnd w:id="105"/>
      <w:bookmarkEnd w:id="106"/>
    </w:p>
    <w:p w14:paraId="5BDCE382">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6.1</w:t>
      </w:r>
      <w:r>
        <w:rPr>
          <w:rFonts w:hint="eastAsia" w:ascii="宋体" w:hAnsi="宋体" w:eastAsia="宋体"/>
          <w:color w:val="auto"/>
          <w:sz w:val="24"/>
          <w:highlight w:val="none"/>
        </w:rPr>
        <w:t>乙方有权依据合同约定和项目需要，向甲方了解有关情况，调阅有关资料等，甲方应予积极配合；</w:t>
      </w:r>
    </w:p>
    <w:p w14:paraId="360BF0C0">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6</w:t>
      </w:r>
      <w:r>
        <w:rPr>
          <w:rFonts w:hint="eastAsia" w:ascii="宋体" w:hAnsi="宋体" w:eastAsia="宋体"/>
          <w:color w:val="auto"/>
          <w:sz w:val="24"/>
          <w:highlight w:val="none"/>
        </w:rPr>
        <w:t>.2乙方有义务妥善保管和保护由甲方提供的前款信息和资料等；</w:t>
      </w:r>
    </w:p>
    <w:p w14:paraId="032B9469">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6.</w:t>
      </w:r>
      <w:r>
        <w:rPr>
          <w:rFonts w:hint="eastAsia" w:ascii="宋体" w:hAnsi="宋体" w:eastAsia="宋体"/>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宋体" w:hAnsi="宋体" w:eastAsia="宋体"/>
          <w:color w:val="auto"/>
          <w:sz w:val="24"/>
          <w:highlight w:val="none"/>
        </w:rPr>
        <w:t>技术情报</w:t>
      </w:r>
      <w:r>
        <w:rPr>
          <w:rFonts w:hint="eastAsia" w:ascii="宋体" w:hAnsi="宋体" w:eastAsia="宋体"/>
          <w:color w:val="auto"/>
          <w:sz w:val="24"/>
          <w:highlight w:val="none"/>
        </w:rPr>
        <w:t>、</w:t>
      </w:r>
      <w:r>
        <w:rPr>
          <w:rFonts w:ascii="宋体" w:hAnsi="宋体" w:eastAsia="宋体"/>
          <w:color w:val="auto"/>
          <w:sz w:val="24"/>
          <w:highlight w:val="none"/>
        </w:rPr>
        <w:t>技术资料</w:t>
      </w:r>
      <w:r>
        <w:rPr>
          <w:rFonts w:hint="eastAsia" w:ascii="宋体" w:hAnsi="宋体" w:eastAsia="宋体"/>
          <w:color w:val="auto"/>
          <w:sz w:val="24"/>
          <w:highlight w:val="none"/>
        </w:rPr>
        <w:t>、商业秘密和商业信息等，并采取一切合理和必要措施和方式防止任何第三方接触到对方当事人的上述保密信息和资料。</w:t>
      </w:r>
    </w:p>
    <w:p w14:paraId="6F650C7C">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107" w:name="_Toc7860"/>
      <w:r>
        <w:rPr>
          <w:rFonts w:ascii="宋体" w:hAnsi="宋体" w:eastAsia="宋体"/>
          <w:b/>
          <w:bCs/>
          <w:color w:val="auto"/>
          <w:sz w:val="24"/>
          <w:highlight w:val="none"/>
          <w:lang w:val="zh-CN"/>
        </w:rPr>
        <w:t>2.7 质量保证</w:t>
      </w:r>
      <w:bookmarkEnd w:id="107"/>
    </w:p>
    <w:p w14:paraId="7053F3B9">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7</w:t>
      </w:r>
      <w:r>
        <w:rPr>
          <w:rFonts w:hint="eastAsia" w:ascii="宋体" w:hAnsi="宋体" w:eastAsia="宋体"/>
          <w:color w:val="auto"/>
          <w:sz w:val="24"/>
          <w:highlight w:val="none"/>
        </w:rPr>
        <w:t>.1乙方应建立和完善履行合同的内部质量保证体系，并提供相关内部规章制度给甲方，以便甲方进行监督检查；</w:t>
      </w:r>
    </w:p>
    <w:p w14:paraId="7B3231AA">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7</w:t>
      </w:r>
      <w:r>
        <w:rPr>
          <w:rFonts w:hint="eastAsia" w:ascii="宋体" w:hAnsi="宋体" w:eastAsia="宋体"/>
          <w:color w:val="auto"/>
          <w:sz w:val="24"/>
          <w:highlight w:val="none"/>
        </w:rPr>
        <w:t>.2乙方应保证履行合同的人员数量和素质、软件和硬件设备的配置、场地、环境和设施等满足全面履行合同的要求，并应接受甲方的监督检查。</w:t>
      </w:r>
    </w:p>
    <w:p w14:paraId="60631D46">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bookmarkStart w:id="108" w:name="_Toc22267"/>
      <w:r>
        <w:rPr>
          <w:rFonts w:hint="eastAsia" w:ascii="宋体" w:hAnsi="宋体" w:eastAsia="宋体"/>
          <w:b/>
          <w:color w:val="auto"/>
          <w:sz w:val="24"/>
          <w:highlight w:val="none"/>
        </w:rPr>
        <w:t>2.8 延迟履行</w:t>
      </w:r>
      <w:bookmarkEnd w:id="108"/>
    </w:p>
    <w:p w14:paraId="18210DB2">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在合同履行过程中，如果乙方遇到不能按时</w:t>
      </w:r>
      <w:r>
        <w:rPr>
          <w:rFonts w:hint="eastAsia" w:ascii="宋体" w:hAnsi="宋体" w:eastAsia="宋体"/>
          <w:color w:val="auto"/>
          <w:sz w:val="24"/>
          <w:highlight w:val="none"/>
        </w:rPr>
        <w:t>提供服务</w:t>
      </w:r>
      <w:r>
        <w:rPr>
          <w:rFonts w:ascii="宋体" w:hAnsi="宋体" w:eastAsia="宋体"/>
          <w:color w:val="auto"/>
          <w:sz w:val="24"/>
          <w:highlight w:val="none"/>
        </w:rPr>
        <w:t>的情况，应及时以书面形式将不能按时</w:t>
      </w:r>
      <w:r>
        <w:rPr>
          <w:rFonts w:hint="eastAsia" w:ascii="宋体" w:hAnsi="宋体" w:eastAsia="宋体"/>
          <w:color w:val="auto"/>
          <w:sz w:val="24"/>
          <w:highlight w:val="none"/>
        </w:rPr>
        <w:t>提供服务</w:t>
      </w:r>
      <w:r>
        <w:rPr>
          <w:rFonts w:ascii="宋体" w:hAnsi="宋体" w:eastAsia="宋体"/>
          <w:color w:val="auto"/>
          <w:sz w:val="24"/>
          <w:highlight w:val="none"/>
        </w:rPr>
        <w:t>的理由、预期延误时间通知甲方</w:t>
      </w:r>
      <w:r>
        <w:rPr>
          <w:rFonts w:hint="eastAsia" w:ascii="宋体" w:hAnsi="宋体" w:eastAsia="宋体"/>
          <w:color w:val="auto"/>
          <w:sz w:val="24"/>
          <w:highlight w:val="none"/>
        </w:rPr>
        <w:t>；甲</w:t>
      </w:r>
      <w:r>
        <w:rPr>
          <w:rFonts w:ascii="宋体" w:hAnsi="宋体" w:eastAsia="宋体"/>
          <w:color w:val="auto"/>
          <w:sz w:val="24"/>
          <w:highlight w:val="none"/>
        </w:rPr>
        <w:t>方收到乙方通知后，认为其理由正当的，可以书面形式酌情同意乙方可以延长</w:t>
      </w:r>
      <w:r>
        <w:rPr>
          <w:rFonts w:hint="eastAsia" w:ascii="宋体" w:hAnsi="宋体" w:eastAsia="宋体"/>
          <w:color w:val="auto"/>
          <w:sz w:val="24"/>
          <w:highlight w:val="none"/>
        </w:rPr>
        <w:t>履行</w:t>
      </w:r>
      <w:r>
        <w:rPr>
          <w:rFonts w:ascii="宋体" w:hAnsi="宋体" w:eastAsia="宋体"/>
          <w:color w:val="auto"/>
          <w:sz w:val="24"/>
          <w:highlight w:val="none"/>
        </w:rPr>
        <w:t>的具体时间。</w:t>
      </w:r>
    </w:p>
    <w:p w14:paraId="128127C6">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109" w:name="_Toc7502"/>
      <w:bookmarkStart w:id="110" w:name="_Toc279701254"/>
      <w:bookmarkStart w:id="111" w:name="_Toc487900364"/>
      <w:bookmarkStart w:id="112" w:name="_Toc259093683"/>
      <w:bookmarkStart w:id="113" w:name="_Ref467378121"/>
      <w:r>
        <w:rPr>
          <w:rFonts w:ascii="宋体" w:hAnsi="宋体" w:eastAsia="宋体"/>
          <w:b/>
          <w:bCs/>
          <w:color w:val="auto"/>
          <w:sz w:val="24"/>
          <w:highlight w:val="none"/>
          <w:lang w:val="zh-CN"/>
        </w:rPr>
        <w:t>2.9 合同变更</w:t>
      </w:r>
      <w:bookmarkEnd w:id="109"/>
    </w:p>
    <w:p w14:paraId="5BE5C52C">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9</w:t>
      </w:r>
      <w:r>
        <w:rPr>
          <w:rFonts w:hint="eastAsia" w:ascii="宋体" w:hAnsi="宋体" w:eastAsia="宋体"/>
          <w:color w:val="auto"/>
          <w:sz w:val="24"/>
          <w:highlight w:val="none"/>
        </w:rPr>
        <w:t>.1双方当事人协商一致，可以签订书面补充合同的形式变更合同，但不得违背采购文件确定的事项；</w:t>
      </w:r>
    </w:p>
    <w:p w14:paraId="4892AE11">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9</w:t>
      </w:r>
      <w:r>
        <w:rPr>
          <w:rFonts w:hint="eastAsia" w:ascii="宋体" w:hAnsi="宋体" w:eastAsia="宋体"/>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14" w:name="_Toc487900369"/>
      <w:bookmarkStart w:id="115" w:name="_Toc279701259"/>
      <w:bookmarkStart w:id="116" w:name="_Toc259093688"/>
    </w:p>
    <w:p w14:paraId="4256DAF8">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117" w:name="_Toc10366"/>
      <w:bookmarkStart w:id="118" w:name="_Toc22955"/>
      <w:bookmarkStart w:id="119" w:name="_Toc15237"/>
      <w:r>
        <w:rPr>
          <w:rFonts w:hint="eastAsia" w:ascii="宋体" w:hAnsi="宋体" w:eastAsia="宋体"/>
          <w:b/>
          <w:bCs/>
          <w:color w:val="auto"/>
          <w:sz w:val="24"/>
          <w:highlight w:val="none"/>
          <w:lang w:val="zh-CN"/>
        </w:rPr>
        <w:t>2.1</w:t>
      </w:r>
      <w:r>
        <w:rPr>
          <w:rFonts w:ascii="宋体" w:hAnsi="宋体" w:eastAsia="宋体"/>
          <w:b/>
          <w:bCs/>
          <w:color w:val="auto"/>
          <w:sz w:val="24"/>
          <w:highlight w:val="none"/>
          <w:lang w:val="zh-CN"/>
        </w:rPr>
        <w:t>0</w:t>
      </w:r>
      <w:r>
        <w:rPr>
          <w:rFonts w:hint="eastAsia" w:ascii="宋体" w:hAnsi="宋体" w:eastAsia="宋体"/>
          <w:b/>
          <w:bCs/>
          <w:color w:val="auto"/>
          <w:sz w:val="24"/>
          <w:highlight w:val="none"/>
          <w:lang w:val="zh-CN"/>
        </w:rPr>
        <w:t xml:space="preserve"> </w:t>
      </w:r>
      <w:r>
        <w:rPr>
          <w:rFonts w:ascii="宋体" w:hAnsi="宋体" w:eastAsia="宋体"/>
          <w:b/>
          <w:bCs/>
          <w:color w:val="auto"/>
          <w:sz w:val="24"/>
          <w:highlight w:val="none"/>
          <w:lang w:val="zh-CN"/>
        </w:rPr>
        <w:t>合同转让</w:t>
      </w:r>
      <w:bookmarkEnd w:id="114"/>
      <w:bookmarkEnd w:id="115"/>
      <w:bookmarkEnd w:id="116"/>
      <w:r>
        <w:rPr>
          <w:rFonts w:ascii="宋体" w:hAnsi="宋体" w:eastAsia="宋体"/>
          <w:b/>
          <w:bCs/>
          <w:color w:val="auto"/>
          <w:sz w:val="24"/>
          <w:highlight w:val="none"/>
          <w:lang w:val="zh-CN"/>
        </w:rPr>
        <w:t>和分包</w:t>
      </w:r>
      <w:bookmarkEnd w:id="117"/>
      <w:bookmarkEnd w:id="118"/>
      <w:bookmarkEnd w:id="119"/>
    </w:p>
    <w:p w14:paraId="768D2389">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合同的权利义务依法不</w:t>
      </w:r>
      <w:r>
        <w:rPr>
          <w:rFonts w:hint="eastAsia" w:ascii="宋体" w:hAnsi="宋体" w:eastAsia="宋体"/>
          <w:color w:val="auto"/>
          <w:sz w:val="24"/>
          <w:highlight w:val="none"/>
        </w:rPr>
        <w:t>得</w:t>
      </w:r>
      <w:r>
        <w:rPr>
          <w:rFonts w:ascii="宋体" w:hAnsi="宋体" w:eastAsia="宋体"/>
          <w:color w:val="auto"/>
          <w:sz w:val="24"/>
          <w:highlight w:val="none"/>
        </w:rPr>
        <w:t>转让</w:t>
      </w:r>
      <w:r>
        <w:rPr>
          <w:rFonts w:hint="eastAsia" w:ascii="宋体" w:hAnsi="宋体" w:eastAsia="宋体"/>
          <w:color w:val="auto"/>
          <w:sz w:val="24"/>
          <w:highlight w:val="none"/>
        </w:rPr>
        <w:t>，</w:t>
      </w:r>
      <w:r>
        <w:rPr>
          <w:rFonts w:ascii="宋体" w:hAnsi="宋体" w:eastAsia="宋体"/>
          <w:color w:val="auto"/>
          <w:sz w:val="24"/>
          <w:highlight w:val="none"/>
        </w:rPr>
        <w:t>但经甲方</w:t>
      </w:r>
      <w:r>
        <w:rPr>
          <w:rFonts w:hint="eastAsia" w:ascii="宋体" w:hAnsi="宋体" w:eastAsia="宋体"/>
          <w:color w:val="auto"/>
          <w:sz w:val="24"/>
          <w:highlight w:val="none"/>
        </w:rPr>
        <w:t>同意，乙方可以依法采取分包方式履行合同，即：依法可以</w:t>
      </w:r>
      <w:r>
        <w:rPr>
          <w:rFonts w:ascii="宋体" w:hAnsi="宋体" w:eastAsia="宋体"/>
          <w:color w:val="auto"/>
          <w:sz w:val="24"/>
          <w:highlight w:val="none"/>
        </w:rPr>
        <w:t>将合同项下的部分非主体、非关键性工作分包给他人完成</w:t>
      </w:r>
      <w:r>
        <w:rPr>
          <w:rFonts w:hint="eastAsia" w:ascii="宋体" w:hAnsi="宋体" w:eastAsia="宋体"/>
          <w:color w:val="auto"/>
          <w:sz w:val="24"/>
          <w:highlight w:val="none"/>
        </w:rPr>
        <w:t>，</w:t>
      </w:r>
      <w:r>
        <w:rPr>
          <w:rFonts w:ascii="宋体" w:hAnsi="宋体" w:eastAsia="宋体"/>
          <w:color w:val="auto"/>
          <w:sz w:val="24"/>
          <w:highlight w:val="none"/>
        </w:rPr>
        <w:t>接受分包的人应当具备相应的资格条件，并不得再次分包</w:t>
      </w:r>
      <w:r>
        <w:rPr>
          <w:rFonts w:hint="eastAsia" w:ascii="宋体" w:hAnsi="宋体" w:eastAsia="宋体"/>
          <w:color w:val="auto"/>
          <w:sz w:val="24"/>
          <w:highlight w:val="none"/>
        </w:rPr>
        <w:t>，</w:t>
      </w:r>
      <w:r>
        <w:rPr>
          <w:rFonts w:ascii="宋体" w:hAnsi="宋体" w:eastAsia="宋体"/>
          <w:color w:val="auto"/>
          <w:sz w:val="24"/>
          <w:highlight w:val="none"/>
        </w:rPr>
        <w:t>且乙方应就分包项目向甲方负责</w:t>
      </w:r>
      <w:r>
        <w:rPr>
          <w:rFonts w:hint="eastAsia" w:ascii="宋体" w:hAnsi="宋体" w:eastAsia="宋体"/>
          <w:color w:val="auto"/>
          <w:sz w:val="24"/>
          <w:highlight w:val="none"/>
        </w:rPr>
        <w:t>，</w:t>
      </w:r>
      <w:r>
        <w:rPr>
          <w:rFonts w:ascii="宋体" w:hAnsi="宋体" w:eastAsia="宋体"/>
          <w:color w:val="auto"/>
          <w:sz w:val="24"/>
          <w:highlight w:val="none"/>
        </w:rPr>
        <w:t>并</w:t>
      </w:r>
      <w:r>
        <w:rPr>
          <w:rFonts w:hint="eastAsia" w:ascii="宋体" w:hAnsi="宋体" w:eastAsia="宋体"/>
          <w:color w:val="auto"/>
          <w:sz w:val="24"/>
          <w:highlight w:val="none"/>
        </w:rPr>
        <w:t>与分包供应商就分包项目向甲方承担连带责任。</w:t>
      </w:r>
    </w:p>
    <w:p w14:paraId="163CD5FF">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120" w:name="_Toc16508"/>
      <w:bookmarkStart w:id="121" w:name="_Toc13566"/>
      <w:bookmarkStart w:id="122" w:name="_Toc14066"/>
      <w:r>
        <w:rPr>
          <w:rFonts w:hint="eastAsia" w:ascii="宋体" w:hAnsi="宋体" w:eastAsia="宋体"/>
          <w:b/>
          <w:bCs/>
          <w:color w:val="auto"/>
          <w:sz w:val="24"/>
          <w:highlight w:val="none"/>
          <w:lang w:val="zh-CN"/>
        </w:rPr>
        <w:t>2.1</w:t>
      </w:r>
      <w:r>
        <w:rPr>
          <w:rFonts w:ascii="宋体" w:hAnsi="宋体" w:eastAsia="宋体"/>
          <w:b/>
          <w:bCs/>
          <w:color w:val="auto"/>
          <w:sz w:val="24"/>
          <w:highlight w:val="none"/>
          <w:lang w:val="zh-CN"/>
        </w:rPr>
        <w:t>1 不可抗力</w:t>
      </w:r>
      <w:bookmarkEnd w:id="120"/>
      <w:bookmarkEnd w:id="121"/>
      <w:bookmarkEnd w:id="122"/>
    </w:p>
    <w:p w14:paraId="4AFDA6FA">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2.1</w:t>
      </w:r>
      <w:r>
        <w:rPr>
          <w:rFonts w:ascii="宋体" w:hAnsi="宋体" w:eastAsia="宋体"/>
          <w:color w:val="auto"/>
          <w:sz w:val="24"/>
          <w:highlight w:val="none"/>
        </w:rPr>
        <w:t>1.1如果任何一方遭遇法律规定的不可抗力，致使合同履行受阻时，履行合同的期限应予延长，延长的期限应相当于不可抗力所影响的时间</w:t>
      </w:r>
      <w:r>
        <w:rPr>
          <w:rFonts w:hint="eastAsia" w:ascii="宋体" w:hAnsi="宋体" w:eastAsia="宋体"/>
          <w:color w:val="auto"/>
          <w:sz w:val="24"/>
          <w:highlight w:val="none"/>
        </w:rPr>
        <w:t>；</w:t>
      </w:r>
    </w:p>
    <w:p w14:paraId="021EFAFE">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2.1</w:t>
      </w:r>
      <w:r>
        <w:rPr>
          <w:rFonts w:ascii="宋体" w:hAnsi="宋体" w:eastAsia="宋体"/>
          <w:color w:val="auto"/>
          <w:sz w:val="24"/>
          <w:highlight w:val="none"/>
        </w:rPr>
        <w:t>1</w:t>
      </w:r>
      <w:r>
        <w:rPr>
          <w:rFonts w:hint="eastAsia" w:ascii="宋体" w:hAnsi="宋体" w:eastAsia="宋体"/>
          <w:color w:val="auto"/>
          <w:sz w:val="24"/>
          <w:highlight w:val="none"/>
        </w:rPr>
        <w:t>.2因不可抗力致使不能实现合同目的的，当事人可以解除合同；</w:t>
      </w:r>
    </w:p>
    <w:p w14:paraId="2B8908FF">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2.1</w:t>
      </w:r>
      <w:r>
        <w:rPr>
          <w:rFonts w:ascii="宋体" w:hAnsi="宋体" w:eastAsia="宋体"/>
          <w:color w:val="auto"/>
          <w:sz w:val="24"/>
          <w:highlight w:val="none"/>
        </w:rPr>
        <w:t>1</w:t>
      </w:r>
      <w:r>
        <w:rPr>
          <w:rFonts w:hint="eastAsia" w:ascii="宋体" w:hAnsi="宋体" w:eastAsia="宋体"/>
          <w:color w:val="auto"/>
          <w:sz w:val="24"/>
          <w:highlight w:val="none"/>
        </w:rPr>
        <w:t>.3因</w:t>
      </w:r>
      <w:r>
        <w:rPr>
          <w:rFonts w:ascii="宋体" w:hAnsi="宋体" w:eastAsia="宋体"/>
          <w:color w:val="auto"/>
          <w:sz w:val="24"/>
          <w:highlight w:val="none"/>
        </w:rPr>
        <w:t>不可抗力致使合同有变更必要的，双方当事人应在</w:t>
      </w:r>
      <w:r>
        <w:rPr>
          <w:rFonts w:ascii="宋体" w:hAnsi="宋体" w:eastAsia="宋体"/>
          <w:b/>
          <w:i/>
          <w:color w:val="auto"/>
          <w:sz w:val="24"/>
          <w:highlight w:val="none"/>
          <w:u w:val="single"/>
        </w:rPr>
        <w:t>合同专用条款</w:t>
      </w:r>
      <w:r>
        <w:rPr>
          <w:rFonts w:ascii="宋体" w:hAnsi="宋体" w:eastAsia="宋体"/>
          <w:color w:val="auto"/>
          <w:sz w:val="24"/>
          <w:highlight w:val="none"/>
        </w:rPr>
        <w:t>约定时间内以书面形式变更合同</w:t>
      </w:r>
      <w:r>
        <w:rPr>
          <w:rFonts w:hint="eastAsia" w:ascii="宋体" w:hAnsi="宋体" w:eastAsia="宋体"/>
          <w:color w:val="auto"/>
          <w:sz w:val="24"/>
          <w:highlight w:val="none"/>
        </w:rPr>
        <w:t>；</w:t>
      </w:r>
    </w:p>
    <w:p w14:paraId="1AE88570">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2.1</w:t>
      </w:r>
      <w:r>
        <w:rPr>
          <w:rFonts w:ascii="宋体" w:hAnsi="宋体" w:eastAsia="宋体"/>
          <w:color w:val="auto"/>
          <w:sz w:val="24"/>
          <w:highlight w:val="none"/>
        </w:rPr>
        <w:t>1.</w:t>
      </w:r>
      <w:r>
        <w:rPr>
          <w:rFonts w:hint="eastAsia" w:ascii="宋体" w:hAnsi="宋体" w:eastAsia="宋体"/>
          <w:color w:val="auto"/>
          <w:sz w:val="24"/>
          <w:highlight w:val="none"/>
        </w:rPr>
        <w:t>4</w:t>
      </w:r>
      <w:r>
        <w:rPr>
          <w:rFonts w:ascii="宋体" w:hAnsi="宋体" w:eastAsia="宋体"/>
          <w:color w:val="auto"/>
          <w:sz w:val="24"/>
          <w:highlight w:val="none"/>
        </w:rPr>
        <w:t>受</w:t>
      </w:r>
      <w:r>
        <w:rPr>
          <w:rFonts w:hint="eastAsia" w:ascii="宋体" w:hAnsi="宋体" w:eastAsia="宋体"/>
          <w:color w:val="auto"/>
          <w:sz w:val="24"/>
          <w:highlight w:val="none"/>
        </w:rPr>
        <w:t>不可抗力</w:t>
      </w:r>
      <w:r>
        <w:rPr>
          <w:rFonts w:ascii="宋体" w:hAnsi="宋体" w:eastAsia="宋体"/>
          <w:color w:val="auto"/>
          <w:sz w:val="24"/>
          <w:highlight w:val="none"/>
        </w:rPr>
        <w:t>影响的一方在不可抗力发生后</w:t>
      </w:r>
      <w:r>
        <w:rPr>
          <w:rFonts w:hint="eastAsia" w:ascii="宋体" w:hAnsi="宋体" w:eastAsia="宋体"/>
          <w:color w:val="auto"/>
          <w:sz w:val="24"/>
          <w:highlight w:val="none"/>
        </w:rPr>
        <w:t>，</w:t>
      </w:r>
      <w:r>
        <w:rPr>
          <w:rFonts w:ascii="宋体" w:hAnsi="宋体" w:eastAsia="宋体"/>
          <w:color w:val="auto"/>
          <w:sz w:val="24"/>
          <w:highlight w:val="none"/>
        </w:rPr>
        <w:t>应在</w:t>
      </w:r>
      <w:r>
        <w:rPr>
          <w:rFonts w:ascii="宋体" w:hAnsi="宋体" w:eastAsia="宋体"/>
          <w:b/>
          <w:i/>
          <w:color w:val="auto"/>
          <w:sz w:val="24"/>
          <w:highlight w:val="none"/>
          <w:u w:val="single"/>
        </w:rPr>
        <w:t>合同专用条款</w:t>
      </w:r>
      <w:r>
        <w:rPr>
          <w:rFonts w:ascii="宋体" w:hAnsi="宋体" w:eastAsia="宋体"/>
          <w:color w:val="auto"/>
          <w:sz w:val="24"/>
          <w:highlight w:val="none"/>
        </w:rPr>
        <w:t>约定时间内以书面形式通知</w:t>
      </w:r>
      <w:r>
        <w:rPr>
          <w:rFonts w:hint="eastAsia" w:ascii="宋体" w:hAnsi="宋体" w:eastAsia="宋体"/>
          <w:color w:val="auto"/>
          <w:sz w:val="24"/>
          <w:highlight w:val="none"/>
        </w:rPr>
        <w:t>对</w:t>
      </w:r>
      <w:r>
        <w:rPr>
          <w:rFonts w:ascii="宋体" w:hAnsi="宋体" w:eastAsia="宋体"/>
          <w:color w:val="auto"/>
          <w:sz w:val="24"/>
          <w:highlight w:val="none"/>
        </w:rPr>
        <w:t>方当事人，并在</w:t>
      </w:r>
      <w:r>
        <w:rPr>
          <w:rFonts w:ascii="宋体" w:hAnsi="宋体" w:eastAsia="宋体"/>
          <w:b/>
          <w:i/>
          <w:color w:val="auto"/>
          <w:sz w:val="24"/>
          <w:highlight w:val="none"/>
          <w:u w:val="single"/>
        </w:rPr>
        <w:t>合同专用条款</w:t>
      </w:r>
      <w:r>
        <w:rPr>
          <w:rFonts w:ascii="宋体" w:hAnsi="宋体" w:eastAsia="宋体"/>
          <w:color w:val="auto"/>
          <w:sz w:val="24"/>
          <w:highlight w:val="none"/>
        </w:rPr>
        <w:t>约定时间内，将有关部门出具的证明文件送达</w:t>
      </w:r>
      <w:r>
        <w:rPr>
          <w:rFonts w:hint="eastAsia" w:ascii="宋体" w:hAnsi="宋体" w:eastAsia="宋体"/>
          <w:color w:val="auto"/>
          <w:sz w:val="24"/>
          <w:highlight w:val="none"/>
        </w:rPr>
        <w:t>对方当事人</w:t>
      </w:r>
      <w:r>
        <w:rPr>
          <w:rFonts w:ascii="宋体" w:hAnsi="宋体" w:eastAsia="宋体"/>
          <w:color w:val="auto"/>
          <w:sz w:val="24"/>
          <w:highlight w:val="none"/>
        </w:rPr>
        <w:t>。</w:t>
      </w:r>
    </w:p>
    <w:p w14:paraId="6E6C4619">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123" w:name="_Toc689"/>
      <w:bookmarkStart w:id="124" w:name="_Toc30676"/>
      <w:bookmarkStart w:id="125" w:name="_Toc279701255"/>
      <w:bookmarkStart w:id="126" w:name="_Toc6969"/>
      <w:bookmarkStart w:id="127" w:name="_Toc259093684"/>
      <w:bookmarkStart w:id="128" w:name="_Toc487900365"/>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12</w:t>
      </w:r>
      <w:r>
        <w:rPr>
          <w:rFonts w:hint="eastAsia" w:ascii="宋体" w:hAnsi="宋体" w:eastAsia="宋体"/>
          <w:b/>
          <w:bCs/>
          <w:color w:val="auto"/>
          <w:sz w:val="24"/>
          <w:highlight w:val="none"/>
          <w:lang w:val="zh-CN"/>
        </w:rPr>
        <w:t xml:space="preserve"> </w:t>
      </w:r>
      <w:r>
        <w:rPr>
          <w:rFonts w:ascii="宋体" w:hAnsi="宋体" w:eastAsia="宋体"/>
          <w:b/>
          <w:bCs/>
          <w:color w:val="auto"/>
          <w:sz w:val="24"/>
          <w:highlight w:val="none"/>
          <w:lang w:val="zh-CN"/>
        </w:rPr>
        <w:t>税费</w:t>
      </w:r>
      <w:bookmarkEnd w:id="123"/>
      <w:bookmarkEnd w:id="124"/>
      <w:bookmarkEnd w:id="125"/>
      <w:bookmarkEnd w:id="126"/>
      <w:bookmarkEnd w:id="127"/>
      <w:bookmarkEnd w:id="128"/>
    </w:p>
    <w:p w14:paraId="756A7FF3">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与合同有关的一切税费</w:t>
      </w:r>
      <w:r>
        <w:rPr>
          <w:rFonts w:hint="eastAsia" w:ascii="宋体" w:hAnsi="宋体" w:eastAsia="宋体"/>
          <w:color w:val="auto"/>
          <w:sz w:val="24"/>
          <w:highlight w:val="none"/>
        </w:rPr>
        <w:t>，</w:t>
      </w:r>
      <w:r>
        <w:rPr>
          <w:rFonts w:ascii="宋体" w:hAnsi="宋体" w:eastAsia="宋体"/>
          <w:color w:val="auto"/>
          <w:sz w:val="24"/>
          <w:highlight w:val="none"/>
        </w:rPr>
        <w:t>均按照中华人民共和国法律的相关规定</w:t>
      </w:r>
      <w:r>
        <w:rPr>
          <w:rFonts w:hint="eastAsia" w:ascii="宋体" w:hAnsi="宋体" w:eastAsia="宋体"/>
          <w:color w:val="auto"/>
          <w:sz w:val="24"/>
          <w:highlight w:val="none"/>
        </w:rPr>
        <w:t>缴纳</w:t>
      </w:r>
      <w:r>
        <w:rPr>
          <w:rFonts w:ascii="宋体" w:hAnsi="宋体" w:eastAsia="宋体"/>
          <w:color w:val="auto"/>
          <w:sz w:val="24"/>
          <w:highlight w:val="none"/>
        </w:rPr>
        <w:t>。</w:t>
      </w:r>
    </w:p>
    <w:p w14:paraId="0A49134F">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129" w:name="_Toc487900368"/>
      <w:bookmarkStart w:id="130" w:name="_Toc279701258"/>
      <w:bookmarkStart w:id="131" w:name="_Toc16959"/>
      <w:bookmarkStart w:id="132" w:name="_Toc7102"/>
      <w:bookmarkStart w:id="133" w:name="_Toc259093687"/>
      <w:bookmarkStart w:id="134" w:name="_Toc8298"/>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13</w:t>
      </w:r>
      <w:r>
        <w:rPr>
          <w:rFonts w:hint="eastAsia" w:ascii="宋体" w:hAnsi="宋体" w:eastAsia="宋体"/>
          <w:b/>
          <w:bCs/>
          <w:color w:val="auto"/>
          <w:sz w:val="24"/>
          <w:highlight w:val="none"/>
          <w:lang w:val="zh-CN"/>
        </w:rPr>
        <w:t xml:space="preserve"> </w:t>
      </w:r>
      <w:r>
        <w:rPr>
          <w:rFonts w:ascii="宋体" w:hAnsi="宋体" w:eastAsia="宋体"/>
          <w:b/>
          <w:bCs/>
          <w:color w:val="auto"/>
          <w:sz w:val="24"/>
          <w:highlight w:val="none"/>
          <w:lang w:val="zh-CN"/>
        </w:rPr>
        <w:t>乙方破产</w:t>
      </w:r>
      <w:bookmarkEnd w:id="129"/>
      <w:bookmarkEnd w:id="130"/>
      <w:bookmarkEnd w:id="131"/>
      <w:bookmarkEnd w:id="132"/>
      <w:bookmarkEnd w:id="133"/>
      <w:bookmarkEnd w:id="134"/>
    </w:p>
    <w:p w14:paraId="34F8C2E8">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如果乙方破产导致合同无法履行时，甲方可以书面形式通知乙方终止合同且不给予乙方任何补偿和赔偿</w:t>
      </w:r>
      <w:r>
        <w:rPr>
          <w:rFonts w:hint="eastAsia" w:ascii="宋体" w:hAnsi="宋体" w:eastAsia="宋体"/>
          <w:color w:val="auto"/>
          <w:sz w:val="24"/>
          <w:highlight w:val="none"/>
        </w:rPr>
        <w:t>，但合同的</w:t>
      </w:r>
      <w:r>
        <w:rPr>
          <w:rFonts w:ascii="宋体" w:hAnsi="宋体" w:eastAsia="宋体"/>
          <w:color w:val="auto"/>
          <w:sz w:val="24"/>
          <w:highlight w:val="none"/>
        </w:rPr>
        <w:t>终止不损害或不影响甲方已经采取或将要采取的任何要求乙方支付违约金</w:t>
      </w:r>
      <w:r>
        <w:rPr>
          <w:rFonts w:hint="eastAsia" w:ascii="宋体" w:hAnsi="宋体" w:eastAsia="宋体"/>
          <w:color w:val="auto"/>
          <w:sz w:val="24"/>
          <w:highlight w:val="none"/>
        </w:rPr>
        <w:t>、</w:t>
      </w:r>
      <w:r>
        <w:rPr>
          <w:rFonts w:ascii="宋体" w:hAnsi="宋体" w:eastAsia="宋体"/>
          <w:color w:val="auto"/>
          <w:sz w:val="24"/>
          <w:highlight w:val="none"/>
        </w:rPr>
        <w:t>赔偿损失等的行动或补救措施的权利</w:t>
      </w:r>
      <w:r>
        <w:rPr>
          <w:rFonts w:hint="eastAsia" w:ascii="宋体" w:hAnsi="宋体" w:eastAsia="宋体"/>
          <w:color w:val="auto"/>
          <w:sz w:val="24"/>
          <w:highlight w:val="none"/>
        </w:rPr>
        <w:t>。</w:t>
      </w:r>
    </w:p>
    <w:p w14:paraId="02B28EA1">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bookmarkStart w:id="135" w:name="_Toc15387"/>
      <w:bookmarkStart w:id="136" w:name="_Toc6134"/>
      <w:bookmarkStart w:id="137" w:name="_Toc29333"/>
      <w:r>
        <w:rPr>
          <w:rFonts w:hint="eastAsia" w:ascii="宋体" w:hAnsi="宋体" w:eastAsia="宋体"/>
          <w:b/>
          <w:bCs/>
          <w:color w:val="auto"/>
          <w:sz w:val="24"/>
          <w:highlight w:val="none"/>
          <w:lang w:val="zh-CN"/>
        </w:rPr>
        <w:t>2.1</w:t>
      </w:r>
      <w:r>
        <w:rPr>
          <w:rFonts w:ascii="宋体" w:hAnsi="宋体" w:eastAsia="宋体"/>
          <w:b/>
          <w:bCs/>
          <w:color w:val="auto"/>
          <w:sz w:val="24"/>
          <w:highlight w:val="none"/>
          <w:lang w:val="zh-CN"/>
        </w:rPr>
        <w:t>4</w:t>
      </w:r>
      <w:r>
        <w:rPr>
          <w:rFonts w:hint="eastAsia" w:ascii="宋体" w:hAnsi="宋体" w:eastAsia="宋体"/>
          <w:b/>
          <w:bCs/>
          <w:color w:val="auto"/>
          <w:sz w:val="24"/>
          <w:highlight w:val="none"/>
          <w:lang w:val="zh-CN"/>
        </w:rPr>
        <w:t xml:space="preserve"> 合同中止、终止</w:t>
      </w:r>
      <w:bookmarkEnd w:id="135"/>
      <w:bookmarkEnd w:id="136"/>
      <w:bookmarkEnd w:id="137"/>
    </w:p>
    <w:p w14:paraId="1D6019E1">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2.1</w:t>
      </w:r>
      <w:r>
        <w:rPr>
          <w:rFonts w:ascii="宋体" w:hAnsi="宋体" w:eastAsia="宋体"/>
          <w:color w:val="auto"/>
          <w:sz w:val="24"/>
          <w:highlight w:val="none"/>
        </w:rPr>
        <w:t>4</w:t>
      </w:r>
      <w:r>
        <w:rPr>
          <w:rFonts w:hint="eastAsia" w:ascii="宋体" w:hAnsi="宋体" w:eastAsia="宋体"/>
          <w:color w:val="auto"/>
          <w:sz w:val="24"/>
          <w:highlight w:val="none"/>
        </w:rPr>
        <w:t>.1双方当事人不得擅自中止或者终止合同；</w:t>
      </w:r>
    </w:p>
    <w:p w14:paraId="292DFF6F">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2.1</w:t>
      </w:r>
      <w:r>
        <w:rPr>
          <w:rFonts w:ascii="宋体" w:hAnsi="宋体" w:eastAsia="宋体"/>
          <w:color w:val="auto"/>
          <w:sz w:val="24"/>
          <w:highlight w:val="none"/>
        </w:rPr>
        <w:t>4</w:t>
      </w:r>
      <w:r>
        <w:rPr>
          <w:rFonts w:hint="eastAsia" w:ascii="宋体" w:hAnsi="宋体" w:eastAsia="宋体"/>
          <w:color w:val="auto"/>
          <w:sz w:val="24"/>
          <w:highlight w:val="none"/>
        </w:rPr>
        <w:t>.2合同继续履行将损害国家利益和社会公共利益的，双方当事人应当中止或者终止合同。有过错的一方应当承担赔偿责任，双方当事人都有过错的，各自承担相应的责任。</w:t>
      </w:r>
    </w:p>
    <w:p w14:paraId="75F6C549">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lang w:val="zh-CN"/>
        </w:rPr>
      </w:pPr>
      <w:bookmarkStart w:id="138" w:name="_Toc6596"/>
      <w:bookmarkStart w:id="139" w:name="_Toc1125"/>
      <w:bookmarkStart w:id="140" w:name="_Toc14563"/>
      <w:r>
        <w:rPr>
          <w:rFonts w:hint="eastAsia" w:ascii="宋体" w:hAnsi="宋体" w:eastAsia="宋体"/>
          <w:b/>
          <w:bCs/>
          <w:color w:val="auto"/>
          <w:sz w:val="24"/>
          <w:highlight w:val="none"/>
          <w:lang w:val="zh-CN"/>
        </w:rPr>
        <w:t>2.1</w:t>
      </w:r>
      <w:r>
        <w:rPr>
          <w:rFonts w:ascii="宋体" w:hAnsi="宋体" w:eastAsia="宋体"/>
          <w:b/>
          <w:bCs/>
          <w:color w:val="auto"/>
          <w:sz w:val="24"/>
          <w:highlight w:val="none"/>
          <w:lang w:val="zh-CN"/>
        </w:rPr>
        <w:t>5</w:t>
      </w:r>
      <w:r>
        <w:rPr>
          <w:rFonts w:hint="eastAsia" w:ascii="宋体" w:hAnsi="宋体" w:eastAsia="宋体"/>
          <w:b/>
          <w:bCs/>
          <w:color w:val="auto"/>
          <w:sz w:val="24"/>
          <w:highlight w:val="none"/>
          <w:lang w:val="zh-CN"/>
        </w:rPr>
        <w:t xml:space="preserve"> 检验和验收</w:t>
      </w:r>
      <w:bookmarkEnd w:id="138"/>
      <w:bookmarkEnd w:id="139"/>
      <w:bookmarkEnd w:id="140"/>
    </w:p>
    <w:p w14:paraId="2CF26B66">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5</w:t>
      </w:r>
      <w:r>
        <w:rPr>
          <w:rFonts w:ascii="宋体" w:hAnsi="宋体" w:eastAsia="宋体"/>
          <w:color w:val="auto"/>
          <w:sz w:val="24"/>
          <w:highlight w:val="none"/>
        </w:rPr>
        <w:t>.</w:t>
      </w:r>
      <w:r>
        <w:rPr>
          <w:rFonts w:hint="eastAsia" w:ascii="宋体" w:hAnsi="宋体" w:eastAsia="宋体"/>
          <w:color w:val="auto"/>
          <w:sz w:val="24"/>
          <w:highlight w:val="none"/>
        </w:rPr>
        <w:t>1乙方按照</w:t>
      </w:r>
      <w:r>
        <w:rPr>
          <w:rFonts w:ascii="宋体" w:hAnsi="宋体" w:eastAsia="宋体"/>
          <w:b/>
          <w:i/>
          <w:color w:val="auto"/>
          <w:sz w:val="24"/>
          <w:highlight w:val="none"/>
          <w:u w:val="single"/>
        </w:rPr>
        <w:t>合同专用条款</w:t>
      </w:r>
      <w:r>
        <w:rPr>
          <w:rFonts w:ascii="宋体" w:hAnsi="宋体" w:eastAsia="宋体"/>
          <w:color w:val="auto"/>
          <w:sz w:val="24"/>
          <w:highlight w:val="none"/>
        </w:rPr>
        <w:t>的约定</w:t>
      </w:r>
      <w:r>
        <w:rPr>
          <w:rFonts w:hint="eastAsia" w:ascii="宋体" w:hAnsi="宋体" w:eastAsia="宋体"/>
          <w:color w:val="auto"/>
          <w:sz w:val="24"/>
          <w:highlight w:val="none"/>
        </w:rPr>
        <w:t>，</w:t>
      </w:r>
      <w:r>
        <w:rPr>
          <w:rFonts w:ascii="宋体" w:hAnsi="宋体" w:eastAsia="宋体"/>
          <w:color w:val="auto"/>
          <w:sz w:val="24"/>
          <w:highlight w:val="none"/>
        </w:rPr>
        <w:t>定期提交服务报告</w:t>
      </w:r>
      <w:r>
        <w:rPr>
          <w:rFonts w:hint="eastAsia" w:ascii="宋体" w:hAnsi="宋体" w:eastAsia="宋体"/>
          <w:color w:val="auto"/>
          <w:sz w:val="24"/>
          <w:highlight w:val="none"/>
        </w:rPr>
        <w:t>，甲方按照</w:t>
      </w:r>
      <w:r>
        <w:rPr>
          <w:rFonts w:ascii="宋体" w:hAnsi="宋体" w:eastAsia="宋体"/>
          <w:b/>
          <w:i/>
          <w:color w:val="auto"/>
          <w:sz w:val="24"/>
          <w:highlight w:val="none"/>
          <w:u w:val="single"/>
        </w:rPr>
        <w:t>合同专用条款</w:t>
      </w:r>
      <w:r>
        <w:rPr>
          <w:rFonts w:ascii="宋体" w:hAnsi="宋体" w:eastAsia="宋体"/>
          <w:color w:val="auto"/>
          <w:sz w:val="24"/>
          <w:highlight w:val="none"/>
        </w:rPr>
        <w:t>的约定进行定期验收</w:t>
      </w:r>
      <w:r>
        <w:rPr>
          <w:rFonts w:hint="eastAsia" w:ascii="宋体" w:hAnsi="宋体" w:eastAsia="宋体"/>
          <w:color w:val="auto"/>
          <w:sz w:val="24"/>
          <w:highlight w:val="none"/>
        </w:rPr>
        <w:t>；</w:t>
      </w:r>
    </w:p>
    <w:p w14:paraId="31A57A3C">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2.15.2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506C490C">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2.15.3检验和验收标准、程序等具体内容以及前述验收书的效力详见</w:t>
      </w:r>
      <w:r>
        <w:rPr>
          <w:rFonts w:ascii="宋体" w:hAnsi="宋体" w:eastAsia="宋体"/>
          <w:b/>
          <w:i/>
          <w:color w:val="auto"/>
          <w:sz w:val="24"/>
          <w:highlight w:val="none"/>
          <w:u w:val="single"/>
        </w:rPr>
        <w:t>合同专用条款</w:t>
      </w:r>
      <w:r>
        <w:rPr>
          <w:rFonts w:hint="eastAsia" w:ascii="宋体" w:hAnsi="宋体" w:eastAsia="宋体"/>
          <w:i/>
          <w:color w:val="auto"/>
          <w:sz w:val="24"/>
          <w:highlight w:val="none"/>
        </w:rPr>
        <w:t>。</w:t>
      </w:r>
    </w:p>
    <w:bookmarkEnd w:id="110"/>
    <w:bookmarkEnd w:id="111"/>
    <w:bookmarkEnd w:id="112"/>
    <w:bookmarkEnd w:id="113"/>
    <w:p w14:paraId="2F09CA0C">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bCs/>
          <w:color w:val="auto"/>
          <w:sz w:val="24"/>
          <w:highlight w:val="none"/>
        </w:rPr>
      </w:pPr>
      <w:bookmarkStart w:id="141" w:name="_Toc279701263"/>
      <w:bookmarkStart w:id="142" w:name="_Toc487900373"/>
      <w:bookmarkStart w:id="143" w:name="_Toc259093692"/>
      <w:bookmarkStart w:id="144" w:name="_Toc12773"/>
      <w:bookmarkStart w:id="145" w:name="_Toc18567"/>
      <w:bookmarkStart w:id="146" w:name="_Toc10330"/>
      <w:r>
        <w:rPr>
          <w:rFonts w:hint="eastAsia" w:ascii="宋体" w:hAnsi="宋体" w:eastAsia="宋体"/>
          <w:b/>
          <w:bCs/>
          <w:color w:val="auto"/>
          <w:sz w:val="24"/>
          <w:highlight w:val="none"/>
        </w:rPr>
        <w:t>2.</w:t>
      </w:r>
      <w:r>
        <w:rPr>
          <w:rFonts w:ascii="宋体" w:hAnsi="宋体" w:eastAsia="宋体"/>
          <w:b/>
          <w:bCs/>
          <w:color w:val="auto"/>
          <w:sz w:val="24"/>
          <w:highlight w:val="none"/>
        </w:rPr>
        <w:t>16</w:t>
      </w:r>
      <w:r>
        <w:rPr>
          <w:rFonts w:hint="eastAsia" w:ascii="宋体" w:hAnsi="宋体" w:eastAsia="宋体"/>
          <w:b/>
          <w:bCs/>
          <w:color w:val="auto"/>
          <w:sz w:val="24"/>
          <w:highlight w:val="none"/>
        </w:rPr>
        <w:t xml:space="preserve"> </w:t>
      </w:r>
      <w:r>
        <w:rPr>
          <w:rFonts w:hint="eastAsia" w:ascii="宋体" w:hAnsi="宋体" w:eastAsia="宋体"/>
          <w:b/>
          <w:bCs/>
          <w:color w:val="auto"/>
          <w:sz w:val="24"/>
          <w:highlight w:val="none"/>
          <w:lang w:val="zh-CN"/>
        </w:rPr>
        <w:t>合同使用的文字和</w:t>
      </w:r>
      <w:r>
        <w:rPr>
          <w:rFonts w:ascii="宋体" w:hAnsi="宋体" w:eastAsia="宋体"/>
          <w:b/>
          <w:bCs/>
          <w:color w:val="auto"/>
          <w:sz w:val="24"/>
          <w:highlight w:val="none"/>
          <w:lang w:val="zh-CN"/>
        </w:rPr>
        <w:t>适用的法律</w:t>
      </w:r>
      <w:bookmarkEnd w:id="141"/>
      <w:bookmarkEnd w:id="142"/>
      <w:bookmarkEnd w:id="143"/>
      <w:bookmarkEnd w:id="144"/>
      <w:bookmarkEnd w:id="145"/>
      <w:bookmarkEnd w:id="146"/>
    </w:p>
    <w:p w14:paraId="0B5601D7">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16.1合同使用汉语书就</w:t>
      </w:r>
      <w:r>
        <w:rPr>
          <w:rFonts w:hint="eastAsia" w:ascii="宋体" w:hAnsi="宋体" w:eastAsia="宋体"/>
          <w:color w:val="auto"/>
          <w:sz w:val="24"/>
          <w:highlight w:val="none"/>
        </w:rPr>
        <w:t>、</w:t>
      </w:r>
      <w:r>
        <w:rPr>
          <w:rFonts w:ascii="宋体" w:hAnsi="宋体" w:eastAsia="宋体"/>
          <w:color w:val="auto"/>
          <w:sz w:val="24"/>
          <w:highlight w:val="none"/>
        </w:rPr>
        <w:t>变更和解释</w:t>
      </w:r>
      <w:r>
        <w:rPr>
          <w:rFonts w:hint="eastAsia" w:ascii="宋体" w:hAnsi="宋体" w:eastAsia="宋体"/>
          <w:color w:val="auto"/>
          <w:sz w:val="24"/>
          <w:highlight w:val="none"/>
        </w:rPr>
        <w:t>；</w:t>
      </w:r>
    </w:p>
    <w:p w14:paraId="73B31F38">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16</w:t>
      </w:r>
      <w:r>
        <w:rPr>
          <w:rFonts w:hint="eastAsia" w:ascii="宋体" w:hAnsi="宋体" w:eastAsia="宋体"/>
          <w:color w:val="auto"/>
          <w:sz w:val="24"/>
          <w:highlight w:val="none"/>
        </w:rPr>
        <w:t>.2合同适用</w:t>
      </w:r>
      <w:r>
        <w:rPr>
          <w:rFonts w:ascii="宋体" w:hAnsi="宋体" w:eastAsia="宋体"/>
          <w:color w:val="auto"/>
          <w:sz w:val="24"/>
          <w:highlight w:val="none"/>
        </w:rPr>
        <w:t>中华人民共和国法律。</w:t>
      </w:r>
    </w:p>
    <w:p w14:paraId="7DABBBF2">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bookmarkStart w:id="147" w:name="_Toc279701264"/>
      <w:bookmarkStart w:id="148" w:name="_Toc12004"/>
      <w:bookmarkStart w:id="149" w:name="_Toc3148"/>
      <w:bookmarkStart w:id="150" w:name="_Toc259093693"/>
      <w:bookmarkStart w:id="151" w:name="_Toc16673"/>
      <w:bookmarkStart w:id="152" w:name="_Toc487900374"/>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17</w:t>
      </w:r>
      <w:r>
        <w:rPr>
          <w:rFonts w:hint="eastAsia" w:ascii="宋体" w:hAnsi="宋体" w:eastAsia="宋体"/>
          <w:b/>
          <w:bCs/>
          <w:color w:val="auto"/>
          <w:sz w:val="24"/>
          <w:highlight w:val="none"/>
          <w:lang w:val="zh-CN"/>
        </w:rPr>
        <w:t xml:space="preserve"> </w:t>
      </w:r>
      <w:r>
        <w:rPr>
          <w:rFonts w:ascii="宋体" w:hAnsi="宋体" w:eastAsia="宋体"/>
          <w:b/>
          <w:bCs/>
          <w:color w:val="auto"/>
          <w:sz w:val="24"/>
          <w:highlight w:val="none"/>
          <w:lang w:val="zh-CN"/>
        </w:rPr>
        <w:t>履约保证金</w:t>
      </w:r>
      <w:bookmarkEnd w:id="147"/>
      <w:bookmarkEnd w:id="148"/>
      <w:bookmarkEnd w:id="149"/>
      <w:bookmarkEnd w:id="150"/>
      <w:bookmarkEnd w:id="151"/>
    </w:p>
    <w:p w14:paraId="520439AA">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17</w:t>
      </w:r>
      <w:r>
        <w:rPr>
          <w:rFonts w:hint="eastAsia" w:ascii="宋体" w:hAnsi="宋体" w:eastAsia="宋体"/>
          <w:color w:val="auto"/>
          <w:sz w:val="24"/>
          <w:highlight w:val="none"/>
        </w:rPr>
        <w:t>.1采购文件要求乙方提交履约保证金的，乙方</w:t>
      </w:r>
      <w:r>
        <w:rPr>
          <w:rFonts w:ascii="宋体" w:hAnsi="宋体" w:eastAsia="宋体"/>
          <w:color w:val="auto"/>
          <w:sz w:val="24"/>
          <w:highlight w:val="none"/>
        </w:rPr>
        <w:t>应按</w:t>
      </w:r>
      <w:r>
        <w:rPr>
          <w:rFonts w:ascii="宋体" w:hAnsi="宋体" w:eastAsia="宋体"/>
          <w:b/>
          <w:i/>
          <w:color w:val="auto"/>
          <w:sz w:val="24"/>
          <w:highlight w:val="none"/>
          <w:u w:val="single"/>
        </w:rPr>
        <w:t>合同专用条款</w:t>
      </w:r>
      <w:r>
        <w:rPr>
          <w:rFonts w:ascii="宋体" w:hAnsi="宋体" w:eastAsia="宋体"/>
          <w:color w:val="auto"/>
          <w:sz w:val="24"/>
          <w:highlight w:val="none"/>
        </w:rPr>
        <w:t>约定的方式</w:t>
      </w:r>
      <w:r>
        <w:rPr>
          <w:rFonts w:hint="eastAsia" w:ascii="宋体" w:hAnsi="宋体" w:eastAsia="宋体"/>
          <w:color w:val="auto"/>
          <w:sz w:val="24"/>
          <w:highlight w:val="none"/>
        </w:rPr>
        <w:t>，以支票、汇票、本票或者金融机构、担保机构出具的保函等非现金形式，提交不超过合同价10%的履约保证金；</w:t>
      </w:r>
    </w:p>
    <w:p w14:paraId="579DF096">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17.2履约保证金在</w:t>
      </w:r>
      <w:r>
        <w:rPr>
          <w:rFonts w:ascii="宋体" w:hAnsi="宋体" w:eastAsia="宋体"/>
          <w:b/>
          <w:i/>
          <w:color w:val="auto"/>
          <w:sz w:val="24"/>
          <w:highlight w:val="none"/>
          <w:u w:val="single"/>
        </w:rPr>
        <w:t>合同专用条款</w:t>
      </w:r>
      <w:r>
        <w:rPr>
          <w:rFonts w:ascii="宋体" w:hAnsi="宋体" w:eastAsia="宋体"/>
          <w:color w:val="auto"/>
          <w:sz w:val="24"/>
          <w:highlight w:val="none"/>
        </w:rPr>
        <w:t>约定期间内不予退还或者应完全有效</w:t>
      </w:r>
      <w:r>
        <w:rPr>
          <w:rFonts w:hint="eastAsia" w:ascii="宋体" w:hAnsi="宋体" w:eastAsia="宋体"/>
          <w:color w:val="auto"/>
          <w:sz w:val="24"/>
          <w:highlight w:val="none"/>
        </w:rPr>
        <w:t>，前述约定期间届满</w:t>
      </w:r>
      <w:r>
        <w:rPr>
          <w:rFonts w:ascii="宋体" w:hAnsi="宋体" w:eastAsia="宋体"/>
          <w:color w:val="auto"/>
          <w:sz w:val="24"/>
          <w:highlight w:val="none"/>
        </w:rPr>
        <w:t>之日起</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个</w:t>
      </w:r>
      <w:r>
        <w:rPr>
          <w:rFonts w:ascii="宋体" w:hAnsi="宋体" w:eastAsia="宋体"/>
          <w:color w:val="auto"/>
          <w:sz w:val="24"/>
          <w:highlight w:val="none"/>
        </w:rPr>
        <w:t>工作日内，甲方应将履约保证金退还乙方</w:t>
      </w:r>
      <w:r>
        <w:rPr>
          <w:rFonts w:hint="eastAsia" w:ascii="宋体" w:hAnsi="宋体" w:eastAsia="宋体"/>
          <w:color w:val="auto"/>
          <w:sz w:val="24"/>
          <w:highlight w:val="none"/>
        </w:rPr>
        <w:t>；</w:t>
      </w:r>
    </w:p>
    <w:p w14:paraId="1FE507F4">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17</w:t>
      </w:r>
      <w:r>
        <w:rPr>
          <w:rFonts w:hint="eastAsia" w:ascii="宋体" w:hAnsi="宋体" w:eastAsia="宋体"/>
          <w:color w:val="auto"/>
          <w:sz w:val="24"/>
          <w:highlight w:val="none"/>
        </w:rPr>
        <w:t>.3</w:t>
      </w:r>
      <w:r>
        <w:rPr>
          <w:rFonts w:ascii="宋体" w:hAnsi="宋体" w:eastAsia="宋体"/>
          <w:color w:val="auto"/>
          <w:sz w:val="24"/>
          <w:highlight w:val="none"/>
        </w:rPr>
        <w:t>如果乙方不履行合同</w:t>
      </w:r>
      <w:r>
        <w:rPr>
          <w:rFonts w:hint="eastAsia" w:ascii="宋体" w:hAnsi="宋体" w:eastAsia="宋体"/>
          <w:color w:val="auto"/>
          <w:sz w:val="24"/>
          <w:highlight w:val="none"/>
        </w:rPr>
        <w:t>，履约保证金不予退还；如果乙方</w:t>
      </w:r>
      <w:r>
        <w:rPr>
          <w:rFonts w:ascii="宋体" w:hAnsi="宋体" w:eastAsia="宋体"/>
          <w:color w:val="auto"/>
          <w:sz w:val="24"/>
          <w:highlight w:val="none"/>
        </w:rPr>
        <w:t>未能按合同</w:t>
      </w:r>
      <w:r>
        <w:rPr>
          <w:rFonts w:hint="eastAsia" w:ascii="宋体" w:hAnsi="宋体" w:eastAsia="宋体"/>
          <w:color w:val="auto"/>
          <w:sz w:val="24"/>
          <w:highlight w:val="none"/>
        </w:rPr>
        <w:t>约</w:t>
      </w:r>
      <w:r>
        <w:rPr>
          <w:rFonts w:ascii="宋体" w:hAnsi="宋体" w:eastAsia="宋体"/>
          <w:color w:val="auto"/>
          <w:sz w:val="24"/>
          <w:highlight w:val="none"/>
        </w:rPr>
        <w:t>定全面履行义务，那么甲方有权从履约保证金中取得补偿或赔偿</w:t>
      </w:r>
      <w:r>
        <w:rPr>
          <w:rFonts w:hint="eastAsia" w:ascii="宋体" w:hAnsi="宋体" w:eastAsia="宋体"/>
          <w:color w:val="auto"/>
          <w:sz w:val="24"/>
          <w:highlight w:val="none"/>
        </w:rPr>
        <w:t>，同时不影响甲方要求乙方承担合同约定的超过履约保证金的违约责任的权利。</w:t>
      </w:r>
    </w:p>
    <w:bookmarkEnd w:id="152"/>
    <w:p w14:paraId="06C8DD0C">
      <w:pPr>
        <w:keepNext w:val="0"/>
        <w:keepLines w:val="0"/>
        <w:pageBreakBefore w:val="0"/>
        <w:kinsoku/>
        <w:wordWrap w:val="0"/>
        <w:overflowPunct/>
        <w:topLinePunct w:val="0"/>
        <w:bidi w:val="0"/>
        <w:spacing w:line="440" w:lineRule="exact"/>
        <w:ind w:firstLine="437"/>
        <w:jc w:val="left"/>
        <w:textAlignment w:val="auto"/>
        <w:outlineLvl w:val="3"/>
        <w:rPr>
          <w:rFonts w:ascii="宋体" w:hAnsi="宋体" w:eastAsia="宋体"/>
          <w:b/>
          <w:color w:val="auto"/>
          <w:sz w:val="24"/>
          <w:highlight w:val="none"/>
        </w:rPr>
      </w:pPr>
      <w:bookmarkStart w:id="153" w:name="_Toc19890"/>
      <w:bookmarkStart w:id="154" w:name="_Toc14001"/>
      <w:bookmarkStart w:id="155" w:name="_Toc6885"/>
      <w:r>
        <w:rPr>
          <w:rFonts w:hint="eastAsia" w:ascii="宋体" w:hAnsi="宋体" w:eastAsia="宋体"/>
          <w:b/>
          <w:bCs/>
          <w:color w:val="auto"/>
          <w:sz w:val="24"/>
          <w:highlight w:val="none"/>
          <w:lang w:val="zh-CN"/>
        </w:rPr>
        <w:t>2.</w:t>
      </w:r>
      <w:r>
        <w:rPr>
          <w:rFonts w:ascii="宋体" w:hAnsi="宋体" w:eastAsia="宋体"/>
          <w:b/>
          <w:bCs/>
          <w:color w:val="auto"/>
          <w:sz w:val="24"/>
          <w:highlight w:val="none"/>
          <w:lang w:val="zh-CN"/>
        </w:rPr>
        <w:t>18</w:t>
      </w:r>
      <w:r>
        <w:rPr>
          <w:rFonts w:hint="eastAsia" w:ascii="宋体" w:hAnsi="宋体" w:eastAsia="宋体"/>
          <w:b/>
          <w:bCs/>
          <w:color w:val="auto"/>
          <w:sz w:val="24"/>
          <w:highlight w:val="none"/>
          <w:lang w:val="zh-CN"/>
        </w:rPr>
        <w:t xml:space="preserve"> 合同份数</w:t>
      </w:r>
      <w:bookmarkEnd w:id="153"/>
      <w:bookmarkEnd w:id="154"/>
      <w:bookmarkEnd w:id="155"/>
    </w:p>
    <w:p w14:paraId="633C0222">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ascii="宋体" w:hAnsi="宋体" w:eastAsia="宋体"/>
          <w:color w:val="auto"/>
          <w:sz w:val="24"/>
          <w:highlight w:val="none"/>
        </w:rPr>
        <w:t>合同份数按</w:t>
      </w:r>
      <w:r>
        <w:rPr>
          <w:rFonts w:ascii="宋体" w:hAnsi="宋体" w:eastAsia="宋体"/>
          <w:b/>
          <w:i/>
          <w:color w:val="auto"/>
          <w:sz w:val="24"/>
          <w:highlight w:val="none"/>
          <w:u w:val="single"/>
        </w:rPr>
        <w:t>合同专用条款</w:t>
      </w:r>
      <w:r>
        <w:rPr>
          <w:rFonts w:ascii="宋体" w:hAnsi="宋体" w:eastAsia="宋体"/>
          <w:color w:val="auto"/>
          <w:sz w:val="24"/>
          <w:highlight w:val="none"/>
        </w:rPr>
        <w:t>规定</w:t>
      </w:r>
      <w:r>
        <w:rPr>
          <w:rFonts w:hint="eastAsia" w:ascii="宋体" w:hAnsi="宋体" w:eastAsia="宋体"/>
          <w:color w:val="auto"/>
          <w:sz w:val="24"/>
          <w:highlight w:val="none"/>
        </w:rPr>
        <w:t>，</w:t>
      </w:r>
      <w:r>
        <w:rPr>
          <w:rFonts w:ascii="宋体" w:hAnsi="宋体" w:eastAsia="宋体"/>
          <w:color w:val="auto"/>
          <w:sz w:val="24"/>
          <w:highlight w:val="none"/>
        </w:rPr>
        <w:t>每份均具有同等法律效力</w:t>
      </w:r>
      <w:r>
        <w:rPr>
          <w:rFonts w:hint="eastAsia" w:ascii="宋体" w:hAnsi="宋体" w:eastAsia="宋体"/>
          <w:color w:val="auto"/>
          <w:sz w:val="24"/>
          <w:highlight w:val="none"/>
        </w:rPr>
        <w:t>。</w:t>
      </w:r>
    </w:p>
    <w:p w14:paraId="2E13E9F2">
      <w:pPr>
        <w:keepNext w:val="0"/>
        <w:keepLines w:val="0"/>
        <w:pageBreakBefore w:val="0"/>
        <w:kinsoku/>
        <w:wordWrap w:val="0"/>
        <w:overflowPunct/>
        <w:topLinePunct w:val="0"/>
        <w:bidi w:val="0"/>
        <w:spacing w:line="440" w:lineRule="exact"/>
        <w:jc w:val="center"/>
        <w:textAlignment w:val="auto"/>
        <w:outlineLvl w:val="2"/>
        <w:rPr>
          <w:rFonts w:ascii="宋体" w:hAnsi="宋体" w:eastAsia="宋体"/>
          <w:b/>
          <w:color w:val="auto"/>
          <w:sz w:val="28"/>
          <w:szCs w:val="28"/>
          <w:highlight w:val="none"/>
        </w:rPr>
      </w:pPr>
      <w:r>
        <w:rPr>
          <w:rFonts w:ascii="宋体" w:hAnsi="宋体" w:eastAsia="宋体"/>
          <w:color w:val="auto"/>
          <w:sz w:val="24"/>
          <w:highlight w:val="none"/>
        </w:rPr>
        <w:br w:type="page"/>
      </w:r>
      <w:bookmarkStart w:id="156" w:name="_Toc331685784"/>
      <w:r>
        <w:rPr>
          <w:rFonts w:hint="eastAsia" w:ascii="宋体" w:hAnsi="宋体" w:eastAsia="宋体"/>
          <w:b/>
          <w:color w:val="auto"/>
          <w:sz w:val="28"/>
          <w:szCs w:val="28"/>
          <w:highlight w:val="none"/>
        </w:rPr>
        <w:t>第三部分</w:t>
      </w:r>
      <w:r>
        <w:rPr>
          <w:rFonts w:ascii="宋体" w:hAnsi="宋体" w:eastAsia="宋体"/>
          <w:b/>
          <w:color w:val="auto"/>
          <w:sz w:val="28"/>
          <w:szCs w:val="28"/>
          <w:highlight w:val="none"/>
        </w:rPr>
        <w:t xml:space="preserve"> </w:t>
      </w:r>
      <w:r>
        <w:rPr>
          <w:rFonts w:hint="eastAsia" w:ascii="宋体" w:hAnsi="宋体" w:eastAsia="宋体"/>
          <w:b/>
          <w:color w:val="auto"/>
          <w:sz w:val="28"/>
          <w:szCs w:val="28"/>
          <w:highlight w:val="none"/>
        </w:rPr>
        <w:t>合同专用条款</w:t>
      </w:r>
      <w:bookmarkEnd w:id="156"/>
    </w:p>
    <w:p w14:paraId="10762430">
      <w:pPr>
        <w:keepNext w:val="0"/>
        <w:keepLines w:val="0"/>
        <w:pageBreakBefore w:val="0"/>
        <w:kinsoku/>
        <w:wordWrap w:val="0"/>
        <w:overflowPunct/>
        <w:topLinePunct w:val="0"/>
        <w:bidi w:val="0"/>
        <w:spacing w:line="440" w:lineRule="exact"/>
        <w:ind w:firstLine="435"/>
        <w:jc w:val="left"/>
        <w:textAlignment w:val="auto"/>
        <w:rPr>
          <w:rFonts w:ascii="宋体" w:hAnsi="宋体" w:eastAsia="宋体"/>
          <w:color w:val="auto"/>
          <w:sz w:val="24"/>
          <w:highlight w:val="none"/>
        </w:rPr>
      </w:pPr>
      <w:r>
        <w:rPr>
          <w:rFonts w:hint="eastAsia" w:ascii="宋体" w:hAnsi="宋体" w:eastAsia="宋体"/>
          <w:color w:val="auto"/>
          <w:sz w:val="24"/>
          <w:highlight w:val="none"/>
        </w:rPr>
        <w:t>本部分</w:t>
      </w:r>
      <w:r>
        <w:rPr>
          <w:rFonts w:ascii="宋体" w:hAnsi="宋体" w:eastAsia="宋体"/>
          <w:color w:val="auto"/>
          <w:sz w:val="24"/>
          <w:highlight w:val="none"/>
        </w:rPr>
        <w:t>是对</w:t>
      </w:r>
      <w:r>
        <w:rPr>
          <w:rFonts w:hint="eastAsia" w:ascii="宋体" w:hAnsi="宋体" w:eastAsia="宋体"/>
          <w:color w:val="auto"/>
          <w:sz w:val="24"/>
          <w:highlight w:val="none"/>
        </w:rPr>
        <w:t>前两</w:t>
      </w:r>
      <w:r>
        <w:rPr>
          <w:rFonts w:ascii="宋体" w:hAnsi="宋体" w:eastAsia="宋体"/>
          <w:color w:val="auto"/>
          <w:sz w:val="24"/>
          <w:highlight w:val="none"/>
        </w:rPr>
        <w:t>部分的补充和修改</w:t>
      </w:r>
      <w:r>
        <w:rPr>
          <w:rFonts w:hint="eastAsia" w:ascii="宋体" w:hAnsi="宋体" w:eastAsia="宋体"/>
          <w:color w:val="auto"/>
          <w:sz w:val="24"/>
          <w:highlight w:val="none"/>
        </w:rPr>
        <w:t>，</w:t>
      </w:r>
      <w:r>
        <w:rPr>
          <w:rFonts w:ascii="宋体" w:hAnsi="宋体" w:eastAsia="宋体"/>
          <w:color w:val="auto"/>
          <w:sz w:val="24"/>
          <w:highlight w:val="none"/>
        </w:rPr>
        <w:t>如果</w:t>
      </w:r>
      <w:r>
        <w:rPr>
          <w:rFonts w:hint="eastAsia" w:ascii="宋体" w:hAnsi="宋体" w:eastAsia="宋体"/>
          <w:color w:val="auto"/>
          <w:sz w:val="24"/>
          <w:highlight w:val="none"/>
        </w:rPr>
        <w:t>前两</w:t>
      </w:r>
      <w:r>
        <w:rPr>
          <w:rFonts w:ascii="宋体" w:hAnsi="宋体" w:eastAsia="宋体"/>
          <w:color w:val="auto"/>
          <w:sz w:val="24"/>
          <w:highlight w:val="none"/>
        </w:rPr>
        <w:t>部分和本部分的约定不一致</w:t>
      </w:r>
      <w:r>
        <w:rPr>
          <w:rFonts w:hint="eastAsia" w:ascii="宋体" w:hAnsi="宋体" w:eastAsia="宋体"/>
          <w:color w:val="auto"/>
          <w:sz w:val="24"/>
          <w:highlight w:val="none"/>
        </w:rPr>
        <w:t>，</w:t>
      </w:r>
      <w:r>
        <w:rPr>
          <w:rFonts w:ascii="宋体" w:hAnsi="宋体" w:eastAsia="宋体"/>
          <w:color w:val="auto"/>
          <w:sz w:val="24"/>
          <w:highlight w:val="none"/>
        </w:rPr>
        <w:t>应以本部分的约定为准</w:t>
      </w:r>
      <w:r>
        <w:rPr>
          <w:rFonts w:hint="eastAsia" w:ascii="宋体" w:hAnsi="宋体" w:eastAsia="宋体"/>
          <w:color w:val="auto"/>
          <w:sz w:val="24"/>
          <w:highlight w:val="none"/>
        </w:rPr>
        <w:t>。</w:t>
      </w:r>
      <w:r>
        <w:rPr>
          <w:rFonts w:ascii="宋体" w:hAnsi="宋体" w:eastAsia="宋体"/>
          <w:color w:val="auto"/>
          <w:sz w:val="24"/>
          <w:highlight w:val="none"/>
        </w:rPr>
        <w:t>本部分的条款号应与</w:t>
      </w:r>
      <w:r>
        <w:rPr>
          <w:rFonts w:hint="eastAsia" w:ascii="宋体" w:hAnsi="宋体" w:eastAsia="宋体"/>
          <w:color w:val="auto"/>
          <w:sz w:val="24"/>
          <w:highlight w:val="none"/>
        </w:rPr>
        <w:t>前两部分</w:t>
      </w:r>
      <w:r>
        <w:rPr>
          <w:rFonts w:ascii="宋体" w:hAnsi="宋体" w:eastAsia="宋体"/>
          <w:color w:val="auto"/>
          <w:sz w:val="24"/>
          <w:highlight w:val="none"/>
        </w:rPr>
        <w:t>的条款号保持对应</w:t>
      </w:r>
      <w:r>
        <w:rPr>
          <w:rFonts w:hint="eastAsia" w:ascii="宋体" w:hAnsi="宋体" w:eastAsia="宋体"/>
          <w:color w:val="auto"/>
          <w:sz w:val="24"/>
          <w:highlight w:val="none"/>
        </w:rPr>
        <w:t>；与前两部分</w:t>
      </w:r>
      <w:r>
        <w:rPr>
          <w:rFonts w:ascii="宋体" w:hAnsi="宋体" w:eastAsia="宋体"/>
          <w:color w:val="auto"/>
          <w:sz w:val="24"/>
          <w:highlight w:val="none"/>
        </w:rPr>
        <w:t>无对应关系的内容可另行编制条款号</w:t>
      </w:r>
      <w:r>
        <w:rPr>
          <w:rFonts w:hint="eastAsia" w:ascii="宋体" w:hAnsi="宋体" w:eastAsia="宋体"/>
          <w:color w:val="auto"/>
          <w:sz w:val="24"/>
          <w:highlight w:val="none"/>
        </w:rPr>
        <w:t>。</w:t>
      </w:r>
    </w:p>
    <w:tbl>
      <w:tblPr>
        <w:tblStyle w:val="2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03"/>
        <w:gridCol w:w="7653"/>
      </w:tblGrid>
      <w:tr w14:paraId="6FADF7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03" w:type="dxa"/>
            <w:tcBorders>
              <w:left w:val="single" w:color="auto" w:sz="4" w:space="0"/>
            </w:tcBorders>
            <w:noWrap w:val="0"/>
            <w:vAlign w:val="center"/>
          </w:tcPr>
          <w:p w14:paraId="26B9AD8F">
            <w:pPr>
              <w:keepNext w:val="0"/>
              <w:keepLines w:val="0"/>
              <w:pageBreakBefore w:val="0"/>
              <w:kinsoku/>
              <w:wordWrap w:val="0"/>
              <w:overflowPunct/>
              <w:topLinePunct w:val="0"/>
              <w:bidi w:val="0"/>
              <w:spacing w:line="440" w:lineRule="exact"/>
              <w:jc w:val="center"/>
              <w:textAlignment w:val="auto"/>
              <w:rPr>
                <w:rFonts w:ascii="宋体" w:hAnsi="宋体" w:eastAsia="宋体"/>
                <w:b/>
                <w:color w:val="auto"/>
                <w:sz w:val="24"/>
                <w:highlight w:val="none"/>
              </w:rPr>
            </w:pPr>
            <w:r>
              <w:rPr>
                <w:rFonts w:ascii="宋体" w:hAnsi="宋体" w:eastAsia="宋体"/>
                <w:b/>
                <w:color w:val="auto"/>
                <w:sz w:val="24"/>
                <w:highlight w:val="none"/>
              </w:rPr>
              <w:t>条款号</w:t>
            </w:r>
          </w:p>
        </w:tc>
        <w:tc>
          <w:tcPr>
            <w:tcW w:w="7653" w:type="dxa"/>
            <w:noWrap w:val="0"/>
            <w:vAlign w:val="center"/>
          </w:tcPr>
          <w:p w14:paraId="375A307A">
            <w:pPr>
              <w:keepNext w:val="0"/>
              <w:keepLines w:val="0"/>
              <w:pageBreakBefore w:val="0"/>
              <w:kinsoku/>
              <w:wordWrap w:val="0"/>
              <w:overflowPunct/>
              <w:topLinePunct w:val="0"/>
              <w:bidi w:val="0"/>
              <w:spacing w:line="440" w:lineRule="exact"/>
              <w:jc w:val="center"/>
              <w:textAlignment w:val="auto"/>
              <w:rPr>
                <w:rFonts w:ascii="宋体" w:hAnsi="宋体" w:eastAsia="宋体"/>
                <w:b/>
                <w:color w:val="auto"/>
                <w:sz w:val="24"/>
                <w:highlight w:val="none"/>
              </w:rPr>
            </w:pPr>
            <w:r>
              <w:rPr>
                <w:rFonts w:ascii="宋体" w:hAnsi="宋体" w:eastAsia="宋体"/>
                <w:b/>
                <w:color w:val="auto"/>
                <w:sz w:val="24"/>
                <w:highlight w:val="none"/>
              </w:rPr>
              <w:t>约定内容</w:t>
            </w:r>
          </w:p>
        </w:tc>
      </w:tr>
      <w:tr w14:paraId="299FCE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03" w:type="dxa"/>
            <w:tcBorders>
              <w:left w:val="single" w:color="auto" w:sz="4" w:space="0"/>
            </w:tcBorders>
            <w:noWrap w:val="0"/>
            <w:vAlign w:val="center"/>
          </w:tcPr>
          <w:p w14:paraId="0D815C4E">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c>
          <w:tcPr>
            <w:tcW w:w="7653" w:type="dxa"/>
            <w:noWrap w:val="0"/>
            <w:vAlign w:val="center"/>
          </w:tcPr>
          <w:p w14:paraId="73307EF7">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r>
      <w:tr w14:paraId="5DCFE9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3" w:type="dxa"/>
            <w:tcBorders>
              <w:left w:val="single" w:color="auto" w:sz="4" w:space="0"/>
            </w:tcBorders>
            <w:noWrap w:val="0"/>
            <w:vAlign w:val="center"/>
          </w:tcPr>
          <w:p w14:paraId="5A6EAF2E">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c>
          <w:tcPr>
            <w:tcW w:w="7653" w:type="dxa"/>
            <w:noWrap w:val="0"/>
            <w:vAlign w:val="center"/>
          </w:tcPr>
          <w:p w14:paraId="64A7A683">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r>
      <w:tr w14:paraId="57A99D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3" w:type="dxa"/>
            <w:tcBorders>
              <w:left w:val="single" w:color="auto" w:sz="4" w:space="0"/>
            </w:tcBorders>
            <w:noWrap w:val="0"/>
            <w:vAlign w:val="center"/>
          </w:tcPr>
          <w:p w14:paraId="1FCD457A">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c>
          <w:tcPr>
            <w:tcW w:w="7653" w:type="dxa"/>
            <w:noWrap w:val="0"/>
            <w:vAlign w:val="center"/>
          </w:tcPr>
          <w:p w14:paraId="0FCADFE2">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r>
      <w:tr w14:paraId="133ADE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3" w:type="dxa"/>
            <w:tcBorders>
              <w:left w:val="single" w:color="auto" w:sz="4" w:space="0"/>
            </w:tcBorders>
            <w:noWrap w:val="0"/>
            <w:vAlign w:val="center"/>
          </w:tcPr>
          <w:p w14:paraId="5476D6A7">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c>
          <w:tcPr>
            <w:tcW w:w="7653" w:type="dxa"/>
            <w:noWrap w:val="0"/>
            <w:vAlign w:val="center"/>
          </w:tcPr>
          <w:p w14:paraId="75D46690">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r>
      <w:tr w14:paraId="776BD0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left w:val="single" w:color="auto" w:sz="4" w:space="0"/>
            </w:tcBorders>
            <w:noWrap w:val="0"/>
            <w:vAlign w:val="center"/>
          </w:tcPr>
          <w:p w14:paraId="1DA00E42">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c>
          <w:tcPr>
            <w:tcW w:w="7653" w:type="dxa"/>
            <w:noWrap w:val="0"/>
            <w:vAlign w:val="center"/>
          </w:tcPr>
          <w:p w14:paraId="094E6ADB">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u w:val="single"/>
              </w:rPr>
            </w:pPr>
          </w:p>
        </w:tc>
      </w:tr>
      <w:tr w14:paraId="3FEDBB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left w:val="single" w:color="auto" w:sz="4" w:space="0"/>
            </w:tcBorders>
            <w:noWrap w:val="0"/>
            <w:vAlign w:val="center"/>
          </w:tcPr>
          <w:p w14:paraId="43BEC322">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c>
          <w:tcPr>
            <w:tcW w:w="7653" w:type="dxa"/>
            <w:noWrap w:val="0"/>
            <w:vAlign w:val="center"/>
          </w:tcPr>
          <w:p w14:paraId="7B79E177">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r>
      <w:tr w14:paraId="7FD8C0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3" w:type="dxa"/>
            <w:tcBorders>
              <w:left w:val="single" w:color="auto" w:sz="4" w:space="0"/>
            </w:tcBorders>
            <w:noWrap w:val="0"/>
            <w:vAlign w:val="center"/>
          </w:tcPr>
          <w:p w14:paraId="38101038">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c>
          <w:tcPr>
            <w:tcW w:w="7653" w:type="dxa"/>
            <w:noWrap w:val="0"/>
            <w:vAlign w:val="center"/>
          </w:tcPr>
          <w:p w14:paraId="24E070F8">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u w:val="single"/>
              </w:rPr>
            </w:pPr>
          </w:p>
        </w:tc>
      </w:tr>
      <w:tr w14:paraId="58A055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left w:val="single" w:color="auto" w:sz="4" w:space="0"/>
            </w:tcBorders>
            <w:noWrap w:val="0"/>
            <w:vAlign w:val="center"/>
          </w:tcPr>
          <w:p w14:paraId="1A7F4192">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c>
          <w:tcPr>
            <w:tcW w:w="7653" w:type="dxa"/>
            <w:noWrap w:val="0"/>
            <w:vAlign w:val="center"/>
          </w:tcPr>
          <w:p w14:paraId="5B816AE5">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r>
      <w:tr w14:paraId="6C0B99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left w:val="single" w:color="auto" w:sz="4" w:space="0"/>
            </w:tcBorders>
            <w:noWrap w:val="0"/>
            <w:vAlign w:val="center"/>
          </w:tcPr>
          <w:p w14:paraId="67BDA6D0">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c>
          <w:tcPr>
            <w:tcW w:w="7653" w:type="dxa"/>
            <w:noWrap w:val="0"/>
            <w:vAlign w:val="center"/>
          </w:tcPr>
          <w:p w14:paraId="29F547AB">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r>
      <w:tr w14:paraId="532D1D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left w:val="single" w:color="auto" w:sz="4" w:space="0"/>
            </w:tcBorders>
            <w:noWrap w:val="0"/>
            <w:vAlign w:val="center"/>
          </w:tcPr>
          <w:p w14:paraId="3FC9C19F">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c>
          <w:tcPr>
            <w:tcW w:w="7653" w:type="dxa"/>
            <w:noWrap w:val="0"/>
            <w:vAlign w:val="center"/>
          </w:tcPr>
          <w:p w14:paraId="0B05C5AE">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r>
      <w:tr w14:paraId="6D79A9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top w:val="single" w:color="auto" w:sz="6" w:space="0"/>
              <w:left w:val="single" w:color="auto" w:sz="4" w:space="0"/>
              <w:bottom w:val="single" w:color="auto" w:sz="6" w:space="0"/>
              <w:right w:val="single" w:color="auto" w:sz="6" w:space="0"/>
            </w:tcBorders>
            <w:noWrap w:val="0"/>
            <w:vAlign w:val="center"/>
          </w:tcPr>
          <w:p w14:paraId="7578CCFA">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c>
          <w:tcPr>
            <w:tcW w:w="7653" w:type="dxa"/>
            <w:tcBorders>
              <w:top w:val="single" w:color="auto" w:sz="6" w:space="0"/>
              <w:left w:val="single" w:color="auto" w:sz="6" w:space="0"/>
              <w:bottom w:val="single" w:color="auto" w:sz="6" w:space="0"/>
              <w:right w:val="single" w:color="auto" w:sz="6" w:space="0"/>
            </w:tcBorders>
            <w:noWrap w:val="0"/>
            <w:vAlign w:val="center"/>
          </w:tcPr>
          <w:p w14:paraId="2233E5DD">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r>
      <w:tr w14:paraId="13E02D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3" w:type="dxa"/>
            <w:tcBorders>
              <w:top w:val="single" w:color="auto" w:sz="6" w:space="0"/>
              <w:left w:val="single" w:color="auto" w:sz="4" w:space="0"/>
              <w:bottom w:val="single" w:color="auto" w:sz="6" w:space="0"/>
              <w:right w:val="single" w:color="auto" w:sz="6" w:space="0"/>
            </w:tcBorders>
            <w:noWrap w:val="0"/>
            <w:vAlign w:val="center"/>
          </w:tcPr>
          <w:p w14:paraId="3196DC1C">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c>
          <w:tcPr>
            <w:tcW w:w="7653" w:type="dxa"/>
            <w:tcBorders>
              <w:top w:val="single" w:color="auto" w:sz="6" w:space="0"/>
              <w:left w:val="single" w:color="auto" w:sz="6" w:space="0"/>
              <w:bottom w:val="single" w:color="auto" w:sz="6" w:space="0"/>
              <w:right w:val="single" w:color="auto" w:sz="6" w:space="0"/>
            </w:tcBorders>
            <w:noWrap w:val="0"/>
            <w:vAlign w:val="center"/>
          </w:tcPr>
          <w:p w14:paraId="128D9332">
            <w:pPr>
              <w:keepNext w:val="0"/>
              <w:keepLines w:val="0"/>
              <w:pageBreakBefore w:val="0"/>
              <w:kinsoku/>
              <w:wordWrap w:val="0"/>
              <w:overflowPunct/>
              <w:topLinePunct w:val="0"/>
              <w:bidi w:val="0"/>
              <w:spacing w:line="440" w:lineRule="exact"/>
              <w:textAlignment w:val="auto"/>
              <w:rPr>
                <w:rFonts w:ascii="宋体" w:hAnsi="宋体" w:eastAsia="宋体"/>
                <w:color w:val="auto"/>
                <w:sz w:val="24"/>
                <w:highlight w:val="none"/>
              </w:rPr>
            </w:pPr>
          </w:p>
        </w:tc>
      </w:tr>
    </w:tbl>
    <w:p w14:paraId="08C1305D">
      <w:pPr>
        <w:keepNext w:val="0"/>
        <w:keepLines w:val="0"/>
        <w:pageBreakBefore w:val="0"/>
        <w:widowControl/>
        <w:kinsoku/>
        <w:wordWrap w:val="0"/>
        <w:overflowPunct/>
        <w:topLinePunct w:val="0"/>
        <w:bidi w:val="0"/>
        <w:spacing w:line="440" w:lineRule="exact"/>
        <w:jc w:val="left"/>
        <w:textAlignment w:val="auto"/>
        <w:rPr>
          <w:rFonts w:ascii="宋体" w:hAnsi="宋体" w:eastAsia="宋体"/>
          <w:color w:val="auto"/>
          <w:sz w:val="24"/>
          <w:highlight w:val="none"/>
        </w:rPr>
      </w:pPr>
      <w:r>
        <w:rPr>
          <w:rFonts w:ascii="宋体" w:hAnsi="宋体" w:eastAsia="宋体"/>
          <w:color w:val="auto"/>
          <w:sz w:val="24"/>
          <w:highlight w:val="none"/>
        </w:rPr>
        <w:br w:type="page"/>
      </w:r>
    </w:p>
    <w:p w14:paraId="2A98130D">
      <w:pPr>
        <w:keepNext w:val="0"/>
        <w:keepLines w:val="0"/>
        <w:pageBreakBefore w:val="0"/>
        <w:kinsoku/>
        <w:wordWrap w:val="0"/>
        <w:overflowPunct/>
        <w:topLinePunct w:val="0"/>
        <w:bidi w:val="0"/>
        <w:spacing w:line="440" w:lineRule="exact"/>
        <w:jc w:val="center"/>
        <w:textAlignment w:val="auto"/>
        <w:outlineLvl w:val="1"/>
        <w:rPr>
          <w:rFonts w:hint="eastAsia" w:ascii="华文中宋" w:hAnsi="华文中宋" w:eastAsia="华文中宋" w:cs="Times New Roman"/>
          <w:b/>
          <w:bCs/>
          <w:color w:val="auto"/>
          <w:kern w:val="44"/>
          <w:sz w:val="44"/>
          <w:szCs w:val="44"/>
          <w:highlight w:val="none"/>
          <w:lang w:val="en-US" w:eastAsia="zh-CN" w:bidi="ar-SA"/>
        </w:rPr>
      </w:pPr>
      <w:bookmarkStart w:id="157" w:name="_Toc6440"/>
      <w:r>
        <w:rPr>
          <w:rFonts w:hint="eastAsia" w:ascii="华文中宋" w:hAnsi="华文中宋" w:eastAsia="华文中宋" w:cs="Times New Roman"/>
          <w:b/>
          <w:bCs/>
          <w:color w:val="auto"/>
          <w:kern w:val="44"/>
          <w:sz w:val="44"/>
          <w:szCs w:val="44"/>
          <w:highlight w:val="none"/>
          <w:lang w:val="en-US" w:eastAsia="zh-CN" w:bidi="ar-SA"/>
        </w:rPr>
        <w:t>第六章  响应文件格式</w:t>
      </w:r>
      <w:bookmarkEnd w:id="157"/>
    </w:p>
    <w:p w14:paraId="01D6CBFA">
      <w:pPr>
        <w:keepNext w:val="0"/>
        <w:keepLines w:val="0"/>
        <w:pageBreakBefore w:val="0"/>
        <w:kinsoku/>
        <w:wordWrap w:val="0"/>
        <w:overflowPunct/>
        <w:topLinePunct w:val="0"/>
        <w:bidi w:val="0"/>
        <w:spacing w:line="440" w:lineRule="exact"/>
        <w:jc w:val="center"/>
        <w:textAlignment w:val="auto"/>
        <w:rPr>
          <w:rFonts w:hint="eastAsia" w:ascii="宋体" w:hAnsi="宋体" w:eastAsia="宋体"/>
          <w:b/>
          <w:color w:val="auto"/>
          <w:sz w:val="28"/>
          <w:szCs w:val="28"/>
          <w:highlight w:val="none"/>
        </w:rPr>
      </w:pPr>
    </w:p>
    <w:p w14:paraId="4535559A">
      <w:pPr>
        <w:spacing w:line="500" w:lineRule="exact"/>
        <w:jc w:val="center"/>
        <w:rPr>
          <w:rFonts w:hint="eastAsia" w:ascii="宋体" w:hAnsi="宋体" w:eastAsia="宋体"/>
          <w:b/>
          <w:color w:val="auto"/>
          <w:sz w:val="32"/>
          <w:highlight w:val="none"/>
          <w:lang w:eastAsia="zh-CN"/>
        </w:rPr>
      </w:pPr>
      <w:r>
        <w:rPr>
          <w:rFonts w:hint="eastAsia" w:ascii="宋体" w:hAnsi="宋体" w:eastAsia="宋体"/>
          <w:b/>
          <w:color w:val="auto"/>
          <w:sz w:val="32"/>
          <w:highlight w:val="none"/>
          <w:lang w:eastAsia="zh-CN"/>
        </w:rPr>
        <w:t>安徽省城镇保障性安居工程委托第三方现场核实评估</w:t>
      </w:r>
    </w:p>
    <w:p w14:paraId="5A86B98D">
      <w:pPr>
        <w:spacing w:line="900" w:lineRule="exact"/>
        <w:jc w:val="center"/>
        <w:rPr>
          <w:rFonts w:ascii="宋体" w:hAnsi="宋体" w:eastAsia="宋体"/>
          <w:b/>
          <w:color w:val="auto"/>
          <w:sz w:val="72"/>
          <w:highlight w:val="none"/>
        </w:rPr>
      </w:pPr>
    </w:p>
    <w:p w14:paraId="30878870">
      <w:pPr>
        <w:spacing w:line="900" w:lineRule="exact"/>
        <w:jc w:val="center"/>
        <w:rPr>
          <w:rFonts w:ascii="宋体" w:hAnsi="宋体" w:eastAsia="宋体"/>
          <w:b/>
          <w:color w:val="auto"/>
          <w:sz w:val="72"/>
          <w:highlight w:val="none"/>
        </w:rPr>
      </w:pPr>
      <w:r>
        <w:rPr>
          <w:rFonts w:hint="eastAsia" w:ascii="宋体" w:hAnsi="宋体" w:eastAsia="宋体"/>
          <w:b/>
          <w:color w:val="auto"/>
          <w:sz w:val="72"/>
          <w:highlight w:val="none"/>
        </w:rPr>
        <w:t>响</w:t>
      </w:r>
    </w:p>
    <w:p w14:paraId="0B076676">
      <w:pPr>
        <w:spacing w:line="900" w:lineRule="exact"/>
        <w:jc w:val="center"/>
        <w:rPr>
          <w:rFonts w:ascii="宋体" w:hAnsi="宋体" w:eastAsia="宋体"/>
          <w:b/>
          <w:color w:val="auto"/>
          <w:sz w:val="72"/>
          <w:highlight w:val="none"/>
        </w:rPr>
      </w:pPr>
    </w:p>
    <w:p w14:paraId="53138A17">
      <w:pPr>
        <w:spacing w:line="900" w:lineRule="exact"/>
        <w:jc w:val="center"/>
        <w:rPr>
          <w:rFonts w:ascii="宋体" w:hAnsi="宋体" w:eastAsia="宋体"/>
          <w:b/>
          <w:color w:val="auto"/>
          <w:sz w:val="72"/>
          <w:highlight w:val="none"/>
        </w:rPr>
      </w:pPr>
      <w:r>
        <w:rPr>
          <w:rFonts w:hint="eastAsia" w:ascii="宋体" w:hAnsi="宋体" w:eastAsia="宋体"/>
          <w:b/>
          <w:color w:val="auto"/>
          <w:sz w:val="72"/>
          <w:highlight w:val="none"/>
        </w:rPr>
        <w:t>应</w:t>
      </w:r>
    </w:p>
    <w:p w14:paraId="61841B86">
      <w:pPr>
        <w:spacing w:line="900" w:lineRule="exact"/>
        <w:jc w:val="center"/>
        <w:rPr>
          <w:rFonts w:ascii="宋体" w:hAnsi="宋体" w:eastAsia="宋体"/>
          <w:b/>
          <w:color w:val="auto"/>
          <w:sz w:val="72"/>
          <w:highlight w:val="none"/>
        </w:rPr>
      </w:pPr>
    </w:p>
    <w:p w14:paraId="7AA51888">
      <w:pPr>
        <w:spacing w:line="900" w:lineRule="exact"/>
        <w:jc w:val="center"/>
        <w:rPr>
          <w:rFonts w:ascii="宋体" w:hAnsi="宋体" w:eastAsia="宋体"/>
          <w:b/>
          <w:color w:val="auto"/>
          <w:sz w:val="72"/>
          <w:highlight w:val="none"/>
        </w:rPr>
      </w:pPr>
      <w:r>
        <w:rPr>
          <w:rFonts w:hint="eastAsia" w:ascii="宋体" w:hAnsi="宋体" w:eastAsia="宋体"/>
          <w:b/>
          <w:color w:val="auto"/>
          <w:sz w:val="72"/>
          <w:highlight w:val="none"/>
        </w:rPr>
        <w:t>文</w:t>
      </w:r>
    </w:p>
    <w:p w14:paraId="14E8B743">
      <w:pPr>
        <w:spacing w:line="900" w:lineRule="exact"/>
        <w:jc w:val="center"/>
        <w:rPr>
          <w:rFonts w:ascii="宋体" w:hAnsi="宋体" w:eastAsia="宋体"/>
          <w:b/>
          <w:color w:val="auto"/>
          <w:sz w:val="72"/>
          <w:highlight w:val="none"/>
        </w:rPr>
      </w:pPr>
    </w:p>
    <w:p w14:paraId="6FA2AA59">
      <w:pPr>
        <w:jc w:val="center"/>
        <w:rPr>
          <w:rFonts w:ascii="宋体" w:hAnsi="宋体" w:eastAsia="宋体"/>
          <w:b/>
          <w:color w:val="auto"/>
          <w:sz w:val="72"/>
          <w:highlight w:val="none"/>
        </w:rPr>
      </w:pPr>
      <w:r>
        <w:rPr>
          <w:rFonts w:hint="eastAsia" w:ascii="宋体" w:hAnsi="宋体" w:eastAsia="宋体"/>
          <w:b/>
          <w:color w:val="auto"/>
          <w:sz w:val="72"/>
          <w:highlight w:val="none"/>
        </w:rPr>
        <w:t>件</w:t>
      </w:r>
    </w:p>
    <w:p w14:paraId="2D1AD614">
      <w:pPr>
        <w:spacing w:before="156" w:beforeLines="50" w:after="156" w:afterLines="50"/>
        <w:rPr>
          <w:rFonts w:ascii="宋体" w:hAnsi="宋体" w:eastAsia="宋体"/>
          <w:b/>
          <w:color w:val="auto"/>
          <w:sz w:val="32"/>
          <w:szCs w:val="32"/>
          <w:highlight w:val="none"/>
        </w:rPr>
      </w:pPr>
    </w:p>
    <w:p w14:paraId="66DCF973">
      <w:pPr>
        <w:spacing w:after="156" w:afterLines="50" w:line="500" w:lineRule="exact"/>
        <w:jc w:val="center"/>
        <w:rPr>
          <w:rFonts w:ascii="宋体" w:hAnsi="宋体" w:eastAsia="宋体"/>
          <w:b/>
          <w:color w:val="auto"/>
          <w:sz w:val="28"/>
          <w:szCs w:val="28"/>
          <w:highlight w:val="none"/>
        </w:rPr>
      </w:pPr>
    </w:p>
    <w:p w14:paraId="2349F69A">
      <w:pPr>
        <w:spacing w:after="156" w:afterLines="50" w:line="500" w:lineRule="exact"/>
        <w:jc w:val="center"/>
        <w:rPr>
          <w:rFonts w:ascii="宋体" w:hAnsi="宋体" w:eastAsia="宋体"/>
          <w:b/>
          <w:color w:val="auto"/>
          <w:sz w:val="72"/>
          <w:highlight w:val="none"/>
        </w:rPr>
      </w:pPr>
    </w:p>
    <w:p w14:paraId="3A987637">
      <w:pPr>
        <w:spacing w:after="156" w:afterLines="50" w:line="500" w:lineRule="exact"/>
        <w:ind w:firstLine="2522" w:firstLineChars="785"/>
        <w:rPr>
          <w:rFonts w:hint="eastAsia" w:ascii="宋体" w:hAnsi="宋体" w:eastAsia="宋体"/>
          <w:b/>
          <w:color w:val="auto"/>
          <w:sz w:val="32"/>
          <w:highlight w:val="none"/>
        </w:rPr>
      </w:pPr>
      <w:r>
        <w:rPr>
          <w:rFonts w:hint="eastAsia" w:ascii="宋体" w:hAnsi="宋体" w:eastAsia="宋体"/>
          <w:b/>
          <w:color w:val="auto"/>
          <w:sz w:val="32"/>
          <w:highlight w:val="none"/>
        </w:rPr>
        <w:t>供应商：</w:t>
      </w:r>
    </w:p>
    <w:p w14:paraId="626372FE">
      <w:pPr>
        <w:spacing w:after="156" w:afterLines="50" w:line="500" w:lineRule="exact"/>
        <w:ind w:firstLine="2522" w:firstLineChars="785"/>
        <w:rPr>
          <w:rFonts w:ascii="宋体" w:hAnsi="宋体" w:eastAsia="宋体"/>
          <w:b/>
          <w:color w:val="auto"/>
          <w:sz w:val="32"/>
          <w:highlight w:val="none"/>
          <w:u w:val="single"/>
        </w:rPr>
      </w:pPr>
      <w:r>
        <w:rPr>
          <w:rFonts w:hint="eastAsia" w:ascii="宋体" w:hAnsi="宋体" w:eastAsia="宋体"/>
          <w:b/>
          <w:color w:val="auto"/>
          <w:sz w:val="32"/>
          <w:highlight w:val="none"/>
          <w:u w:val="single"/>
        </w:rPr>
        <w:t xml:space="preserve">               </w:t>
      </w:r>
    </w:p>
    <w:p w14:paraId="1B2EF30B">
      <w:pPr>
        <w:spacing w:after="156" w:afterLines="50" w:line="500" w:lineRule="exact"/>
        <w:jc w:val="center"/>
        <w:rPr>
          <w:rFonts w:ascii="宋体" w:hAnsi="宋体" w:eastAsia="宋体"/>
          <w:b/>
          <w:color w:val="auto"/>
          <w:sz w:val="32"/>
          <w:highlight w:val="none"/>
        </w:rPr>
      </w:pPr>
      <w:r>
        <w:rPr>
          <w:rFonts w:hint="eastAsia" w:ascii="宋体" w:hAnsi="宋体" w:eastAsia="宋体"/>
          <w:b/>
          <w:color w:val="auto"/>
          <w:sz w:val="32"/>
          <w:highlight w:val="none"/>
          <w:u w:val="single"/>
        </w:rPr>
        <w:t xml:space="preserve">    </w:t>
      </w:r>
      <w:r>
        <w:rPr>
          <w:rFonts w:hint="eastAsia" w:ascii="宋体" w:hAnsi="宋体" w:eastAsia="宋体"/>
          <w:b/>
          <w:color w:val="auto"/>
          <w:sz w:val="32"/>
          <w:highlight w:val="none"/>
        </w:rPr>
        <w:t>年</w:t>
      </w:r>
      <w:r>
        <w:rPr>
          <w:rFonts w:hint="eastAsia" w:ascii="宋体" w:hAnsi="宋体" w:eastAsia="宋体"/>
          <w:b/>
          <w:color w:val="auto"/>
          <w:sz w:val="32"/>
          <w:highlight w:val="none"/>
          <w:u w:val="single"/>
        </w:rPr>
        <w:t xml:space="preserve">  </w:t>
      </w:r>
      <w:r>
        <w:rPr>
          <w:rFonts w:hint="eastAsia" w:ascii="宋体" w:hAnsi="宋体" w:eastAsia="宋体"/>
          <w:b/>
          <w:color w:val="auto"/>
          <w:sz w:val="32"/>
          <w:highlight w:val="none"/>
        </w:rPr>
        <w:t>月</w:t>
      </w:r>
      <w:r>
        <w:rPr>
          <w:rFonts w:hint="eastAsia" w:ascii="宋体" w:hAnsi="宋体" w:eastAsia="宋体"/>
          <w:b/>
          <w:color w:val="auto"/>
          <w:sz w:val="32"/>
          <w:highlight w:val="none"/>
          <w:u w:val="single"/>
        </w:rPr>
        <w:t xml:space="preserve">  </w:t>
      </w:r>
      <w:r>
        <w:rPr>
          <w:rFonts w:hint="eastAsia" w:ascii="宋体" w:hAnsi="宋体" w:eastAsia="宋体"/>
          <w:b/>
          <w:color w:val="auto"/>
          <w:sz w:val="32"/>
          <w:highlight w:val="none"/>
        </w:rPr>
        <w:t>日</w:t>
      </w:r>
    </w:p>
    <w:p w14:paraId="6AA5BD98">
      <w:pPr>
        <w:widowControl/>
        <w:jc w:val="left"/>
        <w:rPr>
          <w:rFonts w:ascii="宋体" w:hAnsi="宋体" w:eastAsia="宋体"/>
          <w:b/>
          <w:color w:val="auto"/>
          <w:sz w:val="28"/>
          <w:highlight w:val="none"/>
        </w:rPr>
      </w:pPr>
      <w:r>
        <w:rPr>
          <w:rFonts w:ascii="宋体" w:hAnsi="宋体" w:eastAsia="宋体"/>
          <w:b/>
          <w:color w:val="auto"/>
          <w:sz w:val="28"/>
          <w:highlight w:val="none"/>
        </w:rPr>
        <w:br w:type="page"/>
      </w:r>
    </w:p>
    <w:p w14:paraId="5E914C92">
      <w:pPr>
        <w:spacing w:line="360" w:lineRule="auto"/>
        <w:jc w:val="center"/>
        <w:outlineLvl w:val="2"/>
        <w:rPr>
          <w:rFonts w:hint="eastAsia" w:ascii="宋体" w:hAnsi="宋体" w:eastAsia="宋体"/>
          <w:b/>
          <w:color w:val="auto"/>
          <w:sz w:val="28"/>
          <w:szCs w:val="28"/>
          <w:highlight w:val="none"/>
        </w:rPr>
      </w:pPr>
      <w:bookmarkStart w:id="158" w:name="_Toc461053086"/>
      <w:bookmarkStart w:id="159" w:name="_Toc461056631"/>
      <w:bookmarkStart w:id="160" w:name="_Toc520983587"/>
      <w:r>
        <w:rPr>
          <w:rFonts w:hint="eastAsia" w:ascii="宋体" w:hAnsi="宋体" w:eastAsia="宋体"/>
          <w:b/>
          <w:color w:val="auto"/>
          <w:sz w:val="28"/>
          <w:szCs w:val="28"/>
          <w:highlight w:val="none"/>
        </w:rPr>
        <w:t>一</w:t>
      </w:r>
      <w:bookmarkEnd w:id="158"/>
      <w:bookmarkEnd w:id="159"/>
      <w:r>
        <w:rPr>
          <w:rFonts w:hint="eastAsia" w:ascii="宋体" w:hAnsi="宋体" w:eastAsia="宋体"/>
          <w:b/>
          <w:color w:val="auto"/>
          <w:sz w:val="28"/>
          <w:szCs w:val="28"/>
          <w:highlight w:val="none"/>
        </w:rPr>
        <w:t>、报价表格式</w:t>
      </w:r>
      <w:bookmarkEnd w:id="160"/>
    </w:p>
    <w:p w14:paraId="129A29E7">
      <w:pPr>
        <w:spacing w:before="156" w:beforeLines="50" w:after="156" w:afterLines="50"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1-1 报价表</w:t>
      </w:r>
    </w:p>
    <w:p w14:paraId="376E5AC1">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eastAsia="zh-CN"/>
        </w:rPr>
        <w:t>安徽省城镇保障性安居工程委托第三方现场核实评估</w:t>
      </w:r>
      <w:r>
        <w:rPr>
          <w:rFonts w:hint="eastAsia" w:ascii="宋体" w:hAnsi="宋体" w:eastAsia="宋体"/>
          <w:b/>
          <w:color w:val="auto"/>
          <w:sz w:val="24"/>
          <w:szCs w:val="28"/>
          <w:highlight w:val="none"/>
          <w:u w:val="single"/>
        </w:rPr>
        <w:t xml:space="preserve"> </w:t>
      </w:r>
    </w:p>
    <w:p w14:paraId="761B0A24">
      <w:pPr>
        <w:snapToGrid w:val="0"/>
        <w:spacing w:after="156" w:afterLines="50" w:line="360" w:lineRule="auto"/>
        <w:jc w:val="left"/>
        <w:rPr>
          <w:rFonts w:ascii="宋体" w:hAnsi="宋体" w:eastAsia="宋体"/>
          <w:b/>
          <w:bCs/>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eastAsia="zh-CN"/>
        </w:rPr>
        <w:t>ZB202504052</w:t>
      </w:r>
      <w:r>
        <w:rPr>
          <w:rFonts w:hint="eastAsia" w:ascii="宋体" w:hAnsi="宋体" w:eastAsia="宋体"/>
          <w:b/>
          <w:color w:val="auto"/>
          <w:sz w:val="24"/>
          <w:szCs w:val="28"/>
          <w:highlight w:val="none"/>
          <w:u w:val="single"/>
        </w:rPr>
        <w:t xml:space="preserve">       </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9"/>
        <w:gridCol w:w="6063"/>
      </w:tblGrid>
      <w:tr w14:paraId="7DDD1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459" w:type="dxa"/>
            <w:tcBorders>
              <w:top w:val="single" w:color="auto" w:sz="4" w:space="0"/>
              <w:left w:val="single" w:color="auto" w:sz="4" w:space="0"/>
              <w:bottom w:val="single" w:color="auto" w:sz="4" w:space="0"/>
              <w:right w:val="single" w:color="auto" w:sz="4" w:space="0"/>
            </w:tcBorders>
            <w:noWrap w:val="0"/>
            <w:vAlign w:val="center"/>
          </w:tcPr>
          <w:p w14:paraId="06C6966A">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供应商名称</w:t>
            </w:r>
          </w:p>
        </w:tc>
        <w:tc>
          <w:tcPr>
            <w:tcW w:w="6063" w:type="dxa"/>
            <w:tcBorders>
              <w:left w:val="single" w:color="auto" w:sz="4" w:space="0"/>
            </w:tcBorders>
            <w:noWrap w:val="0"/>
            <w:vAlign w:val="top"/>
          </w:tcPr>
          <w:p w14:paraId="16952683">
            <w:pPr>
              <w:spacing w:line="360" w:lineRule="auto"/>
              <w:rPr>
                <w:rFonts w:ascii="宋体" w:hAnsi="宋体" w:eastAsia="宋体"/>
                <w:b/>
                <w:color w:val="auto"/>
                <w:sz w:val="24"/>
                <w:highlight w:val="none"/>
              </w:rPr>
            </w:pPr>
          </w:p>
        </w:tc>
      </w:tr>
      <w:tr w14:paraId="53F74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59" w:type="dxa"/>
            <w:tcBorders>
              <w:top w:val="single" w:color="auto" w:sz="4" w:space="0"/>
              <w:left w:val="single" w:color="auto" w:sz="4" w:space="0"/>
              <w:bottom w:val="single" w:color="auto" w:sz="4" w:space="0"/>
              <w:right w:val="single" w:color="auto" w:sz="4" w:space="0"/>
            </w:tcBorders>
            <w:noWrap w:val="0"/>
            <w:vAlign w:val="center"/>
          </w:tcPr>
          <w:p w14:paraId="4CB9994C">
            <w:pPr>
              <w:spacing w:line="360" w:lineRule="exact"/>
              <w:jc w:val="center"/>
              <w:rPr>
                <w:rFonts w:ascii="宋体" w:hAnsi="宋体" w:eastAsia="宋体"/>
                <w:b/>
                <w:color w:val="auto"/>
                <w:sz w:val="24"/>
                <w:highlight w:val="none"/>
              </w:rPr>
            </w:pPr>
            <w:r>
              <w:rPr>
                <w:rFonts w:hint="eastAsia" w:ascii="宋体" w:hAnsi="宋体" w:eastAsia="宋体"/>
                <w:b/>
                <w:color w:val="auto"/>
                <w:sz w:val="24"/>
                <w:highlight w:val="none"/>
              </w:rPr>
              <w:t>磋商范围</w:t>
            </w:r>
          </w:p>
        </w:tc>
        <w:tc>
          <w:tcPr>
            <w:tcW w:w="6063" w:type="dxa"/>
            <w:tcBorders>
              <w:left w:val="single" w:color="auto" w:sz="4" w:space="0"/>
            </w:tcBorders>
            <w:noWrap w:val="0"/>
            <w:vAlign w:val="center"/>
          </w:tcPr>
          <w:p w14:paraId="10359465">
            <w:pPr>
              <w:widowControl/>
              <w:spacing w:line="360" w:lineRule="exact"/>
              <w:rPr>
                <w:rFonts w:ascii="宋体" w:hAnsi="宋体" w:eastAsia="宋体"/>
                <w:b/>
                <w:color w:val="auto"/>
                <w:sz w:val="24"/>
                <w:highlight w:val="none"/>
              </w:rPr>
            </w:pPr>
            <w:r>
              <w:rPr>
                <w:rFonts w:hint="eastAsia" w:ascii="宋体" w:hAnsi="宋体" w:eastAsia="宋体"/>
                <w:color w:val="auto"/>
                <w:sz w:val="24"/>
                <w:szCs w:val="28"/>
                <w:highlight w:val="none"/>
              </w:rPr>
              <w:t xml:space="preserve">全部 </w:t>
            </w:r>
          </w:p>
        </w:tc>
      </w:tr>
      <w:tr w14:paraId="27EA9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2459" w:type="dxa"/>
            <w:tcBorders>
              <w:top w:val="single" w:color="auto" w:sz="4" w:space="0"/>
            </w:tcBorders>
            <w:noWrap w:val="0"/>
            <w:vAlign w:val="center"/>
          </w:tcPr>
          <w:p w14:paraId="6E479D8A">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报价</w:t>
            </w:r>
          </w:p>
          <w:p w14:paraId="4351F701">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6063" w:type="dxa"/>
            <w:noWrap w:val="0"/>
            <w:vAlign w:val="center"/>
          </w:tcPr>
          <w:p w14:paraId="5BCD83C8">
            <w:pPr>
              <w:snapToGrid w:val="0"/>
              <w:spacing w:line="360" w:lineRule="auto"/>
              <w:rPr>
                <w:rFonts w:ascii="宋体" w:hAnsi="宋体" w:eastAsia="宋体"/>
                <w:color w:val="auto"/>
                <w:sz w:val="24"/>
                <w:szCs w:val="28"/>
                <w:highlight w:val="none"/>
              </w:rPr>
            </w:pPr>
          </w:p>
          <w:p w14:paraId="41756DFE">
            <w:pPr>
              <w:spacing w:line="360" w:lineRule="exact"/>
              <w:jc w:val="lef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大写：</w:t>
            </w:r>
            <w:r>
              <w:rPr>
                <w:rFonts w:hint="eastAsia" w:ascii="宋体" w:hAnsi="宋体" w:eastAsia="宋体" w:cs="宋体"/>
                <w:bCs/>
                <w:color w:val="auto"/>
                <w:sz w:val="24"/>
                <w:highlight w:val="none"/>
                <w:u w:val="single"/>
              </w:rPr>
              <w:t xml:space="preserve">                   </w:t>
            </w:r>
          </w:p>
          <w:p w14:paraId="15D419CC">
            <w:pPr>
              <w:spacing w:line="360" w:lineRule="exact"/>
              <w:jc w:val="center"/>
              <w:rPr>
                <w:rFonts w:hint="eastAsia" w:ascii="宋体" w:hAnsi="宋体" w:eastAsia="宋体" w:cs="宋体"/>
                <w:bCs/>
                <w:color w:val="auto"/>
                <w:sz w:val="24"/>
                <w:highlight w:val="none"/>
              </w:rPr>
            </w:pPr>
          </w:p>
          <w:p w14:paraId="56E2932D">
            <w:pPr>
              <w:snapToGrid w:val="0"/>
              <w:spacing w:line="360" w:lineRule="auto"/>
              <w:rPr>
                <w:rFonts w:ascii="宋体" w:hAnsi="宋体" w:eastAsia="宋体"/>
                <w:b/>
                <w:color w:val="auto"/>
                <w:sz w:val="24"/>
                <w:highlight w:val="none"/>
              </w:rPr>
            </w:pPr>
            <w:r>
              <w:rPr>
                <w:rFonts w:hint="eastAsia" w:ascii="宋体" w:hAnsi="宋体" w:eastAsia="宋体" w:cs="宋体"/>
                <w:bCs/>
                <w:color w:val="auto"/>
                <w:sz w:val="24"/>
                <w:highlight w:val="none"/>
              </w:rPr>
              <w:t>小写：</w:t>
            </w:r>
            <w:r>
              <w:rPr>
                <w:rFonts w:hint="eastAsia" w:ascii="宋体" w:hAnsi="宋体" w:eastAsia="宋体" w:cs="宋体"/>
                <w:bCs/>
                <w:color w:val="auto"/>
                <w:sz w:val="24"/>
                <w:highlight w:val="none"/>
                <w:u w:val="single"/>
              </w:rPr>
              <w:t xml:space="preserve">                   </w:t>
            </w:r>
          </w:p>
        </w:tc>
      </w:tr>
      <w:tr w14:paraId="429A1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2459" w:type="dxa"/>
            <w:noWrap w:val="0"/>
            <w:vAlign w:val="center"/>
          </w:tcPr>
          <w:p w14:paraId="5BFAB9B3">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备注说明</w:t>
            </w:r>
          </w:p>
        </w:tc>
        <w:tc>
          <w:tcPr>
            <w:tcW w:w="6063" w:type="dxa"/>
            <w:noWrap w:val="0"/>
            <w:vAlign w:val="top"/>
          </w:tcPr>
          <w:p w14:paraId="425CB6B4">
            <w:pPr>
              <w:spacing w:line="360" w:lineRule="auto"/>
              <w:rPr>
                <w:rFonts w:ascii="宋体" w:hAnsi="宋体" w:eastAsia="宋体"/>
                <w:b/>
                <w:color w:val="auto"/>
                <w:sz w:val="24"/>
                <w:highlight w:val="none"/>
              </w:rPr>
            </w:pPr>
          </w:p>
        </w:tc>
      </w:tr>
    </w:tbl>
    <w:p w14:paraId="4B0B7D77">
      <w:pPr>
        <w:spacing w:line="440" w:lineRule="exact"/>
        <w:ind w:firstLine="5520" w:firstLineChars="2300"/>
        <w:rPr>
          <w:rFonts w:ascii="宋体" w:hAnsi="宋体" w:eastAsia="宋体"/>
          <w:color w:val="auto"/>
          <w:sz w:val="24"/>
          <w:szCs w:val="24"/>
          <w:highlight w:val="none"/>
        </w:rPr>
      </w:pPr>
      <w:r>
        <w:rPr>
          <w:rFonts w:hint="eastAsia" w:ascii="宋体" w:hAnsi="宋体" w:eastAsia="宋体"/>
          <w:color w:val="auto"/>
          <w:sz w:val="24"/>
          <w:szCs w:val="24"/>
          <w:highlight w:val="none"/>
        </w:rPr>
        <w:t xml:space="preserve">供应商公章：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w:t>
      </w:r>
    </w:p>
    <w:p w14:paraId="624236D6">
      <w:pPr>
        <w:spacing w:line="440" w:lineRule="exact"/>
        <w:ind w:firstLine="5520" w:firstLineChars="2300"/>
        <w:rPr>
          <w:rFonts w:ascii="宋体" w:hAnsi="宋体" w:eastAsia="宋体"/>
          <w:color w:val="auto"/>
          <w:sz w:val="24"/>
          <w:szCs w:val="24"/>
          <w:highlight w:val="none"/>
        </w:rPr>
      </w:pPr>
      <w:r>
        <w:rPr>
          <w:rFonts w:hint="eastAsia" w:ascii="宋体" w:hAnsi="宋体" w:eastAsia="宋体"/>
          <w:color w:val="auto"/>
          <w:sz w:val="24"/>
          <w:szCs w:val="24"/>
          <w:highlight w:val="none"/>
        </w:rPr>
        <w:t xml:space="preserve">日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期：             </w:t>
      </w:r>
    </w:p>
    <w:p w14:paraId="26408A8E">
      <w:pPr>
        <w:adjustRightInd w:val="0"/>
        <w:snapToGrid w:val="0"/>
        <w:spacing w:line="360" w:lineRule="auto"/>
        <w:jc w:val="left"/>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注：</w:t>
      </w:r>
    </w:p>
    <w:p w14:paraId="6F35D663">
      <w:pPr>
        <w:adjustRightInd w:val="0"/>
        <w:snapToGrid w:val="0"/>
        <w:spacing w:line="360" w:lineRule="auto"/>
        <w:ind w:firstLine="482" w:firstLineChars="200"/>
        <w:jc w:val="left"/>
        <w:rPr>
          <w:rFonts w:ascii="宋体" w:hAnsi="宋体" w:eastAsia="宋体"/>
          <w:color w:val="auto"/>
          <w:sz w:val="24"/>
          <w:highlight w:val="none"/>
        </w:rPr>
      </w:pPr>
      <w:r>
        <w:rPr>
          <w:rFonts w:hint="eastAsia" w:ascii="宋体" w:hAnsi="宋体" w:eastAsia="宋体"/>
          <w:b/>
          <w:bCs/>
          <w:color w:val="auto"/>
          <w:sz w:val="24"/>
          <w:szCs w:val="28"/>
          <w:highlight w:val="none"/>
        </w:rPr>
        <w:t>1.本表内容根据磋商文件要求包括了服务及其配套的设计、采购、制造、检测、试验、运输、保险、仓储、税费以及现场落地、安装及安装耗损、调试、验收、培训、技术服务（包括技术资料、图纸的提供）质保期内的售后服务保障等所有费用。</w:t>
      </w:r>
    </w:p>
    <w:p w14:paraId="22BA5067">
      <w:pPr>
        <w:adjustRightInd w:val="0"/>
        <w:snapToGrid w:val="0"/>
        <w:spacing w:line="360" w:lineRule="auto"/>
        <w:ind w:firstLine="482" w:firstLineChars="200"/>
        <w:jc w:val="left"/>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2.特殊事项在备注中注明。</w:t>
      </w:r>
    </w:p>
    <w:p w14:paraId="12669294">
      <w:pPr>
        <w:adjustRightInd w:val="0"/>
        <w:snapToGrid w:val="0"/>
        <w:spacing w:line="360" w:lineRule="auto"/>
        <w:ind w:firstLine="482" w:firstLineChars="200"/>
        <w:rPr>
          <w:rFonts w:ascii="宋体" w:hAnsi="宋体" w:eastAsia="宋体"/>
          <w:b/>
          <w:bCs/>
          <w:color w:val="auto"/>
          <w:sz w:val="24"/>
          <w:szCs w:val="28"/>
          <w:highlight w:val="none"/>
        </w:rPr>
      </w:pPr>
    </w:p>
    <w:p w14:paraId="00DD0488">
      <w:pPr>
        <w:widowControl/>
        <w:jc w:val="left"/>
        <w:rPr>
          <w:rFonts w:ascii="宋体" w:hAnsi="宋体" w:eastAsia="宋体"/>
          <w:b/>
          <w:bCs/>
          <w:color w:val="auto"/>
          <w:sz w:val="24"/>
          <w:szCs w:val="28"/>
          <w:highlight w:val="none"/>
        </w:rPr>
      </w:pPr>
      <w:r>
        <w:rPr>
          <w:rFonts w:ascii="宋体" w:hAnsi="宋体" w:eastAsia="宋体"/>
          <w:b/>
          <w:bCs/>
          <w:color w:val="auto"/>
          <w:sz w:val="24"/>
          <w:szCs w:val="28"/>
          <w:highlight w:val="none"/>
        </w:rPr>
        <w:br w:type="page"/>
      </w:r>
    </w:p>
    <w:p w14:paraId="47585142">
      <w:pPr>
        <w:spacing w:before="156" w:beforeLines="50" w:after="156" w:afterLines="50"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1-2 分项报价明细表</w:t>
      </w:r>
    </w:p>
    <w:p w14:paraId="0CFE916A">
      <w:pPr>
        <w:spacing w:line="360" w:lineRule="auto"/>
        <w:ind w:firstLine="435"/>
        <w:jc w:val="center"/>
        <w:rPr>
          <w:rFonts w:ascii="宋体" w:hAnsi="宋体" w:eastAsia="宋体"/>
          <w:b/>
          <w:bCs/>
          <w:color w:val="auto"/>
          <w:sz w:val="24"/>
          <w:highlight w:val="none"/>
        </w:rPr>
      </w:pPr>
      <w:r>
        <w:rPr>
          <w:rFonts w:hint="eastAsia" w:ascii="宋体" w:hAnsi="宋体" w:eastAsia="宋体"/>
          <w:b/>
          <w:bCs/>
          <w:iCs/>
          <w:color w:val="auto"/>
          <w:sz w:val="24"/>
          <w:highlight w:val="none"/>
        </w:rPr>
        <w:t>（仅供参考，供应商可自行制作格式）</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3109"/>
        <w:gridCol w:w="1357"/>
        <w:gridCol w:w="1698"/>
        <w:gridCol w:w="1568"/>
      </w:tblGrid>
      <w:tr w14:paraId="208F7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790" w:type="dxa"/>
            <w:noWrap w:val="0"/>
            <w:vAlign w:val="center"/>
          </w:tcPr>
          <w:p w14:paraId="26F75FD7">
            <w:pPr>
              <w:jc w:val="center"/>
              <w:rPr>
                <w:rFonts w:ascii="宋体" w:hAnsi="宋体" w:eastAsia="宋体"/>
                <w:b/>
                <w:color w:val="auto"/>
                <w:sz w:val="24"/>
                <w:highlight w:val="none"/>
              </w:rPr>
            </w:pPr>
            <w:r>
              <w:rPr>
                <w:rFonts w:hint="eastAsia" w:ascii="宋体" w:hAnsi="宋体" w:eastAsia="宋体"/>
                <w:b/>
                <w:color w:val="auto"/>
                <w:sz w:val="24"/>
                <w:highlight w:val="none"/>
              </w:rPr>
              <w:t>序号</w:t>
            </w:r>
          </w:p>
        </w:tc>
        <w:tc>
          <w:tcPr>
            <w:tcW w:w="3109" w:type="dxa"/>
            <w:noWrap w:val="0"/>
            <w:vAlign w:val="center"/>
          </w:tcPr>
          <w:p w14:paraId="57186B60">
            <w:pPr>
              <w:jc w:val="center"/>
              <w:rPr>
                <w:rFonts w:ascii="宋体" w:hAnsi="宋体" w:eastAsia="宋体"/>
                <w:b/>
                <w:color w:val="auto"/>
                <w:sz w:val="24"/>
                <w:highlight w:val="none"/>
              </w:rPr>
            </w:pPr>
            <w:r>
              <w:rPr>
                <w:rFonts w:hint="eastAsia" w:ascii="宋体" w:hAnsi="宋体" w:eastAsia="宋体"/>
                <w:b/>
                <w:color w:val="auto"/>
                <w:sz w:val="24"/>
                <w:highlight w:val="none"/>
              </w:rPr>
              <w:t>服务内容</w:t>
            </w:r>
          </w:p>
        </w:tc>
        <w:tc>
          <w:tcPr>
            <w:tcW w:w="1357" w:type="dxa"/>
            <w:noWrap w:val="0"/>
            <w:vAlign w:val="center"/>
          </w:tcPr>
          <w:p w14:paraId="3F3B3379">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1698" w:type="dxa"/>
            <w:noWrap w:val="0"/>
            <w:vAlign w:val="center"/>
          </w:tcPr>
          <w:p w14:paraId="2BE9F95F">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1568" w:type="dxa"/>
            <w:noWrap w:val="0"/>
            <w:vAlign w:val="center"/>
          </w:tcPr>
          <w:p w14:paraId="0BAE6D5B">
            <w:pPr>
              <w:jc w:val="center"/>
              <w:rPr>
                <w:rFonts w:ascii="宋体" w:hAnsi="宋体" w:eastAsia="宋体"/>
                <w:b/>
                <w:color w:val="auto"/>
                <w:sz w:val="24"/>
                <w:highlight w:val="none"/>
              </w:rPr>
            </w:pPr>
            <w:r>
              <w:rPr>
                <w:rFonts w:hint="eastAsia" w:ascii="宋体" w:hAnsi="宋体" w:eastAsia="宋体"/>
                <w:b/>
                <w:color w:val="auto"/>
                <w:sz w:val="24"/>
                <w:highlight w:val="none"/>
              </w:rPr>
              <w:t>小计金额（元）</w:t>
            </w:r>
          </w:p>
        </w:tc>
      </w:tr>
      <w:tr w14:paraId="76EE1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tcBorders>
              <w:bottom w:val="single" w:color="auto" w:sz="4" w:space="0"/>
            </w:tcBorders>
            <w:noWrap w:val="0"/>
            <w:vAlign w:val="center"/>
          </w:tcPr>
          <w:p w14:paraId="70C8599F">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3109" w:type="dxa"/>
            <w:noWrap w:val="0"/>
            <w:vAlign w:val="center"/>
          </w:tcPr>
          <w:p w14:paraId="3E4473CC">
            <w:pPr>
              <w:jc w:val="center"/>
              <w:rPr>
                <w:rFonts w:ascii="宋体" w:hAnsi="宋体" w:eastAsia="宋体"/>
                <w:color w:val="auto"/>
                <w:sz w:val="24"/>
                <w:highlight w:val="none"/>
              </w:rPr>
            </w:pPr>
          </w:p>
        </w:tc>
        <w:tc>
          <w:tcPr>
            <w:tcW w:w="1357" w:type="dxa"/>
            <w:noWrap w:val="0"/>
            <w:vAlign w:val="center"/>
          </w:tcPr>
          <w:p w14:paraId="3453CE21">
            <w:pPr>
              <w:jc w:val="center"/>
              <w:rPr>
                <w:rFonts w:ascii="宋体" w:hAnsi="宋体" w:eastAsia="宋体"/>
                <w:color w:val="auto"/>
                <w:sz w:val="24"/>
                <w:highlight w:val="none"/>
              </w:rPr>
            </w:pPr>
          </w:p>
        </w:tc>
        <w:tc>
          <w:tcPr>
            <w:tcW w:w="1698" w:type="dxa"/>
            <w:noWrap w:val="0"/>
            <w:vAlign w:val="center"/>
          </w:tcPr>
          <w:p w14:paraId="63544DB1">
            <w:pPr>
              <w:jc w:val="center"/>
              <w:rPr>
                <w:rFonts w:ascii="宋体" w:hAnsi="宋体" w:eastAsia="宋体"/>
                <w:color w:val="auto"/>
                <w:sz w:val="24"/>
                <w:highlight w:val="none"/>
              </w:rPr>
            </w:pPr>
          </w:p>
        </w:tc>
        <w:tc>
          <w:tcPr>
            <w:tcW w:w="1568" w:type="dxa"/>
            <w:noWrap w:val="0"/>
            <w:vAlign w:val="center"/>
          </w:tcPr>
          <w:p w14:paraId="73300DAF">
            <w:pPr>
              <w:jc w:val="center"/>
              <w:rPr>
                <w:rFonts w:ascii="宋体" w:hAnsi="宋体" w:eastAsia="宋体"/>
                <w:color w:val="auto"/>
                <w:sz w:val="24"/>
                <w:highlight w:val="none"/>
              </w:rPr>
            </w:pPr>
          </w:p>
        </w:tc>
      </w:tr>
      <w:tr w14:paraId="08BD7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noWrap w:val="0"/>
            <w:vAlign w:val="center"/>
          </w:tcPr>
          <w:p w14:paraId="48079490">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3109" w:type="dxa"/>
            <w:noWrap w:val="0"/>
            <w:vAlign w:val="center"/>
          </w:tcPr>
          <w:p w14:paraId="457FCBDE">
            <w:pPr>
              <w:jc w:val="center"/>
              <w:rPr>
                <w:rFonts w:ascii="宋体" w:hAnsi="宋体" w:eastAsia="宋体"/>
                <w:color w:val="auto"/>
                <w:sz w:val="24"/>
                <w:highlight w:val="none"/>
              </w:rPr>
            </w:pPr>
          </w:p>
        </w:tc>
        <w:tc>
          <w:tcPr>
            <w:tcW w:w="1357" w:type="dxa"/>
            <w:noWrap w:val="0"/>
            <w:vAlign w:val="center"/>
          </w:tcPr>
          <w:p w14:paraId="30D8AFA2">
            <w:pPr>
              <w:jc w:val="center"/>
              <w:rPr>
                <w:rFonts w:ascii="宋体" w:hAnsi="宋体" w:eastAsia="宋体"/>
                <w:color w:val="auto"/>
                <w:sz w:val="24"/>
                <w:highlight w:val="none"/>
              </w:rPr>
            </w:pPr>
          </w:p>
        </w:tc>
        <w:tc>
          <w:tcPr>
            <w:tcW w:w="1698" w:type="dxa"/>
            <w:noWrap w:val="0"/>
            <w:vAlign w:val="center"/>
          </w:tcPr>
          <w:p w14:paraId="075442F3">
            <w:pPr>
              <w:jc w:val="center"/>
              <w:rPr>
                <w:rFonts w:ascii="宋体" w:hAnsi="宋体" w:eastAsia="宋体"/>
                <w:color w:val="auto"/>
                <w:sz w:val="24"/>
                <w:highlight w:val="none"/>
              </w:rPr>
            </w:pPr>
          </w:p>
        </w:tc>
        <w:tc>
          <w:tcPr>
            <w:tcW w:w="1568" w:type="dxa"/>
            <w:noWrap w:val="0"/>
            <w:vAlign w:val="center"/>
          </w:tcPr>
          <w:p w14:paraId="31473D47">
            <w:pPr>
              <w:jc w:val="center"/>
              <w:rPr>
                <w:rFonts w:ascii="宋体" w:hAnsi="宋体" w:eastAsia="宋体"/>
                <w:color w:val="auto"/>
                <w:sz w:val="24"/>
                <w:highlight w:val="none"/>
              </w:rPr>
            </w:pPr>
          </w:p>
        </w:tc>
      </w:tr>
      <w:tr w14:paraId="3A8B2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noWrap w:val="0"/>
            <w:vAlign w:val="center"/>
          </w:tcPr>
          <w:p w14:paraId="1D9AE02A">
            <w:pPr>
              <w:jc w:val="center"/>
              <w:rPr>
                <w:rFonts w:ascii="宋体" w:hAnsi="宋体" w:eastAsia="宋体"/>
                <w:color w:val="auto"/>
                <w:sz w:val="24"/>
                <w:highlight w:val="none"/>
              </w:rPr>
            </w:pPr>
            <w:r>
              <w:rPr>
                <w:rFonts w:hint="eastAsia" w:ascii="宋体" w:hAnsi="宋体" w:eastAsia="宋体"/>
                <w:color w:val="auto"/>
                <w:sz w:val="24"/>
                <w:highlight w:val="none"/>
              </w:rPr>
              <w:t>3</w:t>
            </w:r>
          </w:p>
        </w:tc>
        <w:tc>
          <w:tcPr>
            <w:tcW w:w="3109" w:type="dxa"/>
            <w:noWrap w:val="0"/>
            <w:vAlign w:val="center"/>
          </w:tcPr>
          <w:p w14:paraId="537C6FB6">
            <w:pPr>
              <w:jc w:val="center"/>
              <w:rPr>
                <w:rFonts w:ascii="宋体" w:hAnsi="宋体" w:eastAsia="宋体"/>
                <w:color w:val="auto"/>
                <w:sz w:val="24"/>
                <w:highlight w:val="none"/>
              </w:rPr>
            </w:pPr>
          </w:p>
        </w:tc>
        <w:tc>
          <w:tcPr>
            <w:tcW w:w="1357" w:type="dxa"/>
            <w:noWrap w:val="0"/>
            <w:vAlign w:val="center"/>
          </w:tcPr>
          <w:p w14:paraId="2D14E6CA">
            <w:pPr>
              <w:jc w:val="center"/>
              <w:rPr>
                <w:rFonts w:ascii="宋体" w:hAnsi="宋体" w:eastAsia="宋体"/>
                <w:color w:val="auto"/>
                <w:sz w:val="24"/>
                <w:highlight w:val="none"/>
              </w:rPr>
            </w:pPr>
          </w:p>
        </w:tc>
        <w:tc>
          <w:tcPr>
            <w:tcW w:w="1698" w:type="dxa"/>
            <w:noWrap w:val="0"/>
            <w:vAlign w:val="center"/>
          </w:tcPr>
          <w:p w14:paraId="0EBCFC63">
            <w:pPr>
              <w:jc w:val="center"/>
              <w:rPr>
                <w:rFonts w:ascii="宋体" w:hAnsi="宋体" w:eastAsia="宋体"/>
                <w:color w:val="auto"/>
                <w:sz w:val="24"/>
                <w:highlight w:val="none"/>
              </w:rPr>
            </w:pPr>
          </w:p>
        </w:tc>
        <w:tc>
          <w:tcPr>
            <w:tcW w:w="1568" w:type="dxa"/>
            <w:noWrap w:val="0"/>
            <w:vAlign w:val="center"/>
          </w:tcPr>
          <w:p w14:paraId="701615C9">
            <w:pPr>
              <w:jc w:val="center"/>
              <w:rPr>
                <w:rFonts w:ascii="宋体" w:hAnsi="宋体" w:eastAsia="宋体"/>
                <w:color w:val="auto"/>
                <w:sz w:val="24"/>
                <w:highlight w:val="none"/>
              </w:rPr>
            </w:pPr>
          </w:p>
        </w:tc>
      </w:tr>
      <w:tr w14:paraId="088B5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noWrap w:val="0"/>
            <w:vAlign w:val="center"/>
          </w:tcPr>
          <w:p w14:paraId="1FD02EB5">
            <w:pPr>
              <w:jc w:val="center"/>
              <w:rPr>
                <w:rFonts w:ascii="宋体" w:hAnsi="宋体" w:eastAsia="宋体"/>
                <w:color w:val="auto"/>
                <w:sz w:val="24"/>
                <w:highlight w:val="none"/>
              </w:rPr>
            </w:pPr>
            <w:r>
              <w:rPr>
                <w:rFonts w:ascii="宋体" w:hAnsi="宋体" w:eastAsia="宋体"/>
                <w:color w:val="auto"/>
                <w:sz w:val="24"/>
                <w:highlight w:val="none"/>
              </w:rPr>
              <w:t>…</w:t>
            </w:r>
          </w:p>
        </w:tc>
        <w:tc>
          <w:tcPr>
            <w:tcW w:w="3109" w:type="dxa"/>
            <w:noWrap w:val="0"/>
            <w:vAlign w:val="center"/>
          </w:tcPr>
          <w:p w14:paraId="7EE8B5FB">
            <w:pPr>
              <w:jc w:val="center"/>
              <w:rPr>
                <w:rFonts w:ascii="宋体" w:hAnsi="宋体" w:eastAsia="宋体"/>
                <w:color w:val="auto"/>
                <w:sz w:val="24"/>
                <w:highlight w:val="none"/>
              </w:rPr>
            </w:pPr>
          </w:p>
        </w:tc>
        <w:tc>
          <w:tcPr>
            <w:tcW w:w="1357" w:type="dxa"/>
            <w:noWrap w:val="0"/>
            <w:vAlign w:val="center"/>
          </w:tcPr>
          <w:p w14:paraId="56AC6ADE">
            <w:pPr>
              <w:jc w:val="center"/>
              <w:rPr>
                <w:rFonts w:ascii="宋体" w:hAnsi="宋体" w:eastAsia="宋体"/>
                <w:color w:val="auto"/>
                <w:sz w:val="24"/>
                <w:highlight w:val="none"/>
              </w:rPr>
            </w:pPr>
          </w:p>
        </w:tc>
        <w:tc>
          <w:tcPr>
            <w:tcW w:w="1698" w:type="dxa"/>
            <w:noWrap w:val="0"/>
            <w:vAlign w:val="center"/>
          </w:tcPr>
          <w:p w14:paraId="2AC32DBC">
            <w:pPr>
              <w:jc w:val="center"/>
              <w:rPr>
                <w:rFonts w:ascii="宋体" w:hAnsi="宋体" w:eastAsia="宋体"/>
                <w:color w:val="auto"/>
                <w:sz w:val="24"/>
                <w:highlight w:val="none"/>
              </w:rPr>
            </w:pPr>
          </w:p>
        </w:tc>
        <w:tc>
          <w:tcPr>
            <w:tcW w:w="1568" w:type="dxa"/>
            <w:noWrap w:val="0"/>
            <w:vAlign w:val="center"/>
          </w:tcPr>
          <w:p w14:paraId="7C9C904A">
            <w:pPr>
              <w:jc w:val="center"/>
              <w:rPr>
                <w:rFonts w:ascii="宋体" w:hAnsi="宋体" w:eastAsia="宋体"/>
                <w:color w:val="auto"/>
                <w:sz w:val="24"/>
                <w:highlight w:val="none"/>
              </w:rPr>
            </w:pPr>
          </w:p>
        </w:tc>
      </w:tr>
      <w:tr w14:paraId="18041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noWrap w:val="0"/>
            <w:vAlign w:val="center"/>
          </w:tcPr>
          <w:p w14:paraId="4350403B">
            <w:pPr>
              <w:jc w:val="center"/>
              <w:rPr>
                <w:rFonts w:ascii="宋体" w:hAnsi="宋体" w:eastAsia="宋体"/>
                <w:color w:val="auto"/>
                <w:sz w:val="24"/>
                <w:highlight w:val="none"/>
              </w:rPr>
            </w:pPr>
          </w:p>
        </w:tc>
        <w:tc>
          <w:tcPr>
            <w:tcW w:w="3109" w:type="dxa"/>
            <w:noWrap w:val="0"/>
            <w:vAlign w:val="center"/>
          </w:tcPr>
          <w:p w14:paraId="4DB204D2">
            <w:pPr>
              <w:widowControl w:val="0"/>
              <w:ind w:left="-108"/>
              <w:jc w:val="center"/>
              <w:rPr>
                <w:rFonts w:ascii="宋体" w:hAnsi="宋体" w:eastAsia="宋体" w:cs="Arial"/>
                <w:color w:val="auto"/>
                <w:kern w:val="2"/>
                <w:sz w:val="24"/>
                <w:highlight w:val="none"/>
                <w:lang w:val="en-US" w:eastAsia="zh-CN" w:bidi="ar-SA"/>
              </w:rPr>
            </w:pPr>
          </w:p>
        </w:tc>
        <w:tc>
          <w:tcPr>
            <w:tcW w:w="1357" w:type="dxa"/>
            <w:noWrap w:val="0"/>
            <w:vAlign w:val="center"/>
          </w:tcPr>
          <w:p w14:paraId="6077AC82">
            <w:pPr>
              <w:jc w:val="center"/>
              <w:rPr>
                <w:rFonts w:ascii="宋体" w:hAnsi="宋体" w:eastAsia="宋体"/>
                <w:color w:val="auto"/>
                <w:sz w:val="24"/>
                <w:highlight w:val="none"/>
              </w:rPr>
            </w:pPr>
          </w:p>
        </w:tc>
        <w:tc>
          <w:tcPr>
            <w:tcW w:w="1698" w:type="dxa"/>
            <w:noWrap w:val="0"/>
            <w:vAlign w:val="center"/>
          </w:tcPr>
          <w:p w14:paraId="1F597A5B">
            <w:pPr>
              <w:jc w:val="center"/>
              <w:rPr>
                <w:rFonts w:ascii="宋体" w:hAnsi="宋体" w:eastAsia="宋体"/>
                <w:color w:val="auto"/>
                <w:sz w:val="24"/>
                <w:highlight w:val="none"/>
              </w:rPr>
            </w:pPr>
          </w:p>
        </w:tc>
        <w:tc>
          <w:tcPr>
            <w:tcW w:w="1568" w:type="dxa"/>
            <w:noWrap w:val="0"/>
            <w:vAlign w:val="center"/>
          </w:tcPr>
          <w:p w14:paraId="599AD33E">
            <w:pPr>
              <w:jc w:val="center"/>
              <w:rPr>
                <w:rFonts w:ascii="宋体" w:hAnsi="宋体" w:eastAsia="宋体"/>
                <w:color w:val="auto"/>
                <w:sz w:val="24"/>
                <w:highlight w:val="none"/>
              </w:rPr>
            </w:pPr>
          </w:p>
        </w:tc>
      </w:tr>
      <w:tr w14:paraId="7A270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90" w:type="dxa"/>
            <w:noWrap w:val="0"/>
            <w:vAlign w:val="center"/>
          </w:tcPr>
          <w:p w14:paraId="5166845C">
            <w:pPr>
              <w:jc w:val="center"/>
              <w:rPr>
                <w:rFonts w:ascii="宋体" w:hAnsi="宋体" w:eastAsia="宋体"/>
                <w:color w:val="auto"/>
                <w:sz w:val="24"/>
                <w:highlight w:val="none"/>
              </w:rPr>
            </w:pPr>
          </w:p>
        </w:tc>
        <w:tc>
          <w:tcPr>
            <w:tcW w:w="3109" w:type="dxa"/>
            <w:noWrap w:val="0"/>
            <w:vAlign w:val="center"/>
          </w:tcPr>
          <w:p w14:paraId="039E6E85">
            <w:pPr>
              <w:jc w:val="center"/>
              <w:rPr>
                <w:rFonts w:ascii="宋体" w:hAnsi="宋体" w:eastAsia="宋体"/>
                <w:color w:val="auto"/>
                <w:sz w:val="24"/>
                <w:highlight w:val="none"/>
              </w:rPr>
            </w:pPr>
            <w:r>
              <w:rPr>
                <w:rFonts w:ascii="宋体" w:hAnsi="宋体" w:eastAsia="宋体"/>
                <w:color w:val="auto"/>
                <w:sz w:val="24"/>
                <w:highlight w:val="none"/>
              </w:rPr>
              <w:t>……</w:t>
            </w:r>
          </w:p>
        </w:tc>
        <w:tc>
          <w:tcPr>
            <w:tcW w:w="1357" w:type="dxa"/>
            <w:noWrap w:val="0"/>
            <w:vAlign w:val="center"/>
          </w:tcPr>
          <w:p w14:paraId="04615F17">
            <w:pPr>
              <w:jc w:val="center"/>
              <w:rPr>
                <w:rFonts w:ascii="宋体" w:hAnsi="宋体" w:eastAsia="宋体"/>
                <w:color w:val="auto"/>
                <w:sz w:val="24"/>
                <w:highlight w:val="none"/>
              </w:rPr>
            </w:pPr>
          </w:p>
        </w:tc>
        <w:tc>
          <w:tcPr>
            <w:tcW w:w="1698" w:type="dxa"/>
            <w:noWrap w:val="0"/>
            <w:vAlign w:val="center"/>
          </w:tcPr>
          <w:p w14:paraId="64428CA1">
            <w:pPr>
              <w:jc w:val="center"/>
              <w:rPr>
                <w:rFonts w:ascii="宋体" w:hAnsi="宋体" w:eastAsia="宋体"/>
                <w:color w:val="auto"/>
                <w:sz w:val="24"/>
                <w:highlight w:val="none"/>
              </w:rPr>
            </w:pPr>
          </w:p>
        </w:tc>
        <w:tc>
          <w:tcPr>
            <w:tcW w:w="1568" w:type="dxa"/>
            <w:noWrap w:val="0"/>
            <w:vAlign w:val="center"/>
          </w:tcPr>
          <w:p w14:paraId="29720896">
            <w:pPr>
              <w:jc w:val="center"/>
              <w:rPr>
                <w:rFonts w:ascii="宋体" w:hAnsi="宋体" w:eastAsia="宋体"/>
                <w:color w:val="auto"/>
                <w:sz w:val="24"/>
                <w:highlight w:val="none"/>
              </w:rPr>
            </w:pPr>
          </w:p>
        </w:tc>
      </w:tr>
      <w:tr w14:paraId="47D11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54" w:type="dxa"/>
            <w:gridSpan w:val="4"/>
            <w:noWrap w:val="0"/>
            <w:vAlign w:val="center"/>
          </w:tcPr>
          <w:p w14:paraId="074D1F4F">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1568" w:type="dxa"/>
            <w:noWrap w:val="0"/>
            <w:vAlign w:val="center"/>
          </w:tcPr>
          <w:p w14:paraId="6429A355">
            <w:pPr>
              <w:jc w:val="center"/>
              <w:rPr>
                <w:rFonts w:ascii="宋体" w:hAnsi="宋体" w:eastAsia="宋体"/>
                <w:color w:val="auto"/>
                <w:sz w:val="24"/>
                <w:highlight w:val="none"/>
              </w:rPr>
            </w:pPr>
          </w:p>
        </w:tc>
      </w:tr>
    </w:tbl>
    <w:p w14:paraId="1D07CFB0">
      <w:pPr>
        <w:spacing w:line="440" w:lineRule="exact"/>
        <w:ind w:firstLine="4800" w:firstLineChars="2000"/>
        <w:jc w:val="left"/>
        <w:rPr>
          <w:rFonts w:ascii="宋体" w:hAnsi="宋体" w:eastAsia="宋体"/>
          <w:color w:val="auto"/>
          <w:sz w:val="24"/>
          <w:szCs w:val="24"/>
          <w:highlight w:val="none"/>
        </w:rPr>
      </w:pPr>
      <w:r>
        <w:rPr>
          <w:rFonts w:hint="eastAsia" w:ascii="宋体" w:hAnsi="宋体" w:eastAsia="宋体"/>
          <w:color w:val="auto"/>
          <w:sz w:val="24"/>
          <w:szCs w:val="24"/>
          <w:highlight w:val="none"/>
        </w:rPr>
        <w:t xml:space="preserve">供应商公章：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w:t>
      </w:r>
    </w:p>
    <w:p w14:paraId="54EC9188">
      <w:pPr>
        <w:spacing w:line="440" w:lineRule="exact"/>
        <w:ind w:firstLine="4800" w:firstLineChars="2000"/>
        <w:jc w:val="left"/>
        <w:rPr>
          <w:rFonts w:ascii="宋体" w:hAnsi="宋体" w:eastAsia="宋体"/>
          <w:color w:val="auto"/>
          <w:sz w:val="24"/>
          <w:szCs w:val="24"/>
          <w:highlight w:val="none"/>
        </w:rPr>
      </w:pPr>
      <w:r>
        <w:rPr>
          <w:rFonts w:hint="eastAsia" w:ascii="宋体" w:hAnsi="宋体" w:eastAsia="宋体"/>
          <w:color w:val="auto"/>
          <w:sz w:val="24"/>
          <w:szCs w:val="24"/>
          <w:highlight w:val="none"/>
        </w:rPr>
        <w:t xml:space="preserve">日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期：             </w:t>
      </w:r>
    </w:p>
    <w:p w14:paraId="1E1F7833">
      <w:pPr>
        <w:adjustRightInd w:val="0"/>
        <w:snapToGrid w:val="0"/>
        <w:spacing w:line="360" w:lineRule="auto"/>
        <w:jc w:val="left"/>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02E42B6E">
      <w:pPr>
        <w:adjustRightInd w:val="0"/>
        <w:snapToGrid w:val="0"/>
        <w:spacing w:line="360" w:lineRule="auto"/>
        <w:ind w:firstLine="482" w:firstLineChars="200"/>
        <w:jc w:val="left"/>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555AA2C9">
      <w:pPr>
        <w:widowControl/>
        <w:jc w:val="left"/>
        <w:rPr>
          <w:rFonts w:ascii="宋体" w:hAnsi="宋体" w:eastAsia="宋体"/>
          <w:b/>
          <w:bCs/>
          <w:color w:val="auto"/>
          <w:sz w:val="24"/>
          <w:szCs w:val="28"/>
          <w:highlight w:val="none"/>
        </w:rPr>
      </w:pPr>
      <w:r>
        <w:rPr>
          <w:rFonts w:ascii="宋体" w:hAnsi="宋体" w:eastAsia="宋体"/>
          <w:b/>
          <w:bCs/>
          <w:color w:val="auto"/>
          <w:sz w:val="24"/>
          <w:szCs w:val="28"/>
          <w:highlight w:val="none"/>
        </w:rPr>
        <w:br w:type="page"/>
      </w:r>
    </w:p>
    <w:p w14:paraId="31987464">
      <w:pPr>
        <w:spacing w:line="360" w:lineRule="auto"/>
        <w:jc w:val="center"/>
        <w:outlineLvl w:val="2"/>
        <w:rPr>
          <w:rFonts w:hint="eastAsia" w:ascii="宋体" w:hAnsi="宋体" w:eastAsia="宋体"/>
          <w:b/>
          <w:color w:val="auto"/>
          <w:sz w:val="28"/>
          <w:szCs w:val="28"/>
          <w:highlight w:val="none"/>
        </w:rPr>
      </w:pPr>
      <w:bookmarkStart w:id="161" w:name="_Toc461056632"/>
      <w:bookmarkStart w:id="162" w:name="_Toc461053087"/>
      <w:bookmarkStart w:id="163" w:name="_Toc520983588"/>
      <w:r>
        <w:rPr>
          <w:rFonts w:hint="eastAsia" w:ascii="宋体" w:hAnsi="宋体" w:eastAsia="宋体"/>
          <w:b/>
          <w:color w:val="auto"/>
          <w:sz w:val="28"/>
          <w:szCs w:val="28"/>
          <w:highlight w:val="none"/>
        </w:rPr>
        <w:t>二</w:t>
      </w:r>
      <w:bookmarkEnd w:id="161"/>
      <w:bookmarkEnd w:id="162"/>
      <w:r>
        <w:rPr>
          <w:rFonts w:hint="eastAsia" w:ascii="宋体" w:hAnsi="宋体" w:eastAsia="宋体"/>
          <w:b/>
          <w:color w:val="auto"/>
          <w:sz w:val="28"/>
          <w:szCs w:val="28"/>
          <w:highlight w:val="none"/>
        </w:rPr>
        <w:t>、最后承诺报价表</w:t>
      </w:r>
      <w:bookmarkEnd w:id="163"/>
    </w:p>
    <w:p w14:paraId="3ED6143F">
      <w:pPr>
        <w:spacing w:before="156" w:beforeLines="50" w:after="156" w:afterLines="50" w:line="360" w:lineRule="auto"/>
        <w:ind w:firstLine="236" w:firstLineChars="98"/>
        <w:jc w:val="center"/>
        <w:rPr>
          <w:rFonts w:ascii="宋体" w:hAnsi="宋体" w:eastAsia="宋体"/>
          <w:b/>
          <w:color w:val="auto"/>
          <w:sz w:val="24"/>
          <w:szCs w:val="28"/>
          <w:highlight w:val="none"/>
        </w:rPr>
      </w:pPr>
      <w:r>
        <w:rPr>
          <w:rFonts w:hint="eastAsia" w:ascii="宋体" w:hAnsi="宋体" w:eastAsia="宋体"/>
          <w:b/>
          <w:color w:val="auto"/>
          <w:sz w:val="24"/>
          <w:szCs w:val="28"/>
          <w:highlight w:val="none"/>
        </w:rPr>
        <w:t>（</w:t>
      </w:r>
      <w:r>
        <w:rPr>
          <w:rFonts w:hint="eastAsia" w:ascii="宋体" w:hAnsi="宋体" w:eastAsia="宋体"/>
          <w:b/>
          <w:color w:val="auto"/>
          <w:sz w:val="24"/>
          <w:szCs w:val="28"/>
          <w:highlight w:val="none"/>
          <w:lang w:eastAsia="zh-CN"/>
        </w:rPr>
        <w:t>安徽省城镇保障性安居工程委托第三方现场核实评估</w:t>
      </w:r>
      <w:r>
        <w:rPr>
          <w:rFonts w:hint="eastAsia" w:ascii="宋体" w:hAnsi="宋体" w:eastAsia="宋体"/>
          <w:b/>
          <w:color w:val="auto"/>
          <w:sz w:val="24"/>
          <w:szCs w:val="28"/>
          <w:highlight w:val="none"/>
        </w:rPr>
        <w:t>第</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rPr>
        <w:t>次报价书）</w:t>
      </w:r>
    </w:p>
    <w:p w14:paraId="2953B3F9">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eastAsia="zh-CN"/>
        </w:rPr>
        <w:t>安徽省城镇保障性安居工程委托第三方现场核实评估</w:t>
      </w:r>
      <w:r>
        <w:rPr>
          <w:rFonts w:hint="eastAsia" w:ascii="宋体" w:hAnsi="宋体" w:eastAsia="宋体"/>
          <w:b/>
          <w:color w:val="auto"/>
          <w:sz w:val="24"/>
          <w:szCs w:val="28"/>
          <w:highlight w:val="none"/>
          <w:u w:val="single"/>
        </w:rPr>
        <w:t xml:space="preserve"> </w:t>
      </w:r>
    </w:p>
    <w:p w14:paraId="2FC9A51C">
      <w:pPr>
        <w:snapToGrid w:val="0"/>
        <w:spacing w:after="156" w:afterLines="50" w:line="360" w:lineRule="auto"/>
        <w:jc w:val="left"/>
        <w:rPr>
          <w:rFonts w:ascii="宋体" w:hAnsi="宋体" w:eastAsia="宋体"/>
          <w:b/>
          <w:bCs/>
          <w:color w:val="auto"/>
          <w:sz w:val="24"/>
          <w:szCs w:val="28"/>
          <w:highlight w:val="non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eastAsia="zh-CN"/>
        </w:rPr>
        <w:t>ZB202504052</w:t>
      </w:r>
      <w:r>
        <w:rPr>
          <w:rFonts w:hint="eastAsia" w:ascii="宋体" w:hAnsi="宋体" w:eastAsia="宋体"/>
          <w:b/>
          <w:color w:val="auto"/>
          <w:sz w:val="24"/>
          <w:szCs w:val="28"/>
          <w:highlight w:val="none"/>
          <w:u w:val="single"/>
        </w:rPr>
        <w:t xml:space="preserve">     </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9"/>
        <w:gridCol w:w="6063"/>
      </w:tblGrid>
      <w:tr w14:paraId="76507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459" w:type="dxa"/>
            <w:tcBorders>
              <w:top w:val="single" w:color="auto" w:sz="4" w:space="0"/>
              <w:left w:val="single" w:color="auto" w:sz="4" w:space="0"/>
              <w:bottom w:val="single" w:color="auto" w:sz="4" w:space="0"/>
              <w:right w:val="single" w:color="auto" w:sz="4" w:space="0"/>
            </w:tcBorders>
            <w:noWrap w:val="0"/>
            <w:vAlign w:val="center"/>
          </w:tcPr>
          <w:p w14:paraId="3B4B888A">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供应商名称</w:t>
            </w:r>
          </w:p>
        </w:tc>
        <w:tc>
          <w:tcPr>
            <w:tcW w:w="6063" w:type="dxa"/>
            <w:tcBorders>
              <w:left w:val="single" w:color="auto" w:sz="4" w:space="0"/>
            </w:tcBorders>
            <w:noWrap w:val="0"/>
            <w:vAlign w:val="top"/>
          </w:tcPr>
          <w:p w14:paraId="1AC78F66">
            <w:pPr>
              <w:spacing w:line="360" w:lineRule="auto"/>
              <w:rPr>
                <w:rFonts w:ascii="宋体" w:hAnsi="宋体" w:eastAsia="宋体"/>
                <w:b/>
                <w:color w:val="auto"/>
                <w:sz w:val="24"/>
                <w:highlight w:val="none"/>
              </w:rPr>
            </w:pPr>
          </w:p>
        </w:tc>
      </w:tr>
      <w:tr w14:paraId="294E7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59" w:type="dxa"/>
            <w:tcBorders>
              <w:top w:val="single" w:color="auto" w:sz="4" w:space="0"/>
              <w:left w:val="single" w:color="auto" w:sz="4" w:space="0"/>
              <w:bottom w:val="single" w:color="auto" w:sz="4" w:space="0"/>
              <w:right w:val="single" w:color="auto" w:sz="4" w:space="0"/>
            </w:tcBorders>
            <w:noWrap w:val="0"/>
            <w:vAlign w:val="center"/>
          </w:tcPr>
          <w:p w14:paraId="615DE23D">
            <w:pPr>
              <w:spacing w:line="360" w:lineRule="exact"/>
              <w:jc w:val="center"/>
              <w:rPr>
                <w:rFonts w:ascii="宋体" w:hAnsi="宋体" w:eastAsia="宋体"/>
                <w:b/>
                <w:color w:val="auto"/>
                <w:sz w:val="24"/>
                <w:highlight w:val="none"/>
              </w:rPr>
            </w:pPr>
            <w:r>
              <w:rPr>
                <w:rFonts w:hint="eastAsia" w:ascii="宋体" w:hAnsi="宋体" w:eastAsia="宋体"/>
                <w:b/>
                <w:bCs/>
                <w:color w:val="auto"/>
                <w:sz w:val="24"/>
                <w:szCs w:val="28"/>
                <w:highlight w:val="none"/>
              </w:rPr>
              <w:t>磋商</w:t>
            </w:r>
            <w:r>
              <w:rPr>
                <w:rFonts w:hint="eastAsia" w:ascii="宋体" w:hAnsi="宋体" w:eastAsia="宋体"/>
                <w:b/>
                <w:color w:val="auto"/>
                <w:sz w:val="24"/>
                <w:highlight w:val="none"/>
              </w:rPr>
              <w:t>范围</w:t>
            </w:r>
          </w:p>
        </w:tc>
        <w:tc>
          <w:tcPr>
            <w:tcW w:w="6063" w:type="dxa"/>
            <w:tcBorders>
              <w:left w:val="single" w:color="auto" w:sz="4" w:space="0"/>
            </w:tcBorders>
            <w:noWrap w:val="0"/>
            <w:vAlign w:val="center"/>
          </w:tcPr>
          <w:p w14:paraId="6C6A3DAF">
            <w:pPr>
              <w:widowControl/>
              <w:spacing w:line="360" w:lineRule="exact"/>
              <w:rPr>
                <w:rFonts w:ascii="宋体" w:hAnsi="宋体" w:eastAsia="宋体"/>
                <w:b/>
                <w:color w:val="auto"/>
                <w:sz w:val="24"/>
                <w:highlight w:val="none"/>
              </w:rPr>
            </w:pPr>
            <w:r>
              <w:rPr>
                <w:rFonts w:hint="eastAsia" w:ascii="宋体" w:hAnsi="宋体" w:eastAsia="宋体"/>
                <w:color w:val="auto"/>
                <w:sz w:val="24"/>
                <w:szCs w:val="28"/>
                <w:highlight w:val="none"/>
              </w:rPr>
              <w:t xml:space="preserve">全部 </w:t>
            </w:r>
          </w:p>
        </w:tc>
      </w:tr>
      <w:tr w14:paraId="16C33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2459" w:type="dxa"/>
            <w:tcBorders>
              <w:top w:val="single" w:color="auto" w:sz="4" w:space="0"/>
            </w:tcBorders>
            <w:noWrap w:val="0"/>
            <w:vAlign w:val="center"/>
          </w:tcPr>
          <w:p w14:paraId="57DF389F">
            <w:pPr>
              <w:spacing w:line="360" w:lineRule="auto"/>
              <w:jc w:val="center"/>
              <w:rPr>
                <w:rFonts w:ascii="宋体" w:hAnsi="宋体" w:eastAsia="宋体"/>
                <w:b/>
                <w:color w:val="auto"/>
                <w:sz w:val="24"/>
                <w:highlight w:val="none"/>
              </w:rPr>
            </w:pPr>
            <w:r>
              <w:rPr>
                <w:rFonts w:hint="eastAsia" w:ascii="宋体" w:hAnsi="宋体" w:eastAsia="宋体"/>
                <w:b/>
                <w:bCs/>
                <w:color w:val="auto"/>
                <w:sz w:val="24"/>
                <w:szCs w:val="28"/>
                <w:highlight w:val="none"/>
              </w:rPr>
              <w:t>最后报价</w:t>
            </w:r>
          </w:p>
          <w:p w14:paraId="677AD791">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6063" w:type="dxa"/>
            <w:noWrap w:val="0"/>
            <w:vAlign w:val="center"/>
          </w:tcPr>
          <w:p w14:paraId="14E88B0A">
            <w:pPr>
              <w:snapToGrid w:val="0"/>
              <w:spacing w:line="360" w:lineRule="auto"/>
              <w:jc w:val="left"/>
              <w:rPr>
                <w:rFonts w:ascii="宋体" w:hAnsi="宋体" w:eastAsia="宋体"/>
                <w:color w:val="auto"/>
                <w:sz w:val="24"/>
                <w:szCs w:val="28"/>
                <w:highlight w:val="none"/>
              </w:rPr>
            </w:pPr>
          </w:p>
          <w:p w14:paraId="37CB9AB8">
            <w:pPr>
              <w:spacing w:line="360" w:lineRule="exact"/>
              <w:jc w:val="lef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大写：</w:t>
            </w:r>
            <w:r>
              <w:rPr>
                <w:rFonts w:hint="eastAsia" w:ascii="宋体" w:hAnsi="宋体" w:eastAsia="宋体" w:cs="宋体"/>
                <w:bCs/>
                <w:color w:val="auto"/>
                <w:sz w:val="24"/>
                <w:highlight w:val="none"/>
                <w:u w:val="single"/>
              </w:rPr>
              <w:t xml:space="preserve">                   </w:t>
            </w:r>
          </w:p>
          <w:p w14:paraId="631E3010">
            <w:pPr>
              <w:spacing w:line="360" w:lineRule="exact"/>
              <w:jc w:val="left"/>
              <w:rPr>
                <w:rFonts w:hint="eastAsia" w:ascii="宋体" w:hAnsi="宋体" w:eastAsia="宋体" w:cs="宋体"/>
                <w:bCs/>
                <w:color w:val="auto"/>
                <w:sz w:val="24"/>
                <w:highlight w:val="none"/>
              </w:rPr>
            </w:pPr>
          </w:p>
          <w:p w14:paraId="7C1A6F50">
            <w:pPr>
              <w:snapToGrid w:val="0"/>
              <w:spacing w:line="360" w:lineRule="auto"/>
              <w:jc w:val="left"/>
              <w:rPr>
                <w:rFonts w:ascii="宋体" w:hAnsi="宋体" w:eastAsia="宋体"/>
                <w:b/>
                <w:color w:val="auto"/>
                <w:sz w:val="24"/>
                <w:highlight w:val="none"/>
              </w:rPr>
            </w:pPr>
            <w:r>
              <w:rPr>
                <w:rFonts w:hint="eastAsia" w:ascii="宋体" w:hAnsi="宋体" w:eastAsia="宋体" w:cs="宋体"/>
                <w:bCs/>
                <w:color w:val="auto"/>
                <w:sz w:val="24"/>
                <w:highlight w:val="none"/>
              </w:rPr>
              <w:t>小写：</w:t>
            </w:r>
            <w:r>
              <w:rPr>
                <w:rFonts w:hint="eastAsia" w:ascii="宋体" w:hAnsi="宋体" w:eastAsia="宋体" w:cs="宋体"/>
                <w:bCs/>
                <w:color w:val="auto"/>
                <w:sz w:val="24"/>
                <w:highlight w:val="none"/>
                <w:u w:val="single"/>
              </w:rPr>
              <w:t xml:space="preserve">                   </w:t>
            </w:r>
          </w:p>
        </w:tc>
      </w:tr>
      <w:tr w14:paraId="1A217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3" w:hRule="atLeast"/>
          <w:jc w:val="center"/>
        </w:trPr>
        <w:tc>
          <w:tcPr>
            <w:tcW w:w="2459" w:type="dxa"/>
            <w:noWrap w:val="0"/>
            <w:vAlign w:val="center"/>
          </w:tcPr>
          <w:p w14:paraId="5C75FD21">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备注说明</w:t>
            </w:r>
          </w:p>
        </w:tc>
        <w:tc>
          <w:tcPr>
            <w:tcW w:w="6063" w:type="dxa"/>
            <w:noWrap w:val="0"/>
            <w:vAlign w:val="top"/>
          </w:tcPr>
          <w:p w14:paraId="6984905E">
            <w:pPr>
              <w:spacing w:line="360" w:lineRule="auto"/>
              <w:jc w:val="left"/>
              <w:rPr>
                <w:rFonts w:ascii="宋体" w:hAnsi="宋体" w:eastAsia="宋体"/>
                <w:b/>
                <w:color w:val="auto"/>
                <w:sz w:val="24"/>
                <w:highlight w:val="none"/>
              </w:rPr>
            </w:pPr>
            <w:r>
              <w:rPr>
                <w:rFonts w:hint="eastAsia" w:ascii="宋体" w:hAnsi="宋体" w:eastAsia="宋体"/>
                <w:b/>
                <w:i/>
                <w:color w:val="auto"/>
                <w:sz w:val="24"/>
                <w:highlight w:val="none"/>
              </w:rPr>
              <w:t>（此处可补充磋商小组根据与供应商磋商情况变动的磋商文件的内容，包括采购需求中的技术、服务要求以及合同草案条款。）</w:t>
            </w:r>
          </w:p>
        </w:tc>
      </w:tr>
      <w:tr w14:paraId="09101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2459" w:type="dxa"/>
            <w:noWrap w:val="0"/>
            <w:vAlign w:val="center"/>
          </w:tcPr>
          <w:p w14:paraId="3E29D28A">
            <w:pPr>
              <w:spacing w:line="360" w:lineRule="auto"/>
              <w:jc w:val="center"/>
              <w:rPr>
                <w:rFonts w:ascii="宋体" w:hAnsi="宋体" w:eastAsia="宋体"/>
                <w:b/>
                <w:color w:val="auto"/>
                <w:sz w:val="24"/>
                <w:highlight w:val="none"/>
              </w:rPr>
            </w:pPr>
            <w:r>
              <w:rPr>
                <w:rFonts w:hint="eastAsia" w:ascii="宋体" w:hAnsi="宋体" w:eastAsia="宋体"/>
                <w:b/>
                <w:bCs/>
                <w:color w:val="auto"/>
                <w:sz w:val="24"/>
                <w:szCs w:val="28"/>
                <w:highlight w:val="none"/>
              </w:rPr>
              <w:t>磋商小组</w:t>
            </w:r>
            <w:r>
              <w:rPr>
                <w:rFonts w:ascii="宋体" w:hAnsi="宋体" w:eastAsia="宋体"/>
                <w:b/>
                <w:bCs/>
                <w:color w:val="auto"/>
                <w:sz w:val="24"/>
                <w:szCs w:val="28"/>
                <w:highlight w:val="none"/>
              </w:rPr>
              <w:t>签字</w:t>
            </w:r>
          </w:p>
        </w:tc>
        <w:tc>
          <w:tcPr>
            <w:tcW w:w="6063" w:type="dxa"/>
            <w:noWrap w:val="0"/>
            <w:vAlign w:val="top"/>
          </w:tcPr>
          <w:p w14:paraId="47C209D7">
            <w:pPr>
              <w:spacing w:line="360" w:lineRule="auto"/>
              <w:jc w:val="left"/>
              <w:rPr>
                <w:rFonts w:ascii="宋体" w:hAnsi="宋体" w:eastAsia="宋体"/>
                <w:b/>
                <w:color w:val="auto"/>
                <w:sz w:val="24"/>
                <w:highlight w:val="none"/>
              </w:rPr>
            </w:pPr>
          </w:p>
        </w:tc>
      </w:tr>
    </w:tbl>
    <w:p w14:paraId="0496673C">
      <w:pPr>
        <w:spacing w:line="360" w:lineRule="auto"/>
        <w:ind w:firstLine="1680" w:firstLineChars="700"/>
        <w:jc w:val="left"/>
        <w:rPr>
          <w:rFonts w:ascii="宋体" w:hAnsi="宋体" w:eastAsia="宋体"/>
          <w:color w:val="auto"/>
          <w:sz w:val="24"/>
          <w:highlight w:val="none"/>
        </w:rPr>
      </w:pPr>
      <w:r>
        <w:rPr>
          <w:rFonts w:hint="eastAsia" w:ascii="宋体" w:hAnsi="宋体" w:eastAsia="宋体"/>
          <w:color w:val="auto"/>
          <w:sz w:val="24"/>
          <w:highlight w:val="none"/>
        </w:rPr>
        <w:t xml:space="preserve">                            供应商公章或授权代表签字：</w:t>
      </w:r>
    </w:p>
    <w:p w14:paraId="36B614B1">
      <w:pPr>
        <w:spacing w:line="360" w:lineRule="auto"/>
        <w:ind w:firstLine="5040" w:firstLineChars="2100"/>
        <w:jc w:val="left"/>
        <w:rPr>
          <w:rFonts w:ascii="宋体" w:hAnsi="宋体" w:eastAsia="宋体"/>
          <w:color w:val="auto"/>
          <w:sz w:val="24"/>
          <w:highlight w:val="none"/>
          <w:u w:val="single"/>
        </w:rPr>
      </w:pPr>
      <w:r>
        <w:rPr>
          <w:rFonts w:hint="eastAsia" w:ascii="宋体" w:hAnsi="宋体" w:eastAsia="宋体"/>
          <w:color w:val="auto"/>
          <w:sz w:val="24"/>
          <w:highlight w:val="none"/>
        </w:rPr>
        <w:t xml:space="preserve">日      期：                    </w:t>
      </w:r>
    </w:p>
    <w:p w14:paraId="6828BAD3">
      <w:pPr>
        <w:spacing w:line="360" w:lineRule="auto"/>
        <w:jc w:val="left"/>
        <w:rPr>
          <w:rFonts w:ascii="宋体" w:hAnsi="宋体" w:eastAsia="宋体"/>
          <w:bCs/>
          <w:color w:val="auto"/>
          <w:sz w:val="24"/>
          <w:highlight w:val="none"/>
        </w:rPr>
      </w:pPr>
      <w:r>
        <w:rPr>
          <w:rFonts w:hint="eastAsia" w:ascii="宋体" w:hAnsi="宋体" w:eastAsia="宋体"/>
          <w:b/>
          <w:bCs/>
          <w:color w:val="auto"/>
          <w:sz w:val="24"/>
          <w:highlight w:val="none"/>
        </w:rPr>
        <w:t>注：本页《报价表》由供应商在</w:t>
      </w:r>
      <w:r>
        <w:rPr>
          <w:rFonts w:hint="eastAsia" w:ascii="宋体" w:hAnsi="宋体" w:eastAsia="宋体"/>
          <w:b/>
          <w:bCs/>
          <w:color w:val="auto"/>
          <w:sz w:val="24"/>
          <w:szCs w:val="28"/>
          <w:highlight w:val="none"/>
        </w:rPr>
        <w:t>接到报价通知后</w:t>
      </w:r>
      <w:r>
        <w:rPr>
          <w:rFonts w:hint="eastAsia" w:ascii="宋体" w:hAnsi="宋体" w:eastAsia="宋体"/>
          <w:b/>
          <w:bCs/>
          <w:color w:val="auto"/>
          <w:sz w:val="24"/>
          <w:highlight w:val="none"/>
        </w:rPr>
        <w:t>依</w:t>
      </w:r>
      <w:r>
        <w:rPr>
          <w:rFonts w:hint="eastAsia" w:ascii="宋体" w:hAnsi="宋体" w:eastAsia="宋体"/>
          <w:b/>
          <w:bCs/>
          <w:color w:val="auto"/>
          <w:sz w:val="24"/>
          <w:szCs w:val="28"/>
          <w:highlight w:val="none"/>
        </w:rPr>
        <w:t>磋商</w:t>
      </w:r>
      <w:r>
        <w:rPr>
          <w:rFonts w:hint="eastAsia" w:ascii="宋体" w:hAnsi="宋体" w:eastAsia="宋体"/>
          <w:b/>
          <w:bCs/>
          <w:color w:val="auto"/>
          <w:sz w:val="24"/>
          <w:highlight w:val="none"/>
        </w:rPr>
        <w:t>情况填写，并在规定时间内上传。</w:t>
      </w:r>
      <w:r>
        <w:rPr>
          <w:rFonts w:hint="eastAsia" w:ascii="宋体" w:hAnsi="宋体" w:eastAsia="宋体"/>
          <w:color w:val="auto"/>
          <w:sz w:val="24"/>
          <w:highlight w:val="none"/>
        </w:rPr>
        <w:t>考虑磋商报价的方便，供应商在填写最后承诺报价后，（第一次报价-最后承诺报价）除以第一次报价后得出的优惠率视同为需求表中全部分项设备、工程量或服务的优惠浮动值（特定分项优惠除外），而不考虑措施项目清单和规费税金清单的金额改变。</w:t>
      </w:r>
      <w:r>
        <w:rPr>
          <w:rFonts w:hint="eastAsia" w:ascii="宋体" w:hAnsi="宋体" w:eastAsia="宋体"/>
          <w:bCs/>
          <w:color w:val="auto"/>
          <w:sz w:val="24"/>
          <w:highlight w:val="none"/>
        </w:rPr>
        <w:t>此优惠率调整原则适用于合同内价格的计算及项目增减、变更时价格的计算。</w:t>
      </w:r>
    </w:p>
    <w:p w14:paraId="507209F5">
      <w:pPr>
        <w:widowControl/>
        <w:jc w:val="left"/>
        <w:rPr>
          <w:rFonts w:ascii="宋体" w:hAnsi="宋体" w:eastAsia="宋体"/>
          <w:bCs/>
          <w:color w:val="auto"/>
          <w:sz w:val="24"/>
          <w:highlight w:val="none"/>
        </w:rPr>
      </w:pPr>
      <w:r>
        <w:rPr>
          <w:rFonts w:ascii="宋体" w:hAnsi="宋体" w:eastAsia="宋体"/>
          <w:bCs/>
          <w:color w:val="auto"/>
          <w:sz w:val="24"/>
          <w:highlight w:val="none"/>
        </w:rPr>
        <w:br w:type="page"/>
      </w:r>
    </w:p>
    <w:p w14:paraId="441399EE">
      <w:pPr>
        <w:spacing w:line="360" w:lineRule="auto"/>
        <w:jc w:val="center"/>
        <w:outlineLvl w:val="2"/>
        <w:rPr>
          <w:rFonts w:hint="eastAsia" w:ascii="宋体" w:hAnsi="宋体" w:eastAsia="宋体"/>
          <w:b/>
          <w:color w:val="auto"/>
          <w:sz w:val="28"/>
          <w:szCs w:val="28"/>
          <w:highlight w:val="none"/>
        </w:rPr>
      </w:pPr>
      <w:bookmarkStart w:id="164" w:name="_Toc520983591"/>
      <w:r>
        <w:rPr>
          <w:rFonts w:hint="eastAsia" w:ascii="宋体" w:hAnsi="宋体" w:eastAsia="宋体"/>
          <w:b/>
          <w:color w:val="auto"/>
          <w:sz w:val="28"/>
          <w:szCs w:val="28"/>
          <w:highlight w:val="none"/>
        </w:rPr>
        <w:t>三、磋商响应函</w:t>
      </w:r>
      <w:bookmarkEnd w:id="164"/>
    </w:p>
    <w:p w14:paraId="3C2D660B">
      <w:pPr>
        <w:widowControl w:val="0"/>
        <w:spacing w:line="360" w:lineRule="auto"/>
        <w:jc w:val="left"/>
        <w:rPr>
          <w:rFonts w:hint="eastAsia" w:ascii="宋体" w:hAnsi="宋体" w:eastAsia="宋体" w:cs="Arial"/>
          <w:b/>
          <w:color w:val="auto"/>
          <w:kern w:val="2"/>
          <w:sz w:val="24"/>
          <w:highlight w:val="none"/>
          <w:lang w:val="en-US" w:eastAsia="zh-CN" w:bidi="ar-SA"/>
        </w:rPr>
      </w:pPr>
      <w:r>
        <w:rPr>
          <w:rFonts w:hint="eastAsia" w:ascii="宋体" w:hAnsi="宋体" w:eastAsia="宋体" w:cs="Arial"/>
          <w:b/>
          <w:color w:val="auto"/>
          <w:kern w:val="2"/>
          <w:sz w:val="24"/>
          <w:highlight w:val="none"/>
          <w:lang w:val="en-US" w:eastAsia="zh-CN" w:bidi="ar-SA"/>
        </w:rPr>
        <w:t>致：安徽省住房和城乡建设厅</w:t>
      </w:r>
    </w:p>
    <w:p w14:paraId="768CAFE3">
      <w:pPr>
        <w:widowControl w:val="0"/>
        <w:spacing w:line="360" w:lineRule="auto"/>
        <w:ind w:firstLine="472" w:firstLineChars="196"/>
        <w:jc w:val="left"/>
        <w:rPr>
          <w:rFonts w:hint="eastAsia" w:ascii="宋体" w:hAnsi="宋体" w:eastAsia="宋体" w:cs="Arial"/>
          <w:b/>
          <w:color w:val="auto"/>
          <w:kern w:val="2"/>
          <w:sz w:val="24"/>
          <w:highlight w:val="none"/>
          <w:lang w:val="en-US" w:eastAsia="zh-CN" w:bidi="ar-SA"/>
        </w:rPr>
      </w:pPr>
      <w:r>
        <w:rPr>
          <w:rFonts w:hint="eastAsia" w:ascii="宋体" w:hAnsi="宋体" w:eastAsia="宋体" w:cs="Arial"/>
          <w:b/>
          <w:color w:val="auto"/>
          <w:kern w:val="2"/>
          <w:sz w:val="24"/>
          <w:szCs w:val="24"/>
          <w:highlight w:val="none"/>
          <w:lang w:val="en-US" w:eastAsia="zh-CN" w:bidi="ar-SA"/>
        </w:rPr>
        <w:t>鼎信数智技术集团股份有限公司</w:t>
      </w:r>
    </w:p>
    <w:p w14:paraId="5EA7D4B9">
      <w:pPr>
        <w:spacing w:line="360" w:lineRule="auto"/>
        <w:ind w:firstLine="480" w:firstLineChars="200"/>
        <w:jc w:val="left"/>
        <w:rPr>
          <w:rFonts w:ascii="宋体" w:hAnsi="宋体" w:eastAsia="宋体"/>
          <w:dstrike/>
          <w:color w:val="auto"/>
          <w:sz w:val="24"/>
          <w:highlight w:val="none"/>
        </w:rPr>
      </w:pPr>
      <w:r>
        <w:rPr>
          <w:rFonts w:hint="eastAsia" w:ascii="宋体" w:hAnsi="宋体" w:eastAsia="宋体"/>
          <w:color w:val="auto"/>
          <w:sz w:val="24"/>
          <w:highlight w:val="none"/>
        </w:rPr>
        <w:t>根据贵方的竞争性磋商公告，我方兹宣布同意如下：</w:t>
      </w:r>
    </w:p>
    <w:p w14:paraId="61FD0666">
      <w:pPr>
        <w:spacing w:line="360" w:lineRule="auto"/>
        <w:ind w:firstLine="480" w:firstLineChars="200"/>
        <w:jc w:val="left"/>
        <w:rPr>
          <w:rFonts w:hint="eastAsia" w:ascii="宋体" w:hAnsi="宋体" w:eastAsia="宋体"/>
          <w:color w:val="auto"/>
          <w:sz w:val="24"/>
          <w:highlight w:val="none"/>
        </w:rPr>
      </w:pPr>
      <w:r>
        <w:rPr>
          <w:rFonts w:hint="eastAsia" w:ascii="宋体" w:hAnsi="宋体" w:eastAsia="宋体"/>
          <w:color w:val="auto"/>
          <w:sz w:val="24"/>
          <w:highlight w:val="none"/>
        </w:rPr>
        <w:t>1.如我公司成交，我公司承诺愿意按磋商文件规定缴纳履约保证金和成交服务费。按本次磋商文件规定及最后报价承诺提供服务。</w:t>
      </w:r>
    </w:p>
    <w:p w14:paraId="469BDD4B">
      <w:pPr>
        <w:spacing w:line="360" w:lineRule="auto"/>
        <w:ind w:firstLine="480" w:firstLineChars="200"/>
        <w:jc w:val="left"/>
        <w:rPr>
          <w:rFonts w:ascii="宋体" w:hAnsi="宋体" w:eastAsia="宋体"/>
          <w:color w:val="auto"/>
          <w:sz w:val="24"/>
          <w:highlight w:val="none"/>
        </w:rPr>
      </w:pPr>
      <w:r>
        <w:rPr>
          <w:rFonts w:hint="eastAsia" w:ascii="宋体" w:hAnsi="宋体" w:eastAsia="宋体"/>
          <w:color w:val="auto"/>
          <w:sz w:val="24"/>
          <w:highlight w:val="none"/>
        </w:rPr>
        <w:t>2.我方根据本次磋商文件的规定，严格履行合同的责任和义务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并保证于买方要求的日期内完成服务，并通过买方验收。</w:t>
      </w:r>
    </w:p>
    <w:p w14:paraId="606444E3">
      <w:pPr>
        <w:spacing w:line="360" w:lineRule="auto"/>
        <w:ind w:firstLine="480" w:firstLineChars="200"/>
        <w:jc w:val="left"/>
        <w:rPr>
          <w:rFonts w:ascii="宋体" w:hAnsi="宋体" w:eastAsia="宋体"/>
          <w:color w:val="auto"/>
          <w:sz w:val="24"/>
          <w:highlight w:val="none"/>
        </w:rPr>
      </w:pPr>
      <w:r>
        <w:rPr>
          <w:rFonts w:hint="eastAsia" w:ascii="宋体" w:hAnsi="宋体" w:eastAsia="宋体"/>
          <w:color w:val="auto"/>
          <w:sz w:val="24"/>
          <w:highlight w:val="none"/>
        </w:rPr>
        <w:t>3.我方承诺报价低于</w:t>
      </w:r>
      <w:r>
        <w:rPr>
          <w:rFonts w:ascii="宋体" w:hAnsi="宋体" w:eastAsia="宋体"/>
          <w:color w:val="auto"/>
          <w:sz w:val="24"/>
          <w:highlight w:val="none"/>
        </w:rPr>
        <w:t>同类</w:t>
      </w:r>
      <w:r>
        <w:rPr>
          <w:rFonts w:hint="eastAsia" w:ascii="宋体" w:hAnsi="宋体" w:eastAsia="宋体"/>
          <w:color w:val="auto"/>
          <w:sz w:val="24"/>
          <w:highlight w:val="none"/>
        </w:rPr>
        <w:t>货物和</w:t>
      </w:r>
      <w:r>
        <w:rPr>
          <w:rFonts w:ascii="宋体" w:hAnsi="宋体" w:eastAsia="宋体"/>
          <w:color w:val="auto"/>
          <w:sz w:val="24"/>
          <w:highlight w:val="none"/>
        </w:rPr>
        <w:t>服务的市场平均价格。</w:t>
      </w:r>
    </w:p>
    <w:p w14:paraId="1E4F27E0">
      <w:pPr>
        <w:spacing w:line="360" w:lineRule="auto"/>
        <w:ind w:firstLine="480" w:firstLineChars="200"/>
        <w:jc w:val="left"/>
        <w:rPr>
          <w:rFonts w:ascii="宋体" w:hAnsi="宋体" w:eastAsia="宋体"/>
          <w:color w:val="auto"/>
          <w:sz w:val="24"/>
          <w:highlight w:val="none"/>
        </w:rPr>
      </w:pPr>
      <w:r>
        <w:rPr>
          <w:rFonts w:hint="eastAsia" w:ascii="宋体" w:hAnsi="宋体" w:eastAsia="宋体"/>
          <w:color w:val="auto"/>
          <w:sz w:val="24"/>
          <w:highlight w:val="none"/>
        </w:rPr>
        <w:t>4.我方已详细审核本次磋商文件，包括磋商文件附件、参考资料、磋商文件修改书或图纸（如有），我方正式认可并遵守本次磋商文件，并对磋商文件各项条款、规定及要求均无异议。我方知道必须放弃提出含糊不清或误解问题的权利。</w:t>
      </w:r>
    </w:p>
    <w:p w14:paraId="6F4A7EFA">
      <w:pPr>
        <w:spacing w:line="360" w:lineRule="auto"/>
        <w:ind w:firstLine="480" w:firstLineChars="200"/>
        <w:jc w:val="left"/>
        <w:rPr>
          <w:rFonts w:ascii="宋体" w:hAnsi="宋体" w:eastAsia="宋体"/>
          <w:color w:val="auto"/>
          <w:sz w:val="24"/>
          <w:highlight w:val="none"/>
        </w:rPr>
      </w:pPr>
      <w:r>
        <w:rPr>
          <w:rFonts w:hint="eastAsia" w:ascii="宋体" w:hAnsi="宋体" w:eastAsia="宋体"/>
          <w:color w:val="auto"/>
          <w:sz w:val="24"/>
          <w:highlight w:val="none"/>
        </w:rPr>
        <w:t>5.我方同意从供应商须知规定的磋商日期起遵循本磋商文件，并在供应商须知规定的磋商有效期之前均具有约束力。</w:t>
      </w:r>
    </w:p>
    <w:p w14:paraId="38F08F87">
      <w:pPr>
        <w:spacing w:line="360" w:lineRule="auto"/>
        <w:ind w:firstLine="480" w:firstLineChars="200"/>
        <w:jc w:val="left"/>
        <w:rPr>
          <w:rFonts w:ascii="宋体" w:hAnsi="宋体" w:eastAsia="宋体"/>
          <w:color w:val="auto"/>
          <w:sz w:val="24"/>
          <w:highlight w:val="none"/>
        </w:rPr>
      </w:pPr>
      <w:r>
        <w:rPr>
          <w:rFonts w:hint="eastAsia" w:ascii="宋体" w:hAnsi="宋体" w:eastAsia="宋体"/>
          <w:color w:val="auto"/>
          <w:sz w:val="24"/>
          <w:highlight w:val="none"/>
        </w:rPr>
        <w:t>6.我方承诺如磋商保证金未在磋商文件规定时间前到达贵方指定的账户，我方磋商无效，由此产生的一切后果由我方承担</w:t>
      </w:r>
      <w:r>
        <w:rPr>
          <w:rFonts w:hint="eastAsia" w:ascii="宋体" w:hAnsi="宋体" w:eastAsia="宋体"/>
          <w:bCs/>
          <w:color w:val="auto"/>
          <w:sz w:val="24"/>
          <w:highlight w:val="none"/>
        </w:rPr>
        <w:t>，且承诺磋商保证金转出账户真实有效</w:t>
      </w:r>
      <w:r>
        <w:rPr>
          <w:rFonts w:hint="eastAsia" w:ascii="宋体" w:hAnsi="宋体" w:eastAsia="宋体"/>
          <w:color w:val="auto"/>
          <w:sz w:val="24"/>
          <w:highlight w:val="none"/>
        </w:rPr>
        <w:t>。</w:t>
      </w:r>
    </w:p>
    <w:p w14:paraId="1D625D22">
      <w:pPr>
        <w:spacing w:line="360" w:lineRule="auto"/>
        <w:ind w:firstLine="480" w:firstLineChars="200"/>
        <w:jc w:val="left"/>
        <w:rPr>
          <w:rFonts w:ascii="宋体" w:hAnsi="宋体" w:eastAsia="宋体"/>
          <w:color w:val="auto"/>
          <w:sz w:val="24"/>
          <w:highlight w:val="none"/>
        </w:rPr>
      </w:pPr>
      <w:r>
        <w:rPr>
          <w:rFonts w:hint="eastAsia" w:ascii="宋体" w:hAnsi="宋体" w:eastAsia="宋体"/>
          <w:color w:val="auto"/>
          <w:sz w:val="24"/>
          <w:highlight w:val="none"/>
        </w:rPr>
        <w:t>7.我方同意按贵方要求在磋商现场规定时间内向贵方提供与其磋商有关的任何证据或补充资料，否则，我方的响应文件可被贵方拒绝。</w:t>
      </w:r>
    </w:p>
    <w:p w14:paraId="1844473B">
      <w:pPr>
        <w:spacing w:line="360" w:lineRule="auto"/>
        <w:ind w:firstLine="480" w:firstLineChars="200"/>
        <w:jc w:val="left"/>
        <w:rPr>
          <w:rFonts w:hint="eastAsia" w:ascii="宋体" w:hAnsi="宋体" w:eastAsia="宋体"/>
          <w:color w:val="auto"/>
          <w:sz w:val="24"/>
          <w:highlight w:val="none"/>
        </w:rPr>
      </w:pPr>
      <w:r>
        <w:rPr>
          <w:rFonts w:hint="eastAsia" w:ascii="宋体" w:hAnsi="宋体" w:eastAsia="宋体"/>
          <w:color w:val="auto"/>
          <w:sz w:val="24"/>
          <w:highlight w:val="none"/>
        </w:rPr>
        <w:t>8.我方完全理解贵方不一定接受最低报价的磋商。</w:t>
      </w:r>
    </w:p>
    <w:p w14:paraId="6ADDD9AA">
      <w:pPr>
        <w:spacing w:line="360" w:lineRule="auto"/>
        <w:ind w:firstLine="480" w:firstLineChars="200"/>
        <w:jc w:val="left"/>
        <w:rPr>
          <w:rFonts w:hint="eastAsia" w:ascii="宋体" w:hAnsi="宋体" w:eastAsia="宋体"/>
          <w:color w:val="auto"/>
          <w:sz w:val="24"/>
          <w:highlight w:val="none"/>
        </w:rPr>
      </w:pPr>
      <w:r>
        <w:rPr>
          <w:rFonts w:hint="eastAsia" w:ascii="宋体" w:hAnsi="宋体" w:eastAsia="宋体"/>
          <w:color w:val="auto"/>
          <w:sz w:val="24"/>
          <w:highlight w:val="none"/>
        </w:rPr>
        <w:t>9.我方对响应文件中所提供资料、文件、证书及证件的真实性和有效性负责。</w:t>
      </w:r>
    </w:p>
    <w:p w14:paraId="7CFF934C">
      <w:pPr>
        <w:spacing w:line="360" w:lineRule="auto"/>
        <w:ind w:firstLine="480" w:firstLineChars="200"/>
        <w:jc w:val="left"/>
        <w:rPr>
          <w:rFonts w:ascii="宋体" w:hAnsi="宋体" w:eastAsia="宋体"/>
          <w:color w:val="auto"/>
          <w:sz w:val="24"/>
          <w:highlight w:val="none"/>
        </w:rPr>
      </w:pPr>
      <w:r>
        <w:rPr>
          <w:rFonts w:hint="eastAsia" w:ascii="宋体" w:hAnsi="宋体" w:eastAsia="宋体"/>
          <w:color w:val="auto"/>
          <w:sz w:val="24"/>
          <w:highlight w:val="none"/>
          <w:u w:val="single"/>
        </w:rPr>
        <w:t xml:space="preserve">                          </w:t>
      </w:r>
    </w:p>
    <w:p w14:paraId="455279F7">
      <w:pPr>
        <w:spacing w:line="360" w:lineRule="auto"/>
        <w:ind w:firstLine="480" w:firstLineChars="200"/>
        <w:jc w:val="left"/>
        <w:rPr>
          <w:rFonts w:ascii="宋体" w:hAnsi="宋体" w:eastAsia="宋体"/>
          <w:color w:val="auto"/>
          <w:sz w:val="24"/>
          <w:highlight w:val="none"/>
        </w:rPr>
      </w:pPr>
      <w:r>
        <w:rPr>
          <w:rFonts w:hint="eastAsia" w:ascii="宋体" w:hAnsi="宋体" w:eastAsia="宋体"/>
          <w:color w:val="auto"/>
          <w:sz w:val="24"/>
          <w:highlight w:val="none"/>
        </w:rPr>
        <w:t>供应商公章：</w:t>
      </w:r>
      <w:r>
        <w:rPr>
          <w:rFonts w:hint="eastAsia" w:ascii="宋体" w:hAnsi="宋体" w:eastAsia="宋体"/>
          <w:color w:val="auto"/>
          <w:sz w:val="24"/>
          <w:highlight w:val="none"/>
          <w:u w:val="single"/>
        </w:rPr>
        <w:t xml:space="preserve">                   </w:t>
      </w:r>
    </w:p>
    <w:p w14:paraId="7DA93DCB">
      <w:pPr>
        <w:spacing w:line="360" w:lineRule="auto"/>
        <w:ind w:firstLine="480" w:firstLineChars="200"/>
        <w:jc w:val="left"/>
        <w:rPr>
          <w:rFonts w:ascii="宋体" w:hAnsi="宋体" w:eastAsia="宋体"/>
          <w:color w:val="auto"/>
          <w:sz w:val="24"/>
          <w:highlight w:val="none"/>
          <w:u w:val="singl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1FC10FC2">
      <w:pPr>
        <w:spacing w:line="360" w:lineRule="auto"/>
        <w:ind w:firstLine="480" w:firstLineChars="200"/>
        <w:rPr>
          <w:rFonts w:ascii="宋体" w:hAnsi="宋体" w:eastAsia="宋体"/>
          <w:color w:val="auto"/>
          <w:sz w:val="24"/>
          <w:highlight w:val="none"/>
          <w:u w:val="single"/>
        </w:rPr>
      </w:pPr>
    </w:p>
    <w:p w14:paraId="4FD10A3E">
      <w:pPr>
        <w:spacing w:line="360" w:lineRule="auto"/>
        <w:jc w:val="center"/>
        <w:outlineLvl w:val="2"/>
        <w:rPr>
          <w:rFonts w:hint="eastAsia" w:ascii="宋体" w:hAnsi="宋体" w:eastAsia="宋体"/>
          <w:b/>
          <w:color w:val="auto"/>
          <w:sz w:val="24"/>
          <w:highlight w:val="none"/>
        </w:rPr>
      </w:pPr>
      <w:r>
        <w:rPr>
          <w:rFonts w:hint="eastAsia" w:ascii="宋体" w:hAnsi="宋体" w:eastAsia="宋体"/>
          <w:b/>
          <w:color w:val="auto"/>
          <w:sz w:val="24"/>
          <w:highlight w:val="none"/>
        </w:rPr>
        <w:br w:type="page"/>
      </w:r>
    </w:p>
    <w:p w14:paraId="63DF81BA">
      <w:pPr>
        <w:spacing w:line="360" w:lineRule="auto"/>
        <w:jc w:val="center"/>
        <w:outlineLvl w:val="2"/>
        <w:rPr>
          <w:rFonts w:hint="eastAsia" w:ascii="宋体" w:hAnsi="宋体" w:eastAsia="宋体"/>
          <w:b/>
          <w:color w:val="auto"/>
          <w:sz w:val="28"/>
          <w:szCs w:val="28"/>
          <w:highlight w:val="none"/>
        </w:rPr>
      </w:pPr>
      <w:r>
        <w:rPr>
          <w:rFonts w:hint="eastAsia" w:ascii="宋体" w:hAnsi="宋体" w:eastAsia="宋体"/>
          <w:b/>
          <w:color w:val="auto"/>
          <w:sz w:val="28"/>
          <w:szCs w:val="28"/>
          <w:highlight w:val="none"/>
        </w:rPr>
        <w:t>四、无重大违法记录声明函、无不良信用记录声明函</w:t>
      </w:r>
    </w:p>
    <w:p w14:paraId="02DAC738">
      <w:pPr>
        <w:spacing w:line="360" w:lineRule="auto"/>
        <w:jc w:val="center"/>
        <w:rPr>
          <w:rFonts w:ascii="宋体" w:hAnsi="宋体" w:eastAsia="宋体"/>
          <w:b/>
          <w:i/>
          <w:color w:val="auto"/>
          <w:sz w:val="24"/>
          <w:highlight w:val="none"/>
        </w:rPr>
      </w:pPr>
      <w:r>
        <w:rPr>
          <w:rFonts w:ascii="宋体" w:hAnsi="宋体" w:eastAsia="宋体"/>
          <w:b/>
          <w:i/>
          <w:color w:val="auto"/>
          <w:sz w:val="24"/>
          <w:highlight w:val="none"/>
        </w:rPr>
        <w:t>(</w:t>
      </w:r>
      <w:r>
        <w:rPr>
          <w:rFonts w:hint="eastAsia" w:ascii="宋体" w:hAnsi="宋体" w:eastAsia="宋体"/>
          <w:b/>
          <w:i/>
          <w:color w:val="auto"/>
          <w:sz w:val="24"/>
          <w:highlight w:val="none"/>
        </w:rPr>
        <w:t>联合体参加磋商的，联合体双方均须提供）</w:t>
      </w:r>
    </w:p>
    <w:p w14:paraId="2D92CE97">
      <w:pPr>
        <w:spacing w:line="360" w:lineRule="auto"/>
        <w:ind w:firstLine="480" w:firstLineChars="200"/>
        <w:jc w:val="left"/>
        <w:rPr>
          <w:rFonts w:hint="eastAsia" w:ascii="宋体" w:hAnsi="宋体" w:eastAsia="宋体"/>
          <w:color w:val="auto"/>
          <w:sz w:val="24"/>
          <w:highlight w:val="none"/>
        </w:rPr>
      </w:pPr>
      <w:r>
        <w:rPr>
          <w:rFonts w:hint="eastAsia" w:ascii="宋体" w:hAnsi="宋体" w:eastAsia="宋体"/>
          <w:color w:val="auto"/>
          <w:sz w:val="24"/>
          <w:highlight w:val="none"/>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7AF17B8B">
      <w:pPr>
        <w:spacing w:line="360" w:lineRule="auto"/>
        <w:ind w:firstLine="480" w:firstLineChars="200"/>
        <w:jc w:val="left"/>
        <w:rPr>
          <w:rFonts w:hint="eastAsia" w:ascii="宋体" w:hAnsi="宋体" w:eastAsia="宋体"/>
          <w:color w:val="auto"/>
          <w:sz w:val="24"/>
          <w:highlight w:val="none"/>
        </w:rPr>
      </w:pPr>
      <w:r>
        <w:rPr>
          <w:rFonts w:hint="eastAsia" w:ascii="宋体" w:hAnsi="宋体" w:eastAsia="宋体"/>
          <w:color w:val="auto"/>
          <w:sz w:val="24"/>
          <w:highlight w:val="none"/>
        </w:rPr>
        <w:t>2.本单位郑重声明，我单位无以下不良信用记录情形：</w:t>
      </w:r>
    </w:p>
    <w:p w14:paraId="6185EDC3">
      <w:pPr>
        <w:spacing w:line="360" w:lineRule="auto"/>
        <w:ind w:firstLine="480" w:firstLineChars="200"/>
        <w:jc w:val="left"/>
        <w:rPr>
          <w:rFonts w:hint="eastAsia" w:ascii="宋体" w:hAnsi="宋体" w:eastAsia="宋体"/>
          <w:color w:val="auto"/>
          <w:sz w:val="24"/>
          <w:highlight w:val="none"/>
        </w:rPr>
      </w:pPr>
      <w:r>
        <w:rPr>
          <w:rFonts w:hint="eastAsia" w:ascii="宋体" w:hAnsi="宋体" w:eastAsia="宋体"/>
          <w:color w:val="auto"/>
          <w:sz w:val="24"/>
          <w:highlight w:val="none"/>
        </w:rPr>
        <w:t>（1）被人民法院列入失信被执行人；</w:t>
      </w:r>
    </w:p>
    <w:p w14:paraId="10B6AAC1">
      <w:pPr>
        <w:spacing w:line="360" w:lineRule="auto"/>
        <w:ind w:firstLine="480" w:firstLineChars="200"/>
        <w:jc w:val="left"/>
        <w:rPr>
          <w:rFonts w:hint="eastAsia" w:ascii="宋体" w:hAnsi="宋体" w:eastAsia="宋体"/>
          <w:color w:val="auto"/>
          <w:sz w:val="24"/>
          <w:highlight w:val="none"/>
        </w:rPr>
      </w:pPr>
      <w:r>
        <w:rPr>
          <w:rFonts w:hint="eastAsia" w:ascii="宋体" w:hAnsi="宋体" w:eastAsia="宋体"/>
          <w:color w:val="auto"/>
          <w:sz w:val="24"/>
          <w:highlight w:val="none"/>
        </w:rPr>
        <w:t>（2）单位、法定代表人或拟派项目经理（项目负责人）被人民检察院列入行贿犯罪档案；</w:t>
      </w:r>
    </w:p>
    <w:p w14:paraId="1FE1AA0B">
      <w:pPr>
        <w:spacing w:line="360" w:lineRule="auto"/>
        <w:ind w:firstLine="480" w:firstLineChars="200"/>
        <w:jc w:val="left"/>
        <w:rPr>
          <w:rFonts w:hint="eastAsia" w:ascii="宋体" w:hAnsi="宋体" w:eastAsia="宋体"/>
          <w:color w:val="auto"/>
          <w:sz w:val="24"/>
          <w:highlight w:val="none"/>
        </w:rPr>
      </w:pPr>
      <w:r>
        <w:rPr>
          <w:rFonts w:hint="eastAsia" w:ascii="宋体" w:hAnsi="宋体" w:eastAsia="宋体"/>
          <w:color w:val="auto"/>
          <w:sz w:val="24"/>
          <w:highlight w:val="none"/>
        </w:rPr>
        <w:t>（3）被工商行政管理部门列入企业经营异常名录；</w:t>
      </w:r>
    </w:p>
    <w:p w14:paraId="3425B9AA">
      <w:pPr>
        <w:spacing w:line="360" w:lineRule="auto"/>
        <w:ind w:firstLine="480" w:firstLineChars="200"/>
        <w:jc w:val="left"/>
        <w:rPr>
          <w:rFonts w:hint="eastAsia" w:ascii="宋体" w:hAnsi="宋体" w:eastAsia="宋体"/>
          <w:color w:val="auto"/>
          <w:sz w:val="24"/>
          <w:highlight w:val="none"/>
        </w:rPr>
      </w:pPr>
      <w:r>
        <w:rPr>
          <w:rFonts w:hint="eastAsia" w:ascii="宋体" w:hAnsi="宋体" w:eastAsia="宋体"/>
          <w:color w:val="auto"/>
          <w:sz w:val="24"/>
          <w:highlight w:val="none"/>
        </w:rPr>
        <w:t>（4）被税务部门列入重大税收违法案件当事人名单；</w:t>
      </w:r>
    </w:p>
    <w:p w14:paraId="50F83993">
      <w:pPr>
        <w:spacing w:line="360" w:lineRule="auto"/>
        <w:ind w:firstLine="480" w:firstLineChars="200"/>
        <w:jc w:val="left"/>
        <w:rPr>
          <w:rFonts w:hint="eastAsia" w:ascii="宋体" w:hAnsi="宋体" w:eastAsia="宋体"/>
          <w:color w:val="auto"/>
          <w:sz w:val="24"/>
          <w:highlight w:val="none"/>
        </w:rPr>
      </w:pPr>
      <w:r>
        <w:rPr>
          <w:rFonts w:hint="eastAsia" w:ascii="宋体" w:hAnsi="宋体" w:eastAsia="宋体"/>
          <w:color w:val="auto"/>
          <w:sz w:val="24"/>
          <w:highlight w:val="none"/>
        </w:rPr>
        <w:t>（5）被政府采购监管部门列入政府采购严重违法失信行为记录名单。</w:t>
      </w:r>
    </w:p>
    <w:p w14:paraId="347A313D">
      <w:pPr>
        <w:spacing w:line="360" w:lineRule="auto"/>
        <w:ind w:firstLine="480" w:firstLineChars="200"/>
        <w:jc w:val="left"/>
        <w:rPr>
          <w:rFonts w:hint="eastAsia" w:ascii="宋体" w:hAnsi="宋体" w:eastAsia="宋体"/>
          <w:color w:val="auto"/>
          <w:sz w:val="24"/>
          <w:highlight w:val="none"/>
        </w:rPr>
      </w:pPr>
    </w:p>
    <w:p w14:paraId="3A4D74C1">
      <w:pPr>
        <w:spacing w:line="360" w:lineRule="auto"/>
        <w:ind w:firstLine="480" w:firstLineChars="200"/>
        <w:jc w:val="left"/>
        <w:rPr>
          <w:rFonts w:hint="eastAsia" w:ascii="宋体" w:hAnsi="宋体" w:eastAsia="宋体"/>
          <w:color w:val="auto"/>
          <w:sz w:val="24"/>
          <w:highlight w:val="none"/>
        </w:rPr>
      </w:pPr>
      <w:r>
        <w:rPr>
          <w:rFonts w:hint="eastAsia" w:ascii="宋体" w:hAnsi="宋体" w:eastAsia="宋体"/>
          <w:color w:val="auto"/>
          <w:sz w:val="24"/>
          <w:highlight w:val="none"/>
        </w:rPr>
        <w:t>本单位对上述声明的真实性负责。如有虚假，将依法承担相应责任。</w:t>
      </w:r>
    </w:p>
    <w:p w14:paraId="465CCDF4">
      <w:pPr>
        <w:spacing w:line="360" w:lineRule="auto"/>
        <w:ind w:firstLine="480" w:firstLineChars="200"/>
        <w:jc w:val="right"/>
        <w:rPr>
          <w:rFonts w:hint="eastAsia" w:ascii="宋体" w:hAnsi="宋体" w:eastAsia="宋体"/>
          <w:color w:val="auto"/>
          <w:sz w:val="24"/>
          <w:highlight w:val="none"/>
        </w:rPr>
      </w:pPr>
      <w:r>
        <w:rPr>
          <w:rFonts w:hint="eastAsia" w:ascii="宋体" w:hAnsi="宋体" w:eastAsia="宋体"/>
          <w:color w:val="auto"/>
          <w:sz w:val="24"/>
          <w:highlight w:val="none"/>
        </w:rPr>
        <w:t>供应商公章：</w:t>
      </w:r>
    </w:p>
    <w:p w14:paraId="68361A50">
      <w:pPr>
        <w:spacing w:line="360" w:lineRule="auto"/>
        <w:ind w:firstLine="480" w:firstLineChars="200"/>
        <w:jc w:val="right"/>
        <w:rPr>
          <w:rFonts w:hint="eastAsia" w:ascii="宋体" w:hAnsi="宋体" w:eastAsia="宋体"/>
          <w:color w:val="auto"/>
          <w:sz w:val="24"/>
          <w:highlight w:val="none"/>
        </w:rPr>
      </w:pPr>
      <w:r>
        <w:rPr>
          <w:rFonts w:hint="eastAsia" w:ascii="宋体" w:hAnsi="宋体" w:eastAsia="宋体"/>
          <w:color w:val="auto"/>
          <w:sz w:val="24"/>
          <w:highlight w:val="none"/>
        </w:rPr>
        <w:t>日      期：</w:t>
      </w:r>
    </w:p>
    <w:p w14:paraId="04C4D76C">
      <w:pPr>
        <w:spacing w:line="360" w:lineRule="auto"/>
        <w:jc w:val="center"/>
        <w:outlineLvl w:val="2"/>
        <w:rPr>
          <w:rFonts w:ascii="宋体" w:hAnsi="宋体" w:eastAsia="宋体"/>
          <w:b/>
          <w:color w:val="auto"/>
          <w:sz w:val="24"/>
          <w:highlight w:val="none"/>
        </w:rPr>
      </w:pPr>
      <w:r>
        <w:rPr>
          <w:rFonts w:hint="eastAsia" w:ascii="宋体" w:hAnsi="宋体" w:eastAsia="宋体"/>
          <w:b/>
          <w:color w:val="auto"/>
          <w:sz w:val="24"/>
          <w:highlight w:val="none"/>
        </w:rPr>
        <w:br w:type="page"/>
      </w:r>
      <w:r>
        <w:rPr>
          <w:rFonts w:hint="eastAsia" w:ascii="宋体" w:hAnsi="宋体" w:eastAsia="宋体"/>
          <w:b/>
          <w:color w:val="auto"/>
          <w:sz w:val="28"/>
          <w:szCs w:val="28"/>
          <w:highlight w:val="none"/>
        </w:rPr>
        <w:t>五、</w:t>
      </w:r>
      <w:bookmarkStart w:id="165" w:name="_Toc204594911"/>
      <w:bookmarkStart w:id="166" w:name="_Toc121626298"/>
      <w:bookmarkStart w:id="167" w:name="_Toc520983594"/>
      <w:bookmarkStart w:id="168" w:name="_Toc516969106"/>
      <w:r>
        <w:rPr>
          <w:rFonts w:hint="eastAsia" w:ascii="宋体" w:hAnsi="宋体" w:eastAsia="宋体"/>
          <w:b/>
          <w:color w:val="auto"/>
          <w:sz w:val="28"/>
          <w:szCs w:val="28"/>
          <w:highlight w:val="none"/>
        </w:rPr>
        <w:t>授权书</w:t>
      </w:r>
      <w:bookmarkEnd w:id="165"/>
      <w:bookmarkEnd w:id="166"/>
      <w:bookmarkEnd w:id="167"/>
      <w:bookmarkEnd w:id="168"/>
    </w:p>
    <w:p w14:paraId="40CC05FE">
      <w:pPr>
        <w:spacing w:line="360" w:lineRule="auto"/>
        <w:jc w:val="center"/>
        <w:rPr>
          <w:rFonts w:ascii="宋体" w:hAnsi="宋体" w:eastAsia="宋体"/>
          <w:b/>
          <w:color w:val="auto"/>
          <w:sz w:val="24"/>
          <w:highlight w:val="none"/>
        </w:rPr>
      </w:pPr>
    </w:p>
    <w:p w14:paraId="66D87CCF">
      <w:pPr>
        <w:widowControl w:val="0"/>
        <w:snapToGrid w:val="0"/>
        <w:spacing w:line="360" w:lineRule="auto"/>
        <w:ind w:firstLine="480" w:firstLineChars="200"/>
        <w:jc w:val="left"/>
        <w:rPr>
          <w:rFonts w:ascii="宋体" w:hAnsi="宋体" w:eastAsia="宋体" w:cs="黑体"/>
          <w:color w:val="auto"/>
          <w:kern w:val="2"/>
          <w:sz w:val="24"/>
          <w:szCs w:val="28"/>
          <w:highlight w:val="none"/>
          <w:lang w:val="en-US" w:eastAsia="zh-CN" w:bidi="ar-SA"/>
        </w:rPr>
      </w:pPr>
      <w:r>
        <w:rPr>
          <w:rFonts w:hint="eastAsia" w:ascii="宋体" w:hAnsi="宋体" w:eastAsia="宋体" w:cs="黑体"/>
          <w:color w:val="auto"/>
          <w:kern w:val="2"/>
          <w:sz w:val="24"/>
          <w:szCs w:val="28"/>
          <w:highlight w:val="none"/>
          <w:lang w:val="en-US" w:eastAsia="zh-CN" w:bidi="ar-SA"/>
        </w:rPr>
        <w:t>本授权书声明：</w:t>
      </w:r>
      <w:r>
        <w:rPr>
          <w:rFonts w:hint="eastAsia" w:ascii="宋体" w:hAnsi="宋体" w:eastAsia="宋体" w:cs="黑体"/>
          <w:color w:val="auto"/>
          <w:kern w:val="2"/>
          <w:sz w:val="24"/>
          <w:szCs w:val="28"/>
          <w:highlight w:val="none"/>
          <w:u w:val="single"/>
          <w:lang w:val="en-US" w:eastAsia="zh-CN" w:bidi="ar-SA"/>
        </w:rPr>
        <w:t xml:space="preserve">           </w:t>
      </w:r>
      <w:r>
        <w:rPr>
          <w:rFonts w:hint="eastAsia" w:ascii="宋体" w:hAnsi="宋体" w:eastAsia="宋体" w:cs="黑体"/>
          <w:color w:val="auto"/>
          <w:kern w:val="2"/>
          <w:sz w:val="24"/>
          <w:szCs w:val="28"/>
          <w:highlight w:val="none"/>
          <w:lang w:val="en-US" w:eastAsia="zh-CN" w:bidi="ar-SA"/>
        </w:rPr>
        <w:t>（供应商名称）授权</w:t>
      </w:r>
      <w:r>
        <w:rPr>
          <w:rFonts w:hint="eastAsia" w:ascii="宋体" w:hAnsi="宋体" w:eastAsia="宋体" w:cs="黑体"/>
          <w:color w:val="auto"/>
          <w:kern w:val="2"/>
          <w:sz w:val="24"/>
          <w:szCs w:val="28"/>
          <w:highlight w:val="none"/>
          <w:u w:val="single"/>
          <w:lang w:val="en-US" w:eastAsia="zh-CN" w:bidi="ar-SA"/>
        </w:rPr>
        <w:t xml:space="preserve">       </w:t>
      </w:r>
      <w:r>
        <w:rPr>
          <w:rFonts w:hint="eastAsia" w:ascii="宋体" w:hAnsi="宋体" w:eastAsia="宋体" w:cs="黑体"/>
          <w:color w:val="auto"/>
          <w:kern w:val="2"/>
          <w:sz w:val="24"/>
          <w:szCs w:val="28"/>
          <w:highlight w:val="none"/>
          <w:lang w:val="en-US" w:eastAsia="zh-CN" w:bidi="ar-SA"/>
        </w:rPr>
        <w:t>（供应商授权代表姓名、职务）代表我方参加本项目</w:t>
      </w:r>
      <w:r>
        <w:rPr>
          <w:rFonts w:hint="eastAsia" w:ascii="宋体" w:hAnsi="宋体" w:eastAsia="宋体" w:cs="黑体"/>
          <w:bCs/>
          <w:color w:val="auto"/>
          <w:kern w:val="2"/>
          <w:sz w:val="24"/>
          <w:szCs w:val="28"/>
          <w:highlight w:val="none"/>
          <w:lang w:val="en-US" w:eastAsia="zh-CN" w:bidi="ar-SA"/>
        </w:rPr>
        <w:t>采购活动</w:t>
      </w:r>
      <w:r>
        <w:rPr>
          <w:rFonts w:hint="eastAsia" w:ascii="宋体" w:hAnsi="宋体" w:eastAsia="宋体" w:cs="黑体"/>
          <w:color w:val="auto"/>
          <w:kern w:val="2"/>
          <w:sz w:val="24"/>
          <w:szCs w:val="28"/>
          <w:highlight w:val="none"/>
          <w:lang w:val="en-US" w:eastAsia="zh-CN" w:bidi="ar-SA"/>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14:paraId="4B7A54DF">
      <w:pPr>
        <w:widowControl w:val="0"/>
        <w:snapToGrid w:val="0"/>
        <w:spacing w:line="360" w:lineRule="auto"/>
        <w:ind w:firstLine="480" w:firstLineChars="200"/>
        <w:jc w:val="left"/>
        <w:rPr>
          <w:rFonts w:ascii="宋体" w:hAnsi="宋体" w:eastAsia="宋体" w:cs="黑体"/>
          <w:color w:val="auto"/>
          <w:kern w:val="2"/>
          <w:sz w:val="24"/>
          <w:szCs w:val="28"/>
          <w:highlight w:val="none"/>
          <w:lang w:val="en-US" w:eastAsia="zh-CN" w:bidi="ar-SA"/>
        </w:rPr>
      </w:pPr>
      <w:r>
        <w:rPr>
          <w:rFonts w:hint="eastAsia" w:ascii="宋体" w:hAnsi="宋体" w:eastAsia="宋体" w:cs="黑体"/>
          <w:color w:val="auto"/>
          <w:kern w:val="2"/>
          <w:sz w:val="24"/>
          <w:szCs w:val="28"/>
          <w:highlight w:val="none"/>
          <w:lang w:val="en-US" w:eastAsia="zh-CN" w:bidi="ar-SA"/>
        </w:rPr>
        <w:t>本授权书自出具之日起生效。</w:t>
      </w:r>
    </w:p>
    <w:p w14:paraId="469B7F57">
      <w:pPr>
        <w:widowControl w:val="0"/>
        <w:snapToGrid w:val="0"/>
        <w:spacing w:line="360" w:lineRule="auto"/>
        <w:ind w:firstLine="482" w:firstLineChars="200"/>
        <w:jc w:val="left"/>
        <w:rPr>
          <w:rFonts w:ascii="宋体" w:hAnsi="宋体" w:eastAsia="宋体" w:cs="黑体"/>
          <w:b/>
          <w:bCs/>
          <w:color w:val="auto"/>
          <w:kern w:val="2"/>
          <w:sz w:val="24"/>
          <w:szCs w:val="22"/>
          <w:highlight w:val="none"/>
          <w:lang w:val="en-US" w:eastAsia="zh-CN" w:bidi="ar-SA"/>
        </w:rPr>
      </w:pPr>
      <w:r>
        <w:rPr>
          <w:rFonts w:hint="eastAsia" w:ascii="宋体" w:hAnsi="宋体" w:eastAsia="宋体" w:cs="黑体"/>
          <w:b/>
          <w:bCs/>
          <w:color w:val="auto"/>
          <w:kern w:val="2"/>
          <w:sz w:val="24"/>
          <w:szCs w:val="28"/>
          <w:highlight w:val="none"/>
          <w:lang w:val="en-US" w:eastAsia="zh-CN" w:bidi="ar-SA"/>
        </w:rPr>
        <w:t>授权代表</w:t>
      </w:r>
      <w:r>
        <w:rPr>
          <w:rFonts w:hint="eastAsia" w:ascii="宋体" w:hAnsi="宋体" w:eastAsia="宋体" w:cs="黑体"/>
          <w:b/>
          <w:bCs/>
          <w:color w:val="auto"/>
          <w:kern w:val="2"/>
          <w:sz w:val="24"/>
          <w:szCs w:val="22"/>
          <w:highlight w:val="none"/>
          <w:lang w:val="en-US" w:eastAsia="zh-CN" w:bidi="ar-SA"/>
        </w:rPr>
        <w:t>身份证明原件扫描件：</w:t>
      </w:r>
    </w:p>
    <w:p w14:paraId="445D1ADB">
      <w:pPr>
        <w:widowControl w:val="0"/>
        <w:snapToGrid w:val="0"/>
        <w:spacing w:line="360" w:lineRule="auto"/>
        <w:ind w:firstLine="480" w:firstLineChars="200"/>
        <w:jc w:val="left"/>
        <w:rPr>
          <w:rFonts w:ascii="宋体" w:hAnsi="宋体" w:eastAsia="宋体" w:cs="黑体"/>
          <w:color w:val="auto"/>
          <w:kern w:val="2"/>
          <w:sz w:val="24"/>
          <w:szCs w:val="22"/>
          <w:highlight w:val="none"/>
          <w:lang w:val="en-US" w:eastAsia="zh-CN" w:bidi="ar-SA"/>
        </w:rPr>
      </w:pPr>
    </w:p>
    <w:p w14:paraId="0256957C">
      <w:pPr>
        <w:widowControl w:val="0"/>
        <w:snapToGrid w:val="0"/>
        <w:spacing w:line="360" w:lineRule="auto"/>
        <w:ind w:firstLine="480" w:firstLineChars="200"/>
        <w:jc w:val="left"/>
        <w:rPr>
          <w:rFonts w:ascii="宋体" w:hAnsi="宋体" w:eastAsia="宋体" w:cs="黑体"/>
          <w:color w:val="auto"/>
          <w:kern w:val="2"/>
          <w:sz w:val="24"/>
          <w:szCs w:val="22"/>
          <w:highlight w:val="none"/>
          <w:lang w:val="en-US" w:eastAsia="zh-CN" w:bidi="ar-SA"/>
        </w:rPr>
      </w:pPr>
    </w:p>
    <w:p w14:paraId="582A5607">
      <w:pPr>
        <w:widowControl w:val="0"/>
        <w:snapToGrid w:val="0"/>
        <w:spacing w:line="360" w:lineRule="auto"/>
        <w:ind w:firstLine="480" w:firstLineChars="200"/>
        <w:jc w:val="left"/>
        <w:rPr>
          <w:rFonts w:ascii="宋体" w:hAnsi="宋体" w:eastAsia="宋体" w:cs="黑体"/>
          <w:color w:val="auto"/>
          <w:kern w:val="2"/>
          <w:sz w:val="24"/>
          <w:szCs w:val="22"/>
          <w:highlight w:val="none"/>
          <w:lang w:val="en-US" w:eastAsia="zh-CN" w:bidi="ar-SA"/>
        </w:rPr>
      </w:pPr>
    </w:p>
    <w:p w14:paraId="2BD8DDFF">
      <w:pPr>
        <w:widowControl w:val="0"/>
        <w:snapToGrid w:val="0"/>
        <w:spacing w:line="360" w:lineRule="auto"/>
        <w:ind w:firstLine="480" w:firstLineChars="200"/>
        <w:jc w:val="left"/>
        <w:rPr>
          <w:rFonts w:ascii="宋体" w:hAnsi="宋体" w:eastAsia="宋体" w:cs="黑体"/>
          <w:color w:val="auto"/>
          <w:kern w:val="2"/>
          <w:sz w:val="24"/>
          <w:szCs w:val="22"/>
          <w:highlight w:val="none"/>
          <w:lang w:val="en-US" w:eastAsia="zh-CN" w:bidi="ar-SA"/>
        </w:rPr>
      </w:pPr>
    </w:p>
    <w:p w14:paraId="17F08B9B">
      <w:pPr>
        <w:widowControl w:val="0"/>
        <w:snapToGrid w:val="0"/>
        <w:spacing w:line="360" w:lineRule="auto"/>
        <w:ind w:firstLine="480" w:firstLineChars="200"/>
        <w:jc w:val="left"/>
        <w:rPr>
          <w:rFonts w:ascii="宋体" w:hAnsi="宋体" w:eastAsia="宋体" w:cs="黑体"/>
          <w:color w:val="auto"/>
          <w:kern w:val="2"/>
          <w:sz w:val="24"/>
          <w:szCs w:val="28"/>
          <w:highlight w:val="none"/>
          <w:u w:val="single"/>
          <w:lang w:val="en-US" w:eastAsia="zh-CN" w:bidi="ar-SA"/>
        </w:rPr>
      </w:pPr>
      <w:r>
        <w:rPr>
          <w:rFonts w:hint="eastAsia" w:ascii="宋体" w:hAnsi="宋体" w:eastAsia="宋体" w:cs="黑体"/>
          <w:color w:val="auto"/>
          <w:kern w:val="2"/>
          <w:sz w:val="24"/>
          <w:szCs w:val="28"/>
          <w:highlight w:val="none"/>
          <w:lang w:val="en-US" w:eastAsia="zh-CN" w:bidi="ar-SA"/>
        </w:rPr>
        <w:t>授权代表联系方式：</w:t>
      </w:r>
      <w:r>
        <w:rPr>
          <w:rFonts w:hint="eastAsia" w:ascii="宋体" w:hAnsi="宋体" w:eastAsia="宋体" w:cs="黑体"/>
          <w:color w:val="auto"/>
          <w:kern w:val="2"/>
          <w:sz w:val="24"/>
          <w:szCs w:val="28"/>
          <w:highlight w:val="none"/>
          <w:u w:val="single"/>
          <w:lang w:val="en-US" w:eastAsia="zh-CN" w:bidi="ar-SA"/>
        </w:rPr>
        <w:t xml:space="preserve">          （请填写手机号码）</w:t>
      </w:r>
    </w:p>
    <w:p w14:paraId="469EC50A">
      <w:pPr>
        <w:widowControl w:val="0"/>
        <w:snapToGrid w:val="0"/>
        <w:spacing w:line="360" w:lineRule="auto"/>
        <w:ind w:firstLine="480" w:firstLineChars="200"/>
        <w:jc w:val="left"/>
        <w:rPr>
          <w:rFonts w:ascii="宋体" w:hAnsi="宋体" w:eastAsia="宋体" w:cs="黑体"/>
          <w:color w:val="auto"/>
          <w:kern w:val="2"/>
          <w:sz w:val="24"/>
          <w:szCs w:val="28"/>
          <w:highlight w:val="none"/>
          <w:lang w:val="en-US" w:eastAsia="zh-CN" w:bidi="ar-SA"/>
        </w:rPr>
      </w:pPr>
    </w:p>
    <w:p w14:paraId="5901343C">
      <w:pPr>
        <w:spacing w:line="360" w:lineRule="auto"/>
        <w:ind w:firstLine="360" w:firstLineChars="150"/>
        <w:jc w:val="left"/>
        <w:rPr>
          <w:rFonts w:ascii="宋体" w:hAnsi="宋体" w:eastAsia="宋体"/>
          <w:color w:val="auto"/>
          <w:sz w:val="24"/>
          <w:szCs w:val="28"/>
          <w:highlight w:val="none"/>
        </w:rPr>
      </w:pPr>
      <w:r>
        <w:rPr>
          <w:rFonts w:hint="eastAsia" w:ascii="宋体" w:hAnsi="宋体" w:eastAsia="宋体"/>
          <w:color w:val="auto"/>
          <w:sz w:val="24"/>
          <w:szCs w:val="28"/>
          <w:highlight w:val="none"/>
        </w:rPr>
        <w:t>特此声明。</w:t>
      </w:r>
    </w:p>
    <w:p w14:paraId="64B9B73F">
      <w:pPr>
        <w:spacing w:line="360" w:lineRule="auto"/>
        <w:jc w:val="left"/>
        <w:rPr>
          <w:rFonts w:ascii="宋体" w:hAnsi="宋体" w:eastAsia="宋体"/>
          <w:color w:val="auto"/>
          <w:sz w:val="24"/>
          <w:szCs w:val="28"/>
          <w:highlight w:val="none"/>
        </w:rPr>
      </w:pPr>
    </w:p>
    <w:p w14:paraId="2162891B">
      <w:pPr>
        <w:spacing w:line="360" w:lineRule="auto"/>
        <w:jc w:val="left"/>
        <w:rPr>
          <w:rFonts w:ascii="宋体" w:hAnsi="宋体" w:eastAsia="宋体"/>
          <w:bCs/>
          <w:color w:val="auto"/>
          <w:sz w:val="24"/>
          <w:szCs w:val="28"/>
          <w:highlight w:val="none"/>
        </w:rPr>
      </w:pPr>
      <w:r>
        <w:rPr>
          <w:rFonts w:hint="eastAsia" w:ascii="宋体" w:hAnsi="宋体" w:eastAsia="宋体"/>
          <w:bCs/>
          <w:color w:val="auto"/>
          <w:sz w:val="24"/>
          <w:szCs w:val="28"/>
          <w:highlight w:val="none"/>
        </w:rPr>
        <w:t>供应商公章：</w:t>
      </w:r>
      <w:r>
        <w:rPr>
          <w:rFonts w:hint="eastAsia" w:ascii="宋体" w:hAnsi="宋体" w:eastAsia="宋体"/>
          <w:bCs/>
          <w:color w:val="auto"/>
          <w:sz w:val="24"/>
          <w:szCs w:val="28"/>
          <w:highlight w:val="none"/>
          <w:u w:val="single"/>
        </w:rPr>
        <w:t xml:space="preserve">                    </w:t>
      </w:r>
    </w:p>
    <w:p w14:paraId="6526EC70">
      <w:pPr>
        <w:spacing w:line="360" w:lineRule="auto"/>
        <w:jc w:val="left"/>
        <w:rPr>
          <w:rFonts w:ascii="宋体" w:hAnsi="宋体" w:eastAsia="宋体"/>
          <w:color w:val="auto"/>
          <w:sz w:val="24"/>
          <w:szCs w:val="28"/>
          <w:highlight w:val="none"/>
        </w:rPr>
      </w:pPr>
      <w:r>
        <w:rPr>
          <w:rFonts w:hint="eastAsia" w:ascii="宋体" w:hAnsi="宋体" w:eastAsia="宋体"/>
          <w:color w:val="auto"/>
          <w:sz w:val="24"/>
          <w:szCs w:val="28"/>
          <w:highlight w:val="none"/>
        </w:rPr>
        <w:t>日      期：</w:t>
      </w:r>
      <w:r>
        <w:rPr>
          <w:rFonts w:hint="eastAsia" w:ascii="宋体" w:hAnsi="宋体" w:eastAsia="宋体"/>
          <w:color w:val="auto"/>
          <w:sz w:val="24"/>
          <w:szCs w:val="28"/>
          <w:highlight w:val="none"/>
          <w:u w:val="single"/>
        </w:rPr>
        <w:t xml:space="preserve">                    </w:t>
      </w:r>
    </w:p>
    <w:p w14:paraId="62D73C88">
      <w:pPr>
        <w:spacing w:line="360" w:lineRule="auto"/>
        <w:jc w:val="left"/>
        <w:rPr>
          <w:rFonts w:ascii="宋体" w:hAnsi="宋体" w:eastAsia="宋体"/>
          <w:color w:val="auto"/>
          <w:sz w:val="24"/>
          <w:szCs w:val="28"/>
          <w:highlight w:val="none"/>
        </w:rPr>
      </w:pPr>
    </w:p>
    <w:p w14:paraId="2496E7B1">
      <w:pPr>
        <w:spacing w:line="360" w:lineRule="auto"/>
        <w:jc w:val="left"/>
        <w:rPr>
          <w:rFonts w:ascii="宋体" w:hAnsi="宋体" w:eastAsia="宋体"/>
          <w:color w:val="auto"/>
          <w:sz w:val="24"/>
          <w:szCs w:val="28"/>
          <w:highlight w:val="none"/>
        </w:rPr>
      </w:pPr>
    </w:p>
    <w:p w14:paraId="0E0E2B6C">
      <w:pPr>
        <w:widowControl w:val="0"/>
        <w:snapToGrid w:val="0"/>
        <w:spacing w:line="360" w:lineRule="auto"/>
        <w:jc w:val="left"/>
        <w:rPr>
          <w:rFonts w:ascii="宋体" w:hAnsi="宋体" w:eastAsia="宋体" w:cs="黑体"/>
          <w:color w:val="auto"/>
          <w:kern w:val="2"/>
          <w:sz w:val="24"/>
          <w:szCs w:val="28"/>
          <w:highlight w:val="none"/>
          <w:lang w:val="en-US" w:eastAsia="zh-CN" w:bidi="ar-SA"/>
        </w:rPr>
      </w:pPr>
      <w:r>
        <w:rPr>
          <w:rFonts w:hint="eastAsia" w:ascii="宋体" w:hAnsi="宋体" w:eastAsia="宋体" w:cs="黑体"/>
          <w:color w:val="auto"/>
          <w:kern w:val="2"/>
          <w:sz w:val="24"/>
          <w:szCs w:val="28"/>
          <w:highlight w:val="none"/>
          <w:lang w:val="en-US" w:eastAsia="zh-CN" w:bidi="ar-SA"/>
        </w:rPr>
        <w:t>注：</w:t>
      </w:r>
    </w:p>
    <w:p w14:paraId="60127344">
      <w:pPr>
        <w:widowControl w:val="0"/>
        <w:snapToGrid w:val="0"/>
        <w:spacing w:line="360" w:lineRule="auto"/>
        <w:jc w:val="left"/>
        <w:rPr>
          <w:rFonts w:ascii="宋体" w:hAnsi="宋体" w:eastAsia="宋体" w:cs="黑体"/>
          <w:color w:val="auto"/>
          <w:kern w:val="2"/>
          <w:sz w:val="24"/>
          <w:szCs w:val="28"/>
          <w:highlight w:val="none"/>
          <w:lang w:val="en-US" w:eastAsia="zh-CN" w:bidi="ar-SA"/>
        </w:rPr>
      </w:pPr>
      <w:r>
        <w:rPr>
          <w:rFonts w:hint="eastAsia" w:ascii="宋体" w:hAnsi="宋体" w:eastAsia="宋体" w:cs="黑体"/>
          <w:color w:val="auto"/>
          <w:kern w:val="2"/>
          <w:sz w:val="24"/>
          <w:szCs w:val="28"/>
          <w:highlight w:val="none"/>
          <w:lang w:val="en-US" w:eastAsia="zh-CN" w:bidi="ar-SA"/>
        </w:rPr>
        <w:t>1.本项目只允许有唯一的供应商授权代表，提供身份证明</w:t>
      </w:r>
      <w:r>
        <w:rPr>
          <w:rFonts w:hint="eastAsia" w:ascii="宋体" w:hAnsi="宋体" w:eastAsia="宋体" w:cs="黑体"/>
          <w:color w:val="auto"/>
          <w:kern w:val="2"/>
          <w:sz w:val="24"/>
          <w:szCs w:val="22"/>
          <w:highlight w:val="none"/>
          <w:lang w:val="en-US" w:eastAsia="zh-CN" w:bidi="ar-SA"/>
        </w:rPr>
        <w:t>原件扫描件</w:t>
      </w:r>
      <w:r>
        <w:rPr>
          <w:rFonts w:hint="eastAsia" w:ascii="宋体" w:hAnsi="宋体" w:eastAsia="宋体" w:cs="黑体"/>
          <w:color w:val="auto"/>
          <w:kern w:val="2"/>
          <w:sz w:val="24"/>
          <w:szCs w:val="28"/>
          <w:highlight w:val="none"/>
          <w:lang w:val="en-US" w:eastAsia="zh-CN" w:bidi="ar-SA"/>
        </w:rPr>
        <w:t>；</w:t>
      </w:r>
    </w:p>
    <w:p w14:paraId="710A00C3">
      <w:pPr>
        <w:spacing w:line="360" w:lineRule="auto"/>
        <w:jc w:val="left"/>
        <w:rPr>
          <w:rFonts w:ascii="宋体" w:hAnsi="宋体" w:eastAsia="宋体"/>
          <w:color w:val="auto"/>
          <w:sz w:val="24"/>
          <w:highlight w:val="none"/>
        </w:rPr>
      </w:pPr>
      <w:r>
        <w:rPr>
          <w:rFonts w:hint="eastAsia" w:ascii="宋体" w:hAnsi="宋体" w:eastAsia="宋体"/>
          <w:color w:val="auto"/>
          <w:sz w:val="24"/>
          <w:highlight w:val="none"/>
        </w:rPr>
        <w:t>2.法定代表人参加磋商的无需提供授权书，仅提供身份证明原件扫描件。</w:t>
      </w:r>
    </w:p>
    <w:p w14:paraId="19A5D2E1">
      <w:pPr>
        <w:spacing w:line="360" w:lineRule="auto"/>
        <w:jc w:val="left"/>
        <w:rPr>
          <w:rFonts w:ascii="宋体" w:hAnsi="宋体" w:eastAsia="宋体"/>
          <w:color w:val="auto"/>
          <w:sz w:val="24"/>
          <w:highlight w:val="none"/>
        </w:rPr>
      </w:pPr>
      <w:r>
        <w:rPr>
          <w:rFonts w:hint="eastAsia" w:ascii="宋体" w:hAnsi="宋体" w:eastAsia="宋体"/>
          <w:color w:val="auto"/>
          <w:sz w:val="24"/>
          <w:highlight w:val="none"/>
        </w:rPr>
        <w:br w:type="page"/>
      </w:r>
    </w:p>
    <w:p w14:paraId="607DEB02">
      <w:pPr>
        <w:spacing w:line="360" w:lineRule="auto"/>
        <w:jc w:val="center"/>
        <w:outlineLvl w:val="2"/>
        <w:rPr>
          <w:rFonts w:hint="eastAsia" w:ascii="宋体" w:hAnsi="宋体" w:eastAsia="宋体"/>
          <w:b/>
          <w:color w:val="auto"/>
          <w:sz w:val="28"/>
          <w:szCs w:val="28"/>
          <w:highlight w:val="none"/>
        </w:rPr>
      </w:pPr>
      <w:r>
        <w:rPr>
          <w:rFonts w:hint="eastAsia" w:ascii="宋体" w:hAnsi="宋体" w:eastAsia="宋体"/>
          <w:b/>
          <w:color w:val="auto"/>
          <w:sz w:val="28"/>
          <w:szCs w:val="28"/>
          <w:highlight w:val="none"/>
        </w:rPr>
        <w:t>六、保证金</w:t>
      </w:r>
    </w:p>
    <w:p w14:paraId="67265676">
      <w:pPr>
        <w:spacing w:line="360" w:lineRule="auto"/>
        <w:jc w:val="center"/>
        <w:rPr>
          <w:rFonts w:hint="eastAsia" w:ascii="宋体" w:hAnsi="宋体" w:eastAsia="宋体"/>
          <w:i/>
          <w:color w:val="auto"/>
          <w:sz w:val="24"/>
          <w:highlight w:val="none"/>
        </w:rPr>
      </w:pPr>
      <w:r>
        <w:rPr>
          <w:rFonts w:ascii="宋体" w:hAnsi="宋体" w:eastAsia="宋体"/>
          <w:i/>
          <w:color w:val="auto"/>
          <w:sz w:val="24"/>
          <w:highlight w:val="none"/>
        </w:rPr>
        <w:t>(</w:t>
      </w:r>
      <w:r>
        <w:rPr>
          <w:rFonts w:hint="eastAsia" w:ascii="宋体" w:hAnsi="宋体" w:eastAsia="宋体"/>
          <w:i/>
          <w:color w:val="auto"/>
          <w:sz w:val="24"/>
          <w:highlight w:val="none"/>
        </w:rPr>
        <w:t>本项目免收保证金)</w:t>
      </w:r>
    </w:p>
    <w:p w14:paraId="3CBB9522">
      <w:pPr>
        <w:spacing w:line="360" w:lineRule="auto"/>
        <w:jc w:val="left"/>
        <w:rPr>
          <w:rFonts w:ascii="宋体" w:hAnsi="宋体" w:eastAsia="宋体"/>
          <w:color w:val="auto"/>
          <w:sz w:val="24"/>
          <w:highlight w:val="none"/>
        </w:rPr>
      </w:pPr>
    </w:p>
    <w:p w14:paraId="187F60AF">
      <w:pPr>
        <w:widowControl/>
        <w:jc w:val="left"/>
        <w:rPr>
          <w:rFonts w:ascii="宋体" w:hAnsi="宋体" w:eastAsia="宋体"/>
          <w:color w:val="auto"/>
          <w:sz w:val="24"/>
          <w:highlight w:val="none"/>
        </w:rPr>
      </w:pPr>
      <w:r>
        <w:rPr>
          <w:rFonts w:ascii="宋体" w:hAnsi="宋体" w:eastAsia="宋体"/>
          <w:color w:val="auto"/>
          <w:sz w:val="24"/>
          <w:highlight w:val="none"/>
        </w:rPr>
        <w:br w:type="page"/>
      </w:r>
    </w:p>
    <w:p w14:paraId="5ED4F730">
      <w:pPr>
        <w:spacing w:line="360" w:lineRule="auto"/>
        <w:jc w:val="center"/>
        <w:outlineLvl w:val="2"/>
        <w:rPr>
          <w:rFonts w:hint="eastAsia" w:ascii="宋体" w:hAnsi="宋体" w:eastAsia="宋体"/>
          <w:b/>
          <w:color w:val="auto"/>
          <w:sz w:val="28"/>
          <w:szCs w:val="28"/>
          <w:highlight w:val="none"/>
        </w:rPr>
      </w:pPr>
      <w:r>
        <w:rPr>
          <w:rFonts w:hint="eastAsia" w:ascii="宋体" w:hAnsi="宋体" w:eastAsia="宋体"/>
          <w:b/>
          <w:color w:val="auto"/>
          <w:sz w:val="28"/>
          <w:szCs w:val="28"/>
          <w:highlight w:val="none"/>
        </w:rPr>
        <w:t>七、磋商响应表</w:t>
      </w:r>
    </w:p>
    <w:p w14:paraId="25D545C0">
      <w:pPr>
        <w:spacing w:line="360" w:lineRule="auto"/>
        <w:rPr>
          <w:rFonts w:ascii="宋体" w:hAnsi="宋体" w:eastAsia="宋体"/>
          <w:b/>
          <w:color w:val="auto"/>
          <w:sz w:val="24"/>
          <w:highlight w:val="none"/>
        </w:rPr>
      </w:pPr>
      <w:r>
        <w:rPr>
          <w:rFonts w:hint="eastAsia" w:ascii="宋体" w:hAnsi="宋体" w:eastAsia="宋体"/>
          <w:b/>
          <w:color w:val="auto"/>
          <w:sz w:val="24"/>
          <w:highlight w:val="none"/>
        </w:rPr>
        <w:t>7.1商务响应表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16"/>
        <w:gridCol w:w="2497"/>
        <w:gridCol w:w="2575"/>
        <w:gridCol w:w="810"/>
      </w:tblGrid>
      <w:tr w14:paraId="11668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noWrap w:val="0"/>
            <w:vAlign w:val="center"/>
          </w:tcPr>
          <w:p w14:paraId="30904784">
            <w:pPr>
              <w:widowControl w:val="0"/>
              <w:jc w:val="center"/>
              <w:rPr>
                <w:rFonts w:ascii="宋体" w:hAnsi="宋体" w:eastAsia="宋体" w:cs="Wingdings"/>
                <w:b/>
                <w:color w:val="auto"/>
                <w:kern w:val="2"/>
                <w:sz w:val="24"/>
                <w:szCs w:val="22"/>
                <w:highlight w:val="none"/>
                <w:lang w:val="en-US" w:eastAsia="zh-CN" w:bidi="ar-SA"/>
              </w:rPr>
            </w:pPr>
            <w:r>
              <w:rPr>
                <w:rFonts w:hint="eastAsia" w:ascii="宋体" w:hAnsi="宋体" w:eastAsia="宋体" w:cs="Wingdings"/>
                <w:b/>
                <w:color w:val="auto"/>
                <w:kern w:val="2"/>
                <w:sz w:val="24"/>
                <w:szCs w:val="22"/>
                <w:highlight w:val="none"/>
                <w:lang w:val="en-US" w:eastAsia="zh-CN" w:bidi="ar-SA"/>
              </w:rPr>
              <w:t>序号</w:t>
            </w:r>
          </w:p>
        </w:tc>
        <w:tc>
          <w:tcPr>
            <w:tcW w:w="1916" w:type="dxa"/>
            <w:noWrap w:val="0"/>
            <w:vAlign w:val="center"/>
          </w:tcPr>
          <w:p w14:paraId="11311891">
            <w:pPr>
              <w:widowControl w:val="0"/>
              <w:jc w:val="center"/>
              <w:rPr>
                <w:rFonts w:ascii="宋体" w:hAnsi="宋体" w:eastAsia="宋体" w:cs="Wingdings"/>
                <w:b/>
                <w:color w:val="auto"/>
                <w:kern w:val="2"/>
                <w:sz w:val="24"/>
                <w:szCs w:val="22"/>
                <w:highlight w:val="none"/>
                <w:lang w:val="en-US" w:eastAsia="zh-CN" w:bidi="ar-SA"/>
              </w:rPr>
            </w:pPr>
            <w:r>
              <w:rPr>
                <w:rFonts w:hint="eastAsia" w:ascii="宋体" w:hAnsi="宋体" w:eastAsia="宋体" w:cs="黑体"/>
                <w:b/>
                <w:bCs/>
                <w:color w:val="auto"/>
                <w:kern w:val="2"/>
                <w:sz w:val="24"/>
                <w:szCs w:val="24"/>
                <w:highlight w:val="none"/>
                <w:lang w:val="en-US" w:eastAsia="zh-CN" w:bidi="ar-SA"/>
              </w:rPr>
              <w:t>商务条款</w:t>
            </w:r>
          </w:p>
        </w:tc>
        <w:tc>
          <w:tcPr>
            <w:tcW w:w="2497" w:type="dxa"/>
            <w:noWrap w:val="0"/>
            <w:vAlign w:val="center"/>
          </w:tcPr>
          <w:p w14:paraId="706DC378">
            <w:pPr>
              <w:widowControl w:val="0"/>
              <w:jc w:val="center"/>
              <w:rPr>
                <w:rFonts w:ascii="宋体" w:hAnsi="宋体" w:eastAsia="宋体" w:cs="Wingdings"/>
                <w:b/>
                <w:color w:val="auto"/>
                <w:kern w:val="2"/>
                <w:sz w:val="24"/>
                <w:szCs w:val="22"/>
                <w:highlight w:val="none"/>
                <w:lang w:val="en-US" w:eastAsia="zh-CN" w:bidi="ar-SA"/>
              </w:rPr>
            </w:pPr>
            <w:r>
              <w:rPr>
                <w:rFonts w:hint="eastAsia" w:ascii="宋体" w:hAnsi="宋体" w:eastAsia="宋体" w:cs="Wingdings"/>
                <w:b/>
                <w:color w:val="auto"/>
                <w:kern w:val="2"/>
                <w:sz w:val="24"/>
                <w:szCs w:val="22"/>
                <w:highlight w:val="none"/>
                <w:lang w:val="en-US" w:eastAsia="zh-CN" w:bidi="ar-SA"/>
              </w:rPr>
              <w:t>磋商文件要求</w:t>
            </w:r>
          </w:p>
        </w:tc>
        <w:tc>
          <w:tcPr>
            <w:tcW w:w="2575" w:type="dxa"/>
            <w:noWrap w:val="0"/>
            <w:vAlign w:val="center"/>
          </w:tcPr>
          <w:p w14:paraId="0D75DB12">
            <w:pPr>
              <w:widowControl w:val="0"/>
              <w:jc w:val="center"/>
              <w:rPr>
                <w:rFonts w:ascii="宋体" w:hAnsi="宋体" w:eastAsia="宋体" w:cs="Wingdings"/>
                <w:b/>
                <w:color w:val="auto"/>
                <w:kern w:val="2"/>
                <w:sz w:val="24"/>
                <w:szCs w:val="22"/>
                <w:highlight w:val="none"/>
                <w:lang w:val="en-US" w:eastAsia="zh-CN" w:bidi="ar-SA"/>
              </w:rPr>
            </w:pPr>
            <w:r>
              <w:rPr>
                <w:rFonts w:hint="eastAsia" w:ascii="宋体" w:hAnsi="宋体" w:eastAsia="宋体" w:cs="Wingdings"/>
                <w:b/>
                <w:color w:val="auto"/>
                <w:kern w:val="2"/>
                <w:sz w:val="24"/>
                <w:szCs w:val="22"/>
                <w:highlight w:val="none"/>
                <w:lang w:val="en-US" w:eastAsia="zh-CN" w:bidi="ar-SA"/>
              </w:rPr>
              <w:t>供应商承诺</w:t>
            </w:r>
          </w:p>
        </w:tc>
        <w:tc>
          <w:tcPr>
            <w:tcW w:w="810" w:type="dxa"/>
            <w:noWrap w:val="0"/>
            <w:vAlign w:val="center"/>
          </w:tcPr>
          <w:p w14:paraId="0D896916">
            <w:pPr>
              <w:widowControl w:val="0"/>
              <w:jc w:val="center"/>
              <w:rPr>
                <w:rFonts w:ascii="宋体" w:hAnsi="宋体" w:eastAsia="宋体" w:cs="Wingdings"/>
                <w:b/>
                <w:color w:val="auto"/>
                <w:kern w:val="2"/>
                <w:sz w:val="24"/>
                <w:szCs w:val="22"/>
                <w:highlight w:val="none"/>
                <w:lang w:val="en-US" w:eastAsia="zh-CN" w:bidi="ar-SA"/>
              </w:rPr>
            </w:pPr>
            <w:r>
              <w:rPr>
                <w:rFonts w:hint="eastAsia" w:ascii="宋体" w:hAnsi="宋体" w:eastAsia="宋体" w:cs="Wingdings"/>
                <w:b/>
                <w:color w:val="auto"/>
                <w:kern w:val="2"/>
                <w:sz w:val="24"/>
                <w:szCs w:val="22"/>
                <w:highlight w:val="none"/>
                <w:lang w:val="en-US" w:eastAsia="zh-CN" w:bidi="ar-SA"/>
              </w:rPr>
              <w:t>偏离说明</w:t>
            </w:r>
          </w:p>
        </w:tc>
      </w:tr>
      <w:tr w14:paraId="64FE1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noWrap w:val="0"/>
            <w:vAlign w:val="center"/>
          </w:tcPr>
          <w:p w14:paraId="584566D6">
            <w:pPr>
              <w:jc w:val="center"/>
              <w:rPr>
                <w:rFonts w:ascii="宋体" w:hAnsi="宋体" w:eastAsia="宋体"/>
                <w:color w:val="auto"/>
                <w:sz w:val="24"/>
                <w:highlight w:val="none"/>
              </w:rPr>
            </w:pPr>
            <w:r>
              <w:rPr>
                <w:rFonts w:ascii="宋体" w:hAnsi="宋体" w:eastAsia="宋体"/>
                <w:color w:val="auto"/>
                <w:sz w:val="24"/>
                <w:highlight w:val="none"/>
              </w:rPr>
              <w:t>1</w:t>
            </w:r>
          </w:p>
        </w:tc>
        <w:tc>
          <w:tcPr>
            <w:tcW w:w="1916" w:type="dxa"/>
            <w:noWrap w:val="0"/>
            <w:vAlign w:val="center"/>
          </w:tcPr>
          <w:p w14:paraId="65B14286">
            <w:pPr>
              <w:jc w:val="center"/>
              <w:rPr>
                <w:rFonts w:ascii="宋体" w:hAnsi="宋体" w:eastAsia="宋体"/>
                <w:color w:val="auto"/>
                <w:sz w:val="24"/>
                <w:highlight w:val="none"/>
              </w:rPr>
            </w:pPr>
            <w:r>
              <w:rPr>
                <w:rFonts w:ascii="宋体" w:hAnsi="宋体" w:eastAsia="宋体"/>
                <w:color w:val="auto"/>
                <w:sz w:val="24"/>
                <w:highlight w:val="none"/>
              </w:rPr>
              <w:t>付款方式</w:t>
            </w:r>
          </w:p>
        </w:tc>
        <w:tc>
          <w:tcPr>
            <w:tcW w:w="2497" w:type="dxa"/>
            <w:noWrap w:val="0"/>
            <w:vAlign w:val="center"/>
          </w:tcPr>
          <w:p w14:paraId="3C6BBADB">
            <w:pPr>
              <w:jc w:val="center"/>
              <w:rPr>
                <w:rFonts w:ascii="宋体" w:hAnsi="宋体" w:eastAsia="宋体"/>
                <w:color w:val="auto"/>
                <w:sz w:val="24"/>
                <w:highlight w:val="none"/>
              </w:rPr>
            </w:pPr>
          </w:p>
        </w:tc>
        <w:tc>
          <w:tcPr>
            <w:tcW w:w="2575" w:type="dxa"/>
            <w:noWrap w:val="0"/>
            <w:vAlign w:val="center"/>
          </w:tcPr>
          <w:p w14:paraId="13E69F11">
            <w:pPr>
              <w:jc w:val="center"/>
              <w:rPr>
                <w:rFonts w:ascii="宋体" w:hAnsi="宋体" w:eastAsia="宋体"/>
                <w:color w:val="auto"/>
                <w:sz w:val="24"/>
                <w:highlight w:val="none"/>
              </w:rPr>
            </w:pPr>
          </w:p>
        </w:tc>
        <w:tc>
          <w:tcPr>
            <w:tcW w:w="810" w:type="dxa"/>
            <w:noWrap w:val="0"/>
            <w:vAlign w:val="center"/>
          </w:tcPr>
          <w:p w14:paraId="2EAC9529">
            <w:pPr>
              <w:jc w:val="center"/>
              <w:rPr>
                <w:rFonts w:ascii="宋体" w:hAnsi="宋体" w:eastAsia="宋体"/>
                <w:color w:val="auto"/>
                <w:sz w:val="24"/>
                <w:highlight w:val="none"/>
              </w:rPr>
            </w:pPr>
          </w:p>
        </w:tc>
      </w:tr>
      <w:tr w14:paraId="2D1F5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noWrap w:val="0"/>
            <w:vAlign w:val="center"/>
          </w:tcPr>
          <w:p w14:paraId="5AA23197">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1916" w:type="dxa"/>
            <w:noWrap w:val="0"/>
            <w:vAlign w:val="center"/>
          </w:tcPr>
          <w:p w14:paraId="4DAE611A">
            <w:pPr>
              <w:jc w:val="center"/>
              <w:rPr>
                <w:rFonts w:ascii="宋体" w:hAnsi="宋体" w:eastAsia="宋体"/>
                <w:color w:val="auto"/>
                <w:sz w:val="24"/>
                <w:highlight w:val="none"/>
              </w:rPr>
            </w:pPr>
            <w:r>
              <w:rPr>
                <w:rFonts w:hint="eastAsia" w:ascii="宋体" w:hAnsi="宋体" w:eastAsia="宋体"/>
                <w:color w:val="auto"/>
                <w:sz w:val="24"/>
                <w:highlight w:val="none"/>
              </w:rPr>
              <w:t>服务地点</w:t>
            </w:r>
          </w:p>
        </w:tc>
        <w:tc>
          <w:tcPr>
            <w:tcW w:w="2497" w:type="dxa"/>
            <w:noWrap w:val="0"/>
            <w:vAlign w:val="center"/>
          </w:tcPr>
          <w:p w14:paraId="5E51667C">
            <w:pPr>
              <w:jc w:val="center"/>
              <w:rPr>
                <w:rFonts w:ascii="宋体" w:hAnsi="宋体" w:eastAsia="宋体"/>
                <w:color w:val="auto"/>
                <w:sz w:val="24"/>
                <w:highlight w:val="none"/>
              </w:rPr>
            </w:pPr>
          </w:p>
        </w:tc>
        <w:tc>
          <w:tcPr>
            <w:tcW w:w="2575" w:type="dxa"/>
            <w:noWrap w:val="0"/>
            <w:vAlign w:val="center"/>
          </w:tcPr>
          <w:p w14:paraId="3341B9E7">
            <w:pPr>
              <w:jc w:val="center"/>
              <w:rPr>
                <w:rFonts w:ascii="宋体" w:hAnsi="宋体" w:eastAsia="宋体"/>
                <w:color w:val="auto"/>
                <w:sz w:val="24"/>
                <w:highlight w:val="none"/>
              </w:rPr>
            </w:pPr>
          </w:p>
        </w:tc>
        <w:tc>
          <w:tcPr>
            <w:tcW w:w="810" w:type="dxa"/>
            <w:noWrap w:val="0"/>
            <w:vAlign w:val="center"/>
          </w:tcPr>
          <w:p w14:paraId="37A5DF1A">
            <w:pPr>
              <w:jc w:val="center"/>
              <w:rPr>
                <w:rFonts w:ascii="宋体" w:hAnsi="宋体" w:eastAsia="宋体"/>
                <w:color w:val="auto"/>
                <w:sz w:val="24"/>
                <w:highlight w:val="none"/>
              </w:rPr>
            </w:pPr>
          </w:p>
        </w:tc>
      </w:tr>
      <w:tr w14:paraId="28CDD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noWrap w:val="0"/>
            <w:vAlign w:val="center"/>
          </w:tcPr>
          <w:p w14:paraId="5D5CA99B">
            <w:pPr>
              <w:jc w:val="center"/>
              <w:rPr>
                <w:rFonts w:ascii="宋体" w:hAnsi="宋体" w:eastAsia="宋体"/>
                <w:color w:val="auto"/>
                <w:sz w:val="24"/>
                <w:highlight w:val="none"/>
              </w:rPr>
            </w:pPr>
            <w:r>
              <w:rPr>
                <w:rFonts w:hint="eastAsia" w:ascii="宋体" w:hAnsi="宋体" w:eastAsia="宋体"/>
                <w:color w:val="auto"/>
                <w:sz w:val="24"/>
                <w:highlight w:val="none"/>
              </w:rPr>
              <w:t>3</w:t>
            </w:r>
          </w:p>
        </w:tc>
        <w:tc>
          <w:tcPr>
            <w:tcW w:w="1916" w:type="dxa"/>
            <w:noWrap w:val="0"/>
            <w:vAlign w:val="center"/>
          </w:tcPr>
          <w:p w14:paraId="10D2F8BE">
            <w:pPr>
              <w:jc w:val="center"/>
              <w:rPr>
                <w:rFonts w:ascii="宋体" w:hAnsi="宋体" w:eastAsia="宋体"/>
                <w:color w:val="auto"/>
                <w:sz w:val="24"/>
                <w:highlight w:val="none"/>
              </w:rPr>
            </w:pPr>
            <w:r>
              <w:rPr>
                <w:rFonts w:hint="eastAsia" w:ascii="宋体" w:hAnsi="宋体" w:eastAsia="宋体"/>
                <w:color w:val="auto"/>
                <w:sz w:val="24"/>
                <w:highlight w:val="none"/>
              </w:rPr>
              <w:t>服务期限</w:t>
            </w:r>
          </w:p>
        </w:tc>
        <w:tc>
          <w:tcPr>
            <w:tcW w:w="2497" w:type="dxa"/>
            <w:noWrap w:val="0"/>
            <w:vAlign w:val="center"/>
          </w:tcPr>
          <w:p w14:paraId="51FA7BE4">
            <w:pPr>
              <w:jc w:val="center"/>
              <w:rPr>
                <w:rFonts w:ascii="宋体" w:hAnsi="宋体" w:eastAsia="宋体"/>
                <w:color w:val="auto"/>
                <w:sz w:val="24"/>
                <w:highlight w:val="none"/>
              </w:rPr>
            </w:pPr>
          </w:p>
        </w:tc>
        <w:tc>
          <w:tcPr>
            <w:tcW w:w="2575" w:type="dxa"/>
            <w:noWrap w:val="0"/>
            <w:vAlign w:val="center"/>
          </w:tcPr>
          <w:p w14:paraId="494888D8">
            <w:pPr>
              <w:widowControl w:val="0"/>
              <w:jc w:val="center"/>
              <w:rPr>
                <w:rFonts w:ascii="宋体" w:hAnsi="宋体" w:eastAsia="宋体" w:cs="Arial"/>
                <w:color w:val="auto"/>
                <w:kern w:val="2"/>
                <w:sz w:val="24"/>
                <w:highlight w:val="none"/>
                <w:lang w:val="en-US" w:eastAsia="zh-CN" w:bidi="ar-SA"/>
              </w:rPr>
            </w:pPr>
          </w:p>
        </w:tc>
        <w:tc>
          <w:tcPr>
            <w:tcW w:w="810" w:type="dxa"/>
            <w:noWrap w:val="0"/>
            <w:vAlign w:val="center"/>
          </w:tcPr>
          <w:p w14:paraId="69C05B6E">
            <w:pPr>
              <w:jc w:val="center"/>
              <w:rPr>
                <w:rFonts w:ascii="宋体" w:hAnsi="宋体" w:eastAsia="宋体"/>
                <w:color w:val="auto"/>
                <w:sz w:val="24"/>
                <w:highlight w:val="none"/>
              </w:rPr>
            </w:pPr>
          </w:p>
        </w:tc>
      </w:tr>
      <w:tr w14:paraId="174C9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noWrap w:val="0"/>
            <w:vAlign w:val="center"/>
          </w:tcPr>
          <w:p w14:paraId="0BAF831A">
            <w:pPr>
              <w:jc w:val="center"/>
              <w:rPr>
                <w:rFonts w:ascii="宋体" w:hAnsi="宋体" w:eastAsia="宋体"/>
                <w:color w:val="auto"/>
                <w:sz w:val="24"/>
                <w:highlight w:val="none"/>
              </w:rPr>
            </w:pPr>
            <w:r>
              <w:rPr>
                <w:rFonts w:hint="eastAsia" w:ascii="宋体" w:hAnsi="宋体" w:eastAsia="宋体"/>
                <w:color w:val="auto"/>
                <w:sz w:val="24"/>
                <w:highlight w:val="none"/>
              </w:rPr>
              <w:t>…</w:t>
            </w:r>
          </w:p>
        </w:tc>
        <w:tc>
          <w:tcPr>
            <w:tcW w:w="1916" w:type="dxa"/>
            <w:noWrap w:val="0"/>
            <w:vAlign w:val="center"/>
          </w:tcPr>
          <w:p w14:paraId="7942FC1F">
            <w:pPr>
              <w:jc w:val="center"/>
              <w:rPr>
                <w:rFonts w:ascii="宋体" w:hAnsi="宋体" w:eastAsia="宋体"/>
                <w:color w:val="auto"/>
                <w:sz w:val="24"/>
                <w:highlight w:val="none"/>
              </w:rPr>
            </w:pPr>
          </w:p>
        </w:tc>
        <w:tc>
          <w:tcPr>
            <w:tcW w:w="2497" w:type="dxa"/>
            <w:noWrap w:val="0"/>
            <w:vAlign w:val="center"/>
          </w:tcPr>
          <w:p w14:paraId="73B18011">
            <w:pPr>
              <w:jc w:val="center"/>
              <w:rPr>
                <w:rFonts w:ascii="宋体" w:hAnsi="宋体" w:eastAsia="宋体"/>
                <w:color w:val="auto"/>
                <w:sz w:val="24"/>
                <w:highlight w:val="none"/>
              </w:rPr>
            </w:pPr>
          </w:p>
        </w:tc>
        <w:tc>
          <w:tcPr>
            <w:tcW w:w="2575" w:type="dxa"/>
            <w:noWrap w:val="0"/>
            <w:vAlign w:val="center"/>
          </w:tcPr>
          <w:p w14:paraId="0A68792A">
            <w:pPr>
              <w:jc w:val="center"/>
              <w:rPr>
                <w:rFonts w:ascii="宋体" w:hAnsi="宋体" w:eastAsia="宋体"/>
                <w:color w:val="auto"/>
                <w:sz w:val="24"/>
                <w:highlight w:val="none"/>
              </w:rPr>
            </w:pPr>
          </w:p>
        </w:tc>
        <w:tc>
          <w:tcPr>
            <w:tcW w:w="810" w:type="dxa"/>
            <w:noWrap w:val="0"/>
            <w:vAlign w:val="center"/>
          </w:tcPr>
          <w:p w14:paraId="3C40A71E">
            <w:pPr>
              <w:jc w:val="center"/>
              <w:rPr>
                <w:rFonts w:ascii="宋体" w:hAnsi="宋体" w:eastAsia="宋体"/>
                <w:color w:val="auto"/>
                <w:sz w:val="24"/>
                <w:highlight w:val="none"/>
              </w:rPr>
            </w:pPr>
          </w:p>
        </w:tc>
      </w:tr>
    </w:tbl>
    <w:p w14:paraId="46D41684">
      <w:pPr>
        <w:spacing w:line="360" w:lineRule="auto"/>
        <w:jc w:val="left"/>
        <w:rPr>
          <w:rFonts w:ascii="Arial" w:hAnsi="Arial" w:eastAsia="宋体" w:cs="Arial"/>
          <w:b/>
          <w:color w:val="auto"/>
          <w:sz w:val="24"/>
          <w:highlight w:val="none"/>
        </w:rPr>
      </w:pPr>
      <w:r>
        <w:rPr>
          <w:rFonts w:hint="eastAsia" w:ascii="Arial" w:hAnsi="Arial" w:eastAsia="宋体" w:cs="Arial"/>
          <w:b/>
          <w:color w:val="auto"/>
          <w:sz w:val="24"/>
          <w:highlight w:val="none"/>
        </w:rPr>
        <w:t>7</w:t>
      </w:r>
      <w:r>
        <w:rPr>
          <w:rFonts w:ascii="Arial" w:hAnsi="Arial" w:eastAsia="宋体" w:cs="Arial"/>
          <w:b/>
          <w:color w:val="auto"/>
          <w:sz w:val="24"/>
          <w:highlight w:val="none"/>
        </w:rPr>
        <w:t>.2</w:t>
      </w:r>
      <w:r>
        <w:rPr>
          <w:rFonts w:hint="eastAsia" w:ascii="Arial" w:hAnsi="Arial" w:eastAsia="宋体" w:cs="Arial"/>
          <w:b/>
          <w:color w:val="auto"/>
          <w:sz w:val="24"/>
          <w:highlight w:val="none"/>
        </w:rPr>
        <w:t>服务响应表</w:t>
      </w:r>
    </w:p>
    <w:tbl>
      <w:tblPr>
        <w:tblStyle w:val="2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60"/>
        <w:gridCol w:w="2863"/>
        <w:gridCol w:w="2482"/>
        <w:gridCol w:w="856"/>
      </w:tblGrid>
      <w:tr w14:paraId="5BFBA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1" w:type="dxa"/>
            <w:noWrap w:val="0"/>
            <w:vAlign w:val="center"/>
          </w:tcPr>
          <w:p w14:paraId="5BB8868B">
            <w:pPr>
              <w:widowControl w:val="0"/>
              <w:jc w:val="center"/>
              <w:rPr>
                <w:rFonts w:ascii="Arial" w:hAnsi="Arial" w:eastAsia="宋体" w:cs="Arial"/>
                <w:b/>
                <w:color w:val="auto"/>
                <w:kern w:val="2"/>
                <w:sz w:val="24"/>
                <w:szCs w:val="22"/>
                <w:highlight w:val="none"/>
                <w:lang w:val="en-US" w:eastAsia="zh-CN" w:bidi="ar-SA"/>
              </w:rPr>
            </w:pPr>
            <w:r>
              <w:rPr>
                <w:rFonts w:ascii="Arial" w:hAnsi="Arial" w:eastAsia="宋体" w:cs="Arial"/>
                <w:b/>
                <w:color w:val="auto"/>
                <w:kern w:val="2"/>
                <w:sz w:val="24"/>
                <w:szCs w:val="22"/>
                <w:highlight w:val="none"/>
                <w:lang w:val="en-US" w:eastAsia="zh-CN" w:bidi="ar-SA"/>
              </w:rPr>
              <w:t>序号</w:t>
            </w:r>
          </w:p>
        </w:tc>
        <w:tc>
          <w:tcPr>
            <w:tcW w:w="1560" w:type="dxa"/>
            <w:noWrap w:val="0"/>
            <w:vAlign w:val="center"/>
          </w:tcPr>
          <w:p w14:paraId="2B7819FE">
            <w:pPr>
              <w:widowControl w:val="0"/>
              <w:jc w:val="center"/>
              <w:rPr>
                <w:rFonts w:ascii="Arial" w:hAnsi="Arial" w:eastAsia="宋体" w:cs="Arial"/>
                <w:b/>
                <w:color w:val="auto"/>
                <w:kern w:val="2"/>
                <w:sz w:val="24"/>
                <w:szCs w:val="22"/>
                <w:highlight w:val="none"/>
                <w:lang w:val="en-US" w:eastAsia="zh-CN" w:bidi="ar-SA"/>
              </w:rPr>
            </w:pPr>
            <w:r>
              <w:rPr>
                <w:rFonts w:hint="eastAsia" w:ascii="Arial" w:hAnsi="Arial" w:eastAsia="宋体" w:cs="Arial"/>
                <w:b/>
                <w:bCs/>
                <w:color w:val="auto"/>
                <w:kern w:val="2"/>
                <w:sz w:val="24"/>
                <w:szCs w:val="24"/>
                <w:highlight w:val="none"/>
                <w:lang w:val="en-US" w:eastAsia="zh-CN" w:bidi="ar-SA"/>
              </w:rPr>
              <w:t>服务项目名称</w:t>
            </w:r>
          </w:p>
        </w:tc>
        <w:tc>
          <w:tcPr>
            <w:tcW w:w="2863" w:type="dxa"/>
            <w:noWrap w:val="0"/>
            <w:vAlign w:val="center"/>
          </w:tcPr>
          <w:p w14:paraId="27984CDC">
            <w:pPr>
              <w:widowControl w:val="0"/>
              <w:jc w:val="center"/>
              <w:rPr>
                <w:rFonts w:ascii="Arial" w:hAnsi="Arial" w:eastAsia="宋体" w:cs="Arial"/>
                <w:b/>
                <w:color w:val="auto"/>
                <w:kern w:val="2"/>
                <w:sz w:val="24"/>
                <w:szCs w:val="22"/>
                <w:highlight w:val="none"/>
                <w:lang w:val="en-US" w:eastAsia="zh-CN" w:bidi="ar-SA"/>
              </w:rPr>
            </w:pPr>
            <w:r>
              <w:rPr>
                <w:rFonts w:hint="eastAsia" w:ascii="Arial" w:hAnsi="Arial" w:eastAsia="宋体" w:cs="Arial"/>
                <w:b/>
                <w:color w:val="auto"/>
                <w:kern w:val="2"/>
                <w:sz w:val="24"/>
                <w:szCs w:val="22"/>
                <w:highlight w:val="none"/>
                <w:lang w:val="en-US" w:eastAsia="zh-CN" w:bidi="ar-SA"/>
              </w:rPr>
              <w:t>磋商</w:t>
            </w:r>
            <w:r>
              <w:rPr>
                <w:rFonts w:ascii="Arial" w:hAnsi="Arial" w:eastAsia="宋体" w:cs="Arial"/>
                <w:b/>
                <w:color w:val="auto"/>
                <w:kern w:val="2"/>
                <w:sz w:val="24"/>
                <w:szCs w:val="22"/>
                <w:highlight w:val="none"/>
                <w:lang w:val="en-US" w:eastAsia="zh-CN" w:bidi="ar-SA"/>
              </w:rPr>
              <w:t>文件规定的</w:t>
            </w:r>
            <w:r>
              <w:rPr>
                <w:rFonts w:hint="eastAsia" w:ascii="Arial" w:hAnsi="Arial" w:eastAsia="宋体" w:cs="Arial"/>
                <w:b/>
                <w:color w:val="auto"/>
                <w:kern w:val="2"/>
                <w:sz w:val="24"/>
                <w:szCs w:val="22"/>
                <w:highlight w:val="none"/>
                <w:lang w:val="en-US" w:eastAsia="zh-CN" w:bidi="ar-SA"/>
              </w:rPr>
              <w:t>服务</w:t>
            </w:r>
            <w:r>
              <w:rPr>
                <w:rFonts w:ascii="Arial" w:hAnsi="Arial" w:eastAsia="宋体" w:cs="Arial"/>
                <w:b/>
                <w:color w:val="auto"/>
                <w:kern w:val="2"/>
                <w:sz w:val="24"/>
                <w:szCs w:val="22"/>
                <w:highlight w:val="none"/>
                <w:lang w:val="en-US" w:eastAsia="zh-CN" w:bidi="ar-SA"/>
              </w:rPr>
              <w:t>要求</w:t>
            </w:r>
          </w:p>
        </w:tc>
        <w:tc>
          <w:tcPr>
            <w:tcW w:w="2482" w:type="dxa"/>
            <w:noWrap w:val="0"/>
            <w:vAlign w:val="center"/>
          </w:tcPr>
          <w:p w14:paraId="5DE45CF2">
            <w:pPr>
              <w:widowControl w:val="0"/>
              <w:jc w:val="center"/>
              <w:rPr>
                <w:rFonts w:ascii="Arial" w:hAnsi="Arial" w:eastAsia="宋体" w:cs="Arial"/>
                <w:b/>
                <w:color w:val="auto"/>
                <w:kern w:val="2"/>
                <w:sz w:val="24"/>
                <w:szCs w:val="22"/>
                <w:highlight w:val="none"/>
                <w:lang w:val="en-US" w:eastAsia="zh-CN" w:bidi="ar-SA"/>
              </w:rPr>
            </w:pPr>
            <w:r>
              <w:rPr>
                <w:rFonts w:hint="eastAsia" w:ascii="Arial" w:hAnsi="Arial" w:eastAsia="宋体" w:cs="Arial"/>
                <w:b/>
                <w:color w:val="auto"/>
                <w:kern w:val="2"/>
                <w:sz w:val="24"/>
                <w:szCs w:val="22"/>
                <w:highlight w:val="none"/>
                <w:lang w:val="en-US" w:eastAsia="zh-CN" w:bidi="ar-SA"/>
              </w:rPr>
              <w:t>响应文件的服务响应</w:t>
            </w:r>
          </w:p>
        </w:tc>
        <w:tc>
          <w:tcPr>
            <w:tcW w:w="856" w:type="dxa"/>
            <w:noWrap w:val="0"/>
            <w:vAlign w:val="center"/>
          </w:tcPr>
          <w:p w14:paraId="37F5F6D0">
            <w:pPr>
              <w:widowControl w:val="0"/>
              <w:jc w:val="center"/>
              <w:rPr>
                <w:rFonts w:ascii="Arial" w:hAnsi="Arial" w:eastAsia="宋体" w:cs="Arial"/>
                <w:b/>
                <w:color w:val="auto"/>
                <w:kern w:val="2"/>
                <w:sz w:val="24"/>
                <w:szCs w:val="22"/>
                <w:highlight w:val="none"/>
                <w:lang w:val="en-US" w:eastAsia="zh-CN" w:bidi="ar-SA"/>
              </w:rPr>
            </w:pPr>
            <w:r>
              <w:rPr>
                <w:rFonts w:ascii="Arial" w:hAnsi="Arial" w:eastAsia="宋体" w:cs="Arial"/>
                <w:b/>
                <w:color w:val="auto"/>
                <w:kern w:val="2"/>
                <w:sz w:val="24"/>
                <w:szCs w:val="22"/>
                <w:highlight w:val="none"/>
                <w:lang w:val="en-US" w:eastAsia="zh-CN" w:bidi="ar-SA"/>
              </w:rPr>
              <w:t>偏离说明</w:t>
            </w:r>
          </w:p>
        </w:tc>
      </w:tr>
      <w:tr w14:paraId="7B5E9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14:paraId="618F2047">
            <w:pPr>
              <w:jc w:val="center"/>
              <w:rPr>
                <w:rFonts w:ascii="Arial" w:hAnsi="Arial" w:eastAsia="宋体" w:cs="Arial"/>
                <w:color w:val="auto"/>
                <w:sz w:val="24"/>
                <w:highlight w:val="none"/>
              </w:rPr>
            </w:pPr>
            <w:r>
              <w:rPr>
                <w:rFonts w:ascii="Arial" w:hAnsi="Arial" w:eastAsia="宋体" w:cs="Arial"/>
                <w:color w:val="auto"/>
                <w:sz w:val="24"/>
                <w:highlight w:val="none"/>
              </w:rPr>
              <w:t>1</w:t>
            </w:r>
          </w:p>
        </w:tc>
        <w:tc>
          <w:tcPr>
            <w:tcW w:w="1560" w:type="dxa"/>
            <w:noWrap w:val="0"/>
            <w:vAlign w:val="center"/>
          </w:tcPr>
          <w:p w14:paraId="34EB055B">
            <w:pPr>
              <w:jc w:val="center"/>
              <w:rPr>
                <w:rFonts w:ascii="Arial" w:hAnsi="Arial" w:eastAsia="宋体" w:cs="Arial"/>
                <w:color w:val="auto"/>
                <w:sz w:val="24"/>
                <w:highlight w:val="none"/>
              </w:rPr>
            </w:pPr>
          </w:p>
        </w:tc>
        <w:tc>
          <w:tcPr>
            <w:tcW w:w="2863" w:type="dxa"/>
            <w:noWrap w:val="0"/>
            <w:vAlign w:val="center"/>
          </w:tcPr>
          <w:p w14:paraId="1BAF3331">
            <w:pPr>
              <w:jc w:val="center"/>
              <w:rPr>
                <w:rFonts w:ascii="Arial" w:hAnsi="Arial" w:eastAsia="宋体" w:cs="Arial"/>
                <w:color w:val="auto"/>
                <w:sz w:val="24"/>
                <w:highlight w:val="none"/>
              </w:rPr>
            </w:pPr>
          </w:p>
        </w:tc>
        <w:tc>
          <w:tcPr>
            <w:tcW w:w="2482" w:type="dxa"/>
            <w:noWrap w:val="0"/>
            <w:vAlign w:val="center"/>
          </w:tcPr>
          <w:p w14:paraId="161B8E1D">
            <w:pPr>
              <w:jc w:val="center"/>
              <w:rPr>
                <w:rFonts w:ascii="Arial" w:hAnsi="Arial" w:eastAsia="宋体" w:cs="Arial"/>
                <w:color w:val="auto"/>
                <w:sz w:val="24"/>
                <w:highlight w:val="none"/>
              </w:rPr>
            </w:pPr>
          </w:p>
        </w:tc>
        <w:tc>
          <w:tcPr>
            <w:tcW w:w="856" w:type="dxa"/>
            <w:noWrap w:val="0"/>
            <w:vAlign w:val="center"/>
          </w:tcPr>
          <w:p w14:paraId="396576AA">
            <w:pPr>
              <w:jc w:val="center"/>
              <w:rPr>
                <w:rFonts w:ascii="Arial" w:hAnsi="Arial" w:eastAsia="宋体" w:cs="Arial"/>
                <w:color w:val="auto"/>
                <w:sz w:val="24"/>
                <w:highlight w:val="none"/>
              </w:rPr>
            </w:pPr>
          </w:p>
        </w:tc>
      </w:tr>
      <w:tr w14:paraId="2C6E8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14:paraId="2BB30840">
            <w:pPr>
              <w:jc w:val="center"/>
              <w:rPr>
                <w:rFonts w:ascii="Arial" w:hAnsi="Arial" w:eastAsia="宋体" w:cs="Arial"/>
                <w:color w:val="auto"/>
                <w:sz w:val="24"/>
                <w:highlight w:val="none"/>
              </w:rPr>
            </w:pPr>
            <w:r>
              <w:rPr>
                <w:rFonts w:ascii="Arial" w:hAnsi="Arial" w:eastAsia="宋体" w:cs="Arial"/>
                <w:color w:val="auto"/>
                <w:sz w:val="24"/>
                <w:highlight w:val="none"/>
              </w:rPr>
              <w:t>2</w:t>
            </w:r>
          </w:p>
        </w:tc>
        <w:tc>
          <w:tcPr>
            <w:tcW w:w="1560" w:type="dxa"/>
            <w:noWrap w:val="0"/>
            <w:vAlign w:val="center"/>
          </w:tcPr>
          <w:p w14:paraId="06BA6F07">
            <w:pPr>
              <w:jc w:val="center"/>
              <w:rPr>
                <w:rFonts w:ascii="Arial" w:hAnsi="Arial" w:eastAsia="宋体" w:cs="Arial"/>
                <w:color w:val="auto"/>
                <w:sz w:val="24"/>
                <w:highlight w:val="none"/>
              </w:rPr>
            </w:pPr>
          </w:p>
        </w:tc>
        <w:tc>
          <w:tcPr>
            <w:tcW w:w="2863" w:type="dxa"/>
            <w:noWrap w:val="0"/>
            <w:vAlign w:val="center"/>
          </w:tcPr>
          <w:p w14:paraId="69F191F7">
            <w:pPr>
              <w:jc w:val="center"/>
              <w:rPr>
                <w:rFonts w:ascii="Arial" w:hAnsi="Arial" w:eastAsia="宋体" w:cs="Arial"/>
                <w:color w:val="auto"/>
                <w:sz w:val="24"/>
                <w:highlight w:val="none"/>
              </w:rPr>
            </w:pPr>
          </w:p>
        </w:tc>
        <w:tc>
          <w:tcPr>
            <w:tcW w:w="2482" w:type="dxa"/>
            <w:noWrap w:val="0"/>
            <w:vAlign w:val="center"/>
          </w:tcPr>
          <w:p w14:paraId="35D8F590">
            <w:pPr>
              <w:jc w:val="center"/>
              <w:rPr>
                <w:rFonts w:ascii="Arial" w:hAnsi="Arial" w:eastAsia="宋体" w:cs="Arial"/>
                <w:color w:val="auto"/>
                <w:sz w:val="24"/>
                <w:highlight w:val="none"/>
              </w:rPr>
            </w:pPr>
          </w:p>
        </w:tc>
        <w:tc>
          <w:tcPr>
            <w:tcW w:w="856" w:type="dxa"/>
            <w:noWrap w:val="0"/>
            <w:vAlign w:val="center"/>
          </w:tcPr>
          <w:p w14:paraId="00A2E698">
            <w:pPr>
              <w:jc w:val="center"/>
              <w:rPr>
                <w:rFonts w:ascii="Arial" w:hAnsi="Arial" w:eastAsia="宋体" w:cs="Arial"/>
                <w:color w:val="auto"/>
                <w:sz w:val="24"/>
                <w:highlight w:val="none"/>
              </w:rPr>
            </w:pPr>
          </w:p>
        </w:tc>
      </w:tr>
      <w:tr w14:paraId="082A9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14:paraId="4CF6722F">
            <w:pPr>
              <w:jc w:val="center"/>
              <w:rPr>
                <w:rFonts w:ascii="Arial" w:hAnsi="Arial" w:eastAsia="宋体" w:cs="Arial"/>
                <w:color w:val="auto"/>
                <w:sz w:val="24"/>
                <w:highlight w:val="none"/>
              </w:rPr>
            </w:pPr>
            <w:r>
              <w:rPr>
                <w:rFonts w:ascii="Arial" w:hAnsi="Arial" w:eastAsia="宋体" w:cs="Arial"/>
                <w:color w:val="auto"/>
                <w:sz w:val="24"/>
                <w:highlight w:val="none"/>
              </w:rPr>
              <w:t>3</w:t>
            </w:r>
          </w:p>
        </w:tc>
        <w:tc>
          <w:tcPr>
            <w:tcW w:w="1560" w:type="dxa"/>
            <w:noWrap w:val="0"/>
            <w:vAlign w:val="center"/>
          </w:tcPr>
          <w:p w14:paraId="67458518">
            <w:pPr>
              <w:jc w:val="center"/>
              <w:rPr>
                <w:rFonts w:ascii="Arial" w:hAnsi="Arial" w:eastAsia="宋体" w:cs="Arial"/>
                <w:color w:val="auto"/>
                <w:sz w:val="24"/>
                <w:highlight w:val="none"/>
              </w:rPr>
            </w:pPr>
          </w:p>
        </w:tc>
        <w:tc>
          <w:tcPr>
            <w:tcW w:w="2863" w:type="dxa"/>
            <w:noWrap w:val="0"/>
            <w:vAlign w:val="center"/>
          </w:tcPr>
          <w:p w14:paraId="64D3E1B7">
            <w:pPr>
              <w:jc w:val="center"/>
              <w:rPr>
                <w:rFonts w:ascii="Arial" w:hAnsi="Arial" w:eastAsia="宋体" w:cs="Arial"/>
                <w:color w:val="auto"/>
                <w:sz w:val="24"/>
                <w:highlight w:val="none"/>
              </w:rPr>
            </w:pPr>
          </w:p>
        </w:tc>
        <w:tc>
          <w:tcPr>
            <w:tcW w:w="2482" w:type="dxa"/>
            <w:noWrap w:val="0"/>
            <w:vAlign w:val="center"/>
          </w:tcPr>
          <w:p w14:paraId="7B3468E1">
            <w:pPr>
              <w:widowControl w:val="0"/>
              <w:jc w:val="center"/>
              <w:rPr>
                <w:rFonts w:ascii="Arial" w:hAnsi="Arial" w:eastAsia="宋体" w:cs="Arial"/>
                <w:color w:val="auto"/>
                <w:kern w:val="2"/>
                <w:sz w:val="24"/>
                <w:highlight w:val="none"/>
                <w:lang w:val="en-US" w:eastAsia="zh-CN" w:bidi="ar-SA"/>
              </w:rPr>
            </w:pPr>
          </w:p>
        </w:tc>
        <w:tc>
          <w:tcPr>
            <w:tcW w:w="856" w:type="dxa"/>
            <w:noWrap w:val="0"/>
            <w:vAlign w:val="center"/>
          </w:tcPr>
          <w:p w14:paraId="2B9E7691">
            <w:pPr>
              <w:jc w:val="center"/>
              <w:rPr>
                <w:rFonts w:ascii="Arial" w:hAnsi="Arial" w:eastAsia="宋体" w:cs="Arial"/>
                <w:color w:val="auto"/>
                <w:sz w:val="24"/>
                <w:highlight w:val="none"/>
              </w:rPr>
            </w:pPr>
          </w:p>
        </w:tc>
      </w:tr>
      <w:tr w14:paraId="06D25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14:paraId="5B9E3857">
            <w:pPr>
              <w:jc w:val="center"/>
              <w:rPr>
                <w:rFonts w:ascii="Arial" w:hAnsi="Arial" w:eastAsia="宋体" w:cs="Arial"/>
                <w:color w:val="auto"/>
                <w:sz w:val="24"/>
                <w:highlight w:val="none"/>
              </w:rPr>
            </w:pPr>
            <w:r>
              <w:rPr>
                <w:rFonts w:ascii="Arial" w:hAnsi="Arial" w:eastAsia="宋体" w:cs="Arial"/>
                <w:color w:val="auto"/>
                <w:sz w:val="24"/>
                <w:highlight w:val="none"/>
              </w:rPr>
              <w:t>4</w:t>
            </w:r>
          </w:p>
        </w:tc>
        <w:tc>
          <w:tcPr>
            <w:tcW w:w="1560" w:type="dxa"/>
            <w:noWrap w:val="0"/>
            <w:vAlign w:val="center"/>
          </w:tcPr>
          <w:p w14:paraId="54D34D45">
            <w:pPr>
              <w:jc w:val="center"/>
              <w:rPr>
                <w:rFonts w:ascii="Arial" w:hAnsi="Arial" w:eastAsia="宋体" w:cs="Arial"/>
                <w:color w:val="auto"/>
                <w:sz w:val="24"/>
                <w:highlight w:val="none"/>
              </w:rPr>
            </w:pPr>
          </w:p>
        </w:tc>
        <w:tc>
          <w:tcPr>
            <w:tcW w:w="2863" w:type="dxa"/>
            <w:noWrap w:val="0"/>
            <w:vAlign w:val="center"/>
          </w:tcPr>
          <w:p w14:paraId="6BC213CC">
            <w:pPr>
              <w:jc w:val="center"/>
              <w:rPr>
                <w:rFonts w:ascii="Arial" w:hAnsi="Arial" w:eastAsia="宋体" w:cs="Arial"/>
                <w:color w:val="auto"/>
                <w:sz w:val="24"/>
                <w:highlight w:val="none"/>
              </w:rPr>
            </w:pPr>
          </w:p>
        </w:tc>
        <w:tc>
          <w:tcPr>
            <w:tcW w:w="2482" w:type="dxa"/>
            <w:noWrap w:val="0"/>
            <w:vAlign w:val="center"/>
          </w:tcPr>
          <w:p w14:paraId="757EA73C">
            <w:pPr>
              <w:widowControl w:val="0"/>
              <w:jc w:val="center"/>
              <w:rPr>
                <w:rFonts w:ascii="Arial" w:hAnsi="Arial" w:eastAsia="宋体" w:cs="Arial"/>
                <w:color w:val="auto"/>
                <w:kern w:val="2"/>
                <w:sz w:val="24"/>
                <w:highlight w:val="none"/>
                <w:lang w:val="en-US" w:eastAsia="zh-CN" w:bidi="ar-SA"/>
              </w:rPr>
            </w:pPr>
          </w:p>
        </w:tc>
        <w:tc>
          <w:tcPr>
            <w:tcW w:w="856" w:type="dxa"/>
            <w:noWrap w:val="0"/>
            <w:vAlign w:val="center"/>
          </w:tcPr>
          <w:p w14:paraId="3FE71465">
            <w:pPr>
              <w:jc w:val="center"/>
              <w:rPr>
                <w:rFonts w:ascii="Arial" w:hAnsi="Arial" w:eastAsia="宋体" w:cs="Arial"/>
                <w:color w:val="auto"/>
                <w:sz w:val="24"/>
                <w:highlight w:val="none"/>
              </w:rPr>
            </w:pPr>
          </w:p>
        </w:tc>
      </w:tr>
      <w:tr w14:paraId="7CE65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noWrap w:val="0"/>
            <w:vAlign w:val="center"/>
          </w:tcPr>
          <w:p w14:paraId="464412A7">
            <w:pPr>
              <w:jc w:val="center"/>
              <w:rPr>
                <w:rFonts w:ascii="Arial" w:hAnsi="Arial" w:eastAsia="宋体" w:cs="Arial"/>
                <w:color w:val="auto"/>
                <w:sz w:val="24"/>
                <w:highlight w:val="none"/>
              </w:rPr>
            </w:pPr>
            <w:r>
              <w:rPr>
                <w:rFonts w:ascii="Arial" w:hAnsi="Arial" w:eastAsia="宋体" w:cs="Arial"/>
                <w:color w:val="auto"/>
                <w:sz w:val="24"/>
                <w:highlight w:val="none"/>
              </w:rPr>
              <w:t>…</w:t>
            </w:r>
          </w:p>
        </w:tc>
        <w:tc>
          <w:tcPr>
            <w:tcW w:w="1560" w:type="dxa"/>
            <w:noWrap w:val="0"/>
            <w:vAlign w:val="center"/>
          </w:tcPr>
          <w:p w14:paraId="2EDC7B48">
            <w:pPr>
              <w:jc w:val="center"/>
              <w:rPr>
                <w:rFonts w:ascii="Arial" w:hAnsi="Arial" w:eastAsia="宋体" w:cs="Arial"/>
                <w:color w:val="auto"/>
                <w:sz w:val="24"/>
                <w:highlight w:val="none"/>
              </w:rPr>
            </w:pPr>
          </w:p>
        </w:tc>
        <w:tc>
          <w:tcPr>
            <w:tcW w:w="2863" w:type="dxa"/>
            <w:noWrap w:val="0"/>
            <w:vAlign w:val="center"/>
          </w:tcPr>
          <w:p w14:paraId="65063205">
            <w:pPr>
              <w:jc w:val="center"/>
              <w:rPr>
                <w:rFonts w:ascii="Arial" w:hAnsi="Arial" w:eastAsia="宋体" w:cs="Arial"/>
                <w:color w:val="auto"/>
                <w:sz w:val="24"/>
                <w:highlight w:val="none"/>
              </w:rPr>
            </w:pPr>
          </w:p>
        </w:tc>
        <w:tc>
          <w:tcPr>
            <w:tcW w:w="2482" w:type="dxa"/>
            <w:noWrap w:val="0"/>
            <w:vAlign w:val="center"/>
          </w:tcPr>
          <w:p w14:paraId="68B36EEB">
            <w:pPr>
              <w:jc w:val="center"/>
              <w:rPr>
                <w:rFonts w:ascii="Arial" w:hAnsi="Arial" w:eastAsia="宋体" w:cs="Arial"/>
                <w:color w:val="auto"/>
                <w:sz w:val="24"/>
                <w:highlight w:val="none"/>
              </w:rPr>
            </w:pPr>
          </w:p>
        </w:tc>
        <w:tc>
          <w:tcPr>
            <w:tcW w:w="856" w:type="dxa"/>
            <w:noWrap w:val="0"/>
            <w:vAlign w:val="center"/>
          </w:tcPr>
          <w:p w14:paraId="2A0CCADE">
            <w:pPr>
              <w:jc w:val="center"/>
              <w:rPr>
                <w:rFonts w:ascii="Arial" w:hAnsi="Arial" w:eastAsia="宋体" w:cs="Arial"/>
                <w:color w:val="auto"/>
                <w:sz w:val="24"/>
                <w:highlight w:val="none"/>
              </w:rPr>
            </w:pPr>
          </w:p>
        </w:tc>
      </w:tr>
    </w:tbl>
    <w:p w14:paraId="7180B4C4">
      <w:pPr>
        <w:widowControl w:val="0"/>
        <w:spacing w:line="360" w:lineRule="auto"/>
        <w:jc w:val="both"/>
        <w:rPr>
          <w:rFonts w:ascii="宋体" w:hAnsi="宋体" w:eastAsia="宋体" w:cs="Arial"/>
          <w:b/>
          <w:color w:val="auto"/>
          <w:kern w:val="2"/>
          <w:sz w:val="24"/>
          <w:highlight w:val="none"/>
          <w:lang w:val="en-US" w:eastAsia="zh-CN" w:bidi="ar-SA"/>
        </w:rPr>
      </w:pPr>
    </w:p>
    <w:p w14:paraId="576D25D3">
      <w:pPr>
        <w:spacing w:line="360" w:lineRule="auto"/>
        <w:jc w:val="center"/>
        <w:outlineLvl w:val="2"/>
        <w:rPr>
          <w:rFonts w:ascii="宋体" w:hAnsi="宋体" w:eastAsia="宋体"/>
          <w:b/>
          <w:color w:val="auto"/>
          <w:sz w:val="28"/>
          <w:szCs w:val="28"/>
          <w:highlight w:val="none"/>
        </w:rPr>
      </w:pPr>
      <w:r>
        <w:rPr>
          <w:rFonts w:hint="eastAsia" w:ascii="宋体" w:hAnsi="宋体" w:eastAsia="宋体"/>
          <w:b/>
          <w:color w:val="auto"/>
          <w:sz w:val="28"/>
          <w:szCs w:val="28"/>
          <w:highlight w:val="none"/>
        </w:rPr>
        <w:br w:type="page"/>
      </w:r>
      <w:r>
        <w:rPr>
          <w:rFonts w:hint="eastAsia" w:ascii="宋体" w:hAnsi="宋体" w:eastAsia="宋体"/>
          <w:b/>
          <w:color w:val="auto"/>
          <w:sz w:val="28"/>
          <w:szCs w:val="28"/>
          <w:highlight w:val="none"/>
        </w:rPr>
        <w:t>八、人员配备</w:t>
      </w:r>
    </w:p>
    <w:p w14:paraId="2707EE49">
      <w:pPr>
        <w:spacing w:line="360" w:lineRule="auto"/>
        <w:jc w:val="center"/>
        <w:rPr>
          <w:rFonts w:ascii="宋体" w:hAnsi="宋体" w:eastAsia="宋体"/>
          <w:i/>
          <w:color w:val="auto"/>
          <w:sz w:val="24"/>
          <w:highlight w:val="none"/>
        </w:rPr>
      </w:pPr>
      <w:r>
        <w:rPr>
          <w:rFonts w:ascii="宋体" w:hAnsi="宋体" w:eastAsia="宋体"/>
          <w:i/>
          <w:color w:val="auto"/>
          <w:sz w:val="24"/>
          <w:highlight w:val="none"/>
        </w:rPr>
        <w:t>(</w:t>
      </w:r>
      <w:r>
        <w:rPr>
          <w:rFonts w:hint="eastAsia" w:ascii="宋体" w:hAnsi="宋体" w:eastAsia="宋体"/>
          <w:i/>
          <w:color w:val="auto"/>
          <w:sz w:val="24"/>
          <w:highlight w:val="none"/>
        </w:rPr>
        <w:t>供应商</w:t>
      </w:r>
      <w:r>
        <w:rPr>
          <w:rFonts w:ascii="宋体" w:hAnsi="宋体" w:eastAsia="宋体"/>
          <w:i/>
          <w:color w:val="auto"/>
          <w:sz w:val="24"/>
          <w:highlight w:val="none"/>
        </w:rPr>
        <w:t>可自行制作格式)</w:t>
      </w:r>
    </w:p>
    <w:p w14:paraId="656826AE">
      <w:pPr>
        <w:keepNext/>
        <w:keepLines/>
        <w:widowControl w:val="0"/>
        <w:spacing w:before="260" w:beforeLines="0" w:beforeAutospacing="0" w:after="260" w:afterLines="0" w:afterAutospacing="0" w:line="413" w:lineRule="auto"/>
        <w:jc w:val="both"/>
        <w:outlineLvl w:val="2"/>
        <w:rPr>
          <w:rFonts w:ascii="@仿宋_GB2312" w:hAnsi="@仿宋_GB2312" w:eastAsia="@仿宋_GB2312" w:cs="@仿宋_GB2312"/>
          <w:b/>
          <w:color w:val="auto"/>
          <w:kern w:val="2"/>
          <w:sz w:val="32"/>
          <w:highlight w:val="none"/>
          <w:lang w:val="en-US" w:eastAsia="zh-CN" w:bidi="ar-SA"/>
        </w:rPr>
      </w:pPr>
    </w:p>
    <w:p w14:paraId="1E5E258C">
      <w:pPr>
        <w:spacing w:line="360" w:lineRule="auto"/>
        <w:jc w:val="center"/>
        <w:outlineLvl w:val="2"/>
        <w:rPr>
          <w:rFonts w:hint="eastAsia" w:ascii="宋体" w:hAnsi="宋体" w:eastAsia="宋体"/>
          <w:b/>
          <w:color w:val="auto"/>
          <w:sz w:val="28"/>
          <w:szCs w:val="28"/>
          <w:highlight w:val="none"/>
        </w:rPr>
      </w:pPr>
      <w:r>
        <w:rPr>
          <w:rFonts w:hint="eastAsia" w:ascii="宋体" w:hAnsi="宋体" w:eastAsia="宋体"/>
          <w:b/>
          <w:color w:val="auto"/>
          <w:sz w:val="28"/>
          <w:szCs w:val="28"/>
          <w:highlight w:val="none"/>
        </w:rPr>
        <w:t>九、服务方案</w:t>
      </w:r>
    </w:p>
    <w:p w14:paraId="0C9F6B50">
      <w:pPr>
        <w:spacing w:line="360" w:lineRule="auto"/>
        <w:jc w:val="center"/>
        <w:rPr>
          <w:rFonts w:ascii="宋体" w:hAnsi="宋体" w:eastAsia="宋体"/>
          <w:i/>
          <w:color w:val="auto"/>
          <w:sz w:val="24"/>
          <w:highlight w:val="none"/>
        </w:rPr>
      </w:pPr>
      <w:r>
        <w:rPr>
          <w:rFonts w:ascii="宋体" w:hAnsi="宋体" w:eastAsia="宋体"/>
          <w:i/>
          <w:color w:val="auto"/>
          <w:sz w:val="24"/>
          <w:highlight w:val="none"/>
        </w:rPr>
        <w:t>(</w:t>
      </w:r>
      <w:r>
        <w:rPr>
          <w:rFonts w:hint="eastAsia" w:ascii="宋体" w:hAnsi="宋体" w:eastAsia="宋体"/>
          <w:i/>
          <w:color w:val="auto"/>
          <w:sz w:val="24"/>
          <w:highlight w:val="none"/>
        </w:rPr>
        <w:t>供应商</w:t>
      </w:r>
      <w:r>
        <w:rPr>
          <w:rFonts w:ascii="宋体" w:hAnsi="宋体" w:eastAsia="宋体"/>
          <w:i/>
          <w:color w:val="auto"/>
          <w:sz w:val="24"/>
          <w:highlight w:val="none"/>
        </w:rPr>
        <w:t>可自行制作格式)</w:t>
      </w:r>
    </w:p>
    <w:p w14:paraId="3DEC9009">
      <w:pPr>
        <w:keepNext/>
        <w:keepLines/>
        <w:widowControl w:val="0"/>
        <w:spacing w:before="260" w:beforeLines="0" w:beforeAutospacing="0" w:after="260" w:afterLines="0" w:afterAutospacing="0" w:line="413" w:lineRule="auto"/>
        <w:jc w:val="both"/>
        <w:outlineLvl w:val="2"/>
        <w:rPr>
          <w:rFonts w:ascii="@仿宋_GB2312" w:hAnsi="@仿宋_GB2312" w:eastAsia="@仿宋_GB2312" w:cs="@仿宋_GB2312"/>
          <w:b/>
          <w:color w:val="auto"/>
          <w:kern w:val="2"/>
          <w:sz w:val="32"/>
          <w:highlight w:val="none"/>
          <w:lang w:val="en-US" w:eastAsia="zh-CN" w:bidi="ar-SA"/>
        </w:rPr>
      </w:pPr>
    </w:p>
    <w:p w14:paraId="6CD79B64">
      <w:pPr>
        <w:widowControl/>
        <w:jc w:val="left"/>
        <w:rPr>
          <w:rFonts w:ascii="宋体" w:hAnsi="宋体" w:eastAsia="宋体"/>
          <w:color w:val="auto"/>
          <w:sz w:val="24"/>
          <w:highlight w:val="none"/>
        </w:rPr>
      </w:pPr>
      <w:r>
        <w:rPr>
          <w:rFonts w:ascii="宋体" w:hAnsi="宋体" w:eastAsia="宋体"/>
          <w:color w:val="auto"/>
          <w:sz w:val="24"/>
          <w:highlight w:val="none"/>
        </w:rPr>
        <w:br w:type="page"/>
      </w:r>
    </w:p>
    <w:p w14:paraId="1E0923A1">
      <w:pPr>
        <w:spacing w:line="360" w:lineRule="auto"/>
        <w:jc w:val="center"/>
        <w:outlineLvl w:val="2"/>
        <w:rPr>
          <w:rFonts w:hint="eastAsia" w:ascii="宋体" w:hAnsi="宋体" w:eastAsia="宋体"/>
          <w:b/>
          <w:color w:val="auto"/>
          <w:sz w:val="28"/>
          <w:szCs w:val="28"/>
          <w:highlight w:val="none"/>
        </w:rPr>
      </w:pPr>
      <w:r>
        <w:rPr>
          <w:rFonts w:hint="eastAsia" w:ascii="宋体" w:hAnsi="宋体" w:eastAsia="宋体"/>
          <w:b/>
          <w:color w:val="auto"/>
          <w:sz w:val="28"/>
          <w:szCs w:val="28"/>
          <w:highlight w:val="none"/>
        </w:rPr>
        <w:t>十、磋商业绩承诺函</w:t>
      </w:r>
    </w:p>
    <w:p w14:paraId="00A94F61">
      <w:pPr>
        <w:spacing w:line="360" w:lineRule="auto"/>
        <w:ind w:firstLine="435"/>
        <w:rPr>
          <w:rFonts w:ascii="宋体" w:hAnsi="宋体" w:eastAsia="宋体"/>
          <w:color w:val="auto"/>
          <w:sz w:val="24"/>
          <w:highlight w:val="none"/>
        </w:rPr>
      </w:pPr>
    </w:p>
    <w:p w14:paraId="27550E2B">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我单位同意成交公告中公示以下业绩并承诺：响应文件中所提供的业绩均真实有效，若被发现存在任何虚假、隐瞒情况，我单位承担由此产生的一切后果。</w:t>
      </w:r>
    </w:p>
    <w:p w14:paraId="0A7A15DB">
      <w:pPr>
        <w:spacing w:line="360" w:lineRule="auto"/>
        <w:ind w:firstLine="435"/>
        <w:rPr>
          <w:rFonts w:ascii="宋体" w:hAnsi="宋体" w:eastAsia="宋体"/>
          <w:color w:val="auto"/>
          <w:sz w:val="24"/>
          <w:highlight w:val="none"/>
        </w:rPr>
      </w:pPr>
    </w:p>
    <w:p w14:paraId="12E4DB92">
      <w:pPr>
        <w:spacing w:line="360" w:lineRule="auto"/>
        <w:ind w:firstLine="4228" w:firstLineChars="1762"/>
        <w:rPr>
          <w:rFonts w:ascii="宋体" w:hAnsi="宋体" w:eastAsia="宋体"/>
          <w:color w:val="auto"/>
          <w:sz w:val="24"/>
          <w:highlight w:val="none"/>
          <w:u w:val="single"/>
        </w:rPr>
      </w:pPr>
      <w:r>
        <w:rPr>
          <w:rFonts w:hint="eastAsia" w:ascii="宋体" w:hAnsi="宋体" w:eastAsia="宋体"/>
          <w:color w:val="auto"/>
          <w:sz w:val="24"/>
          <w:highlight w:val="none"/>
        </w:rPr>
        <w:t>供应商公章：</w:t>
      </w:r>
      <w:r>
        <w:rPr>
          <w:rFonts w:hint="eastAsia" w:ascii="宋体" w:hAnsi="宋体" w:eastAsia="宋体"/>
          <w:color w:val="auto"/>
          <w:sz w:val="24"/>
          <w:highlight w:val="none"/>
          <w:u w:val="single"/>
        </w:rPr>
        <w:t xml:space="preserve">              </w:t>
      </w:r>
    </w:p>
    <w:p w14:paraId="642608AF">
      <w:pPr>
        <w:tabs>
          <w:tab w:val="left" w:pos="630"/>
        </w:tabs>
        <w:spacing w:line="360" w:lineRule="auto"/>
        <w:ind w:firstLine="4228" w:firstLineChars="1762"/>
        <w:rPr>
          <w:rFonts w:ascii="宋体" w:hAnsi="宋体" w:eastAsia="宋体"/>
          <w:color w:val="auto"/>
          <w:sz w:val="24"/>
          <w:highlight w:val="none"/>
          <w:u w:val="single"/>
        </w:rPr>
      </w:pPr>
      <w:r>
        <w:rPr>
          <w:rFonts w:hint="eastAsia" w:ascii="宋体" w:hAnsi="宋体" w:eastAsia="宋体"/>
          <w:color w:val="auto"/>
          <w:sz w:val="24"/>
          <w:highlight w:val="none"/>
        </w:rPr>
        <w:t xml:space="preserve">日    </w:t>
      </w:r>
      <w:r>
        <w:rPr>
          <w:rFonts w:ascii="宋体" w:hAnsi="宋体" w:eastAsia="宋体"/>
          <w:color w:val="auto"/>
          <w:sz w:val="24"/>
          <w:highlight w:val="none"/>
        </w:rPr>
        <w:t xml:space="preserve"> </w:t>
      </w:r>
      <w:r>
        <w:rPr>
          <w:rFonts w:hint="eastAsia" w:ascii="宋体" w:hAnsi="宋体" w:eastAsia="宋体"/>
          <w:color w:val="auto"/>
          <w:sz w:val="24"/>
          <w:highlight w:val="none"/>
        </w:rPr>
        <w:t xml:space="preserve"> 期：</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p>
    <w:p w14:paraId="55DEC566">
      <w:pPr>
        <w:tabs>
          <w:tab w:val="left" w:pos="630"/>
        </w:tabs>
        <w:spacing w:line="360" w:lineRule="auto"/>
        <w:ind w:firstLine="3700" w:firstLineChars="1762"/>
        <w:rPr>
          <w:rFonts w:ascii="宋体" w:hAnsi="宋体" w:eastAsia="宋体"/>
          <w:color w:val="auto"/>
          <w:highlight w:val="none"/>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4106"/>
        <w:gridCol w:w="2528"/>
        <w:gridCol w:w="948"/>
      </w:tblGrid>
      <w:tr w14:paraId="501D1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940" w:type="dxa"/>
            <w:noWrap w:val="0"/>
            <w:vAlign w:val="center"/>
          </w:tcPr>
          <w:p w14:paraId="7778C043">
            <w:pPr>
              <w:spacing w:line="36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序号</w:t>
            </w:r>
          </w:p>
        </w:tc>
        <w:tc>
          <w:tcPr>
            <w:tcW w:w="4106" w:type="dxa"/>
            <w:noWrap w:val="0"/>
            <w:vAlign w:val="center"/>
          </w:tcPr>
          <w:p w14:paraId="2860ABE9">
            <w:pPr>
              <w:spacing w:line="36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项目名称</w:t>
            </w:r>
          </w:p>
        </w:tc>
        <w:tc>
          <w:tcPr>
            <w:tcW w:w="2528" w:type="dxa"/>
            <w:noWrap w:val="0"/>
            <w:vAlign w:val="center"/>
          </w:tcPr>
          <w:p w14:paraId="62581735">
            <w:pPr>
              <w:widowControl/>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服务范围</w:t>
            </w:r>
          </w:p>
        </w:tc>
        <w:tc>
          <w:tcPr>
            <w:tcW w:w="948" w:type="dxa"/>
            <w:noWrap w:val="0"/>
            <w:vAlign w:val="center"/>
          </w:tcPr>
          <w:p w14:paraId="22112002">
            <w:pPr>
              <w:spacing w:line="36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备注</w:t>
            </w:r>
          </w:p>
        </w:tc>
      </w:tr>
      <w:tr w14:paraId="59EDD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noWrap w:val="0"/>
            <w:vAlign w:val="center"/>
          </w:tcPr>
          <w:p w14:paraId="3569F8D9">
            <w:pPr>
              <w:spacing w:line="36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1</w:t>
            </w:r>
          </w:p>
        </w:tc>
        <w:tc>
          <w:tcPr>
            <w:tcW w:w="4106" w:type="dxa"/>
            <w:noWrap w:val="0"/>
            <w:vAlign w:val="center"/>
          </w:tcPr>
          <w:p w14:paraId="46C04FF2">
            <w:pPr>
              <w:spacing w:line="360" w:lineRule="auto"/>
              <w:rPr>
                <w:rFonts w:ascii="宋体" w:hAnsi="宋体" w:eastAsia="宋体"/>
                <w:color w:val="auto"/>
                <w:sz w:val="24"/>
                <w:szCs w:val="24"/>
                <w:highlight w:val="none"/>
              </w:rPr>
            </w:pPr>
          </w:p>
        </w:tc>
        <w:tc>
          <w:tcPr>
            <w:tcW w:w="2528" w:type="dxa"/>
            <w:noWrap w:val="0"/>
            <w:vAlign w:val="center"/>
          </w:tcPr>
          <w:p w14:paraId="30822C50">
            <w:pPr>
              <w:spacing w:line="360" w:lineRule="auto"/>
              <w:rPr>
                <w:rFonts w:ascii="宋体" w:hAnsi="宋体" w:eastAsia="宋体"/>
                <w:color w:val="auto"/>
                <w:sz w:val="24"/>
                <w:szCs w:val="24"/>
                <w:highlight w:val="none"/>
              </w:rPr>
            </w:pPr>
          </w:p>
        </w:tc>
        <w:tc>
          <w:tcPr>
            <w:tcW w:w="948" w:type="dxa"/>
            <w:noWrap w:val="0"/>
            <w:vAlign w:val="center"/>
          </w:tcPr>
          <w:p w14:paraId="40503782">
            <w:pPr>
              <w:spacing w:line="360" w:lineRule="auto"/>
              <w:rPr>
                <w:rFonts w:ascii="宋体" w:hAnsi="宋体" w:eastAsia="宋体"/>
                <w:color w:val="auto"/>
                <w:sz w:val="24"/>
                <w:szCs w:val="24"/>
                <w:highlight w:val="none"/>
              </w:rPr>
            </w:pPr>
          </w:p>
        </w:tc>
      </w:tr>
      <w:tr w14:paraId="267D6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noWrap w:val="0"/>
            <w:vAlign w:val="center"/>
          </w:tcPr>
          <w:p w14:paraId="6A3D1C2C">
            <w:pPr>
              <w:spacing w:line="36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2</w:t>
            </w:r>
          </w:p>
        </w:tc>
        <w:tc>
          <w:tcPr>
            <w:tcW w:w="4106" w:type="dxa"/>
            <w:noWrap w:val="0"/>
            <w:vAlign w:val="center"/>
          </w:tcPr>
          <w:p w14:paraId="67E3C0AC">
            <w:pPr>
              <w:spacing w:line="360" w:lineRule="auto"/>
              <w:rPr>
                <w:rFonts w:ascii="宋体" w:hAnsi="宋体" w:eastAsia="宋体"/>
                <w:color w:val="auto"/>
                <w:sz w:val="24"/>
                <w:szCs w:val="24"/>
                <w:highlight w:val="none"/>
              </w:rPr>
            </w:pPr>
          </w:p>
        </w:tc>
        <w:tc>
          <w:tcPr>
            <w:tcW w:w="2528" w:type="dxa"/>
            <w:noWrap w:val="0"/>
            <w:vAlign w:val="center"/>
          </w:tcPr>
          <w:p w14:paraId="2BF18412">
            <w:pPr>
              <w:spacing w:line="360" w:lineRule="auto"/>
              <w:rPr>
                <w:rFonts w:ascii="宋体" w:hAnsi="宋体" w:eastAsia="宋体"/>
                <w:color w:val="auto"/>
                <w:sz w:val="24"/>
                <w:szCs w:val="24"/>
                <w:highlight w:val="none"/>
              </w:rPr>
            </w:pPr>
          </w:p>
        </w:tc>
        <w:tc>
          <w:tcPr>
            <w:tcW w:w="948" w:type="dxa"/>
            <w:noWrap w:val="0"/>
            <w:vAlign w:val="center"/>
          </w:tcPr>
          <w:p w14:paraId="1D373117">
            <w:pPr>
              <w:spacing w:line="360" w:lineRule="auto"/>
              <w:rPr>
                <w:rFonts w:ascii="宋体" w:hAnsi="宋体" w:eastAsia="宋体"/>
                <w:color w:val="auto"/>
                <w:sz w:val="24"/>
                <w:szCs w:val="24"/>
                <w:highlight w:val="none"/>
              </w:rPr>
            </w:pPr>
          </w:p>
        </w:tc>
      </w:tr>
      <w:tr w14:paraId="54ADB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noWrap w:val="0"/>
            <w:vAlign w:val="center"/>
          </w:tcPr>
          <w:p w14:paraId="0575E5E4">
            <w:pPr>
              <w:spacing w:line="36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3</w:t>
            </w:r>
          </w:p>
        </w:tc>
        <w:tc>
          <w:tcPr>
            <w:tcW w:w="4106" w:type="dxa"/>
            <w:noWrap w:val="0"/>
            <w:vAlign w:val="center"/>
          </w:tcPr>
          <w:p w14:paraId="50EF6619">
            <w:pPr>
              <w:spacing w:line="360" w:lineRule="auto"/>
              <w:rPr>
                <w:rFonts w:ascii="宋体" w:hAnsi="宋体" w:eastAsia="宋体"/>
                <w:color w:val="auto"/>
                <w:sz w:val="24"/>
                <w:szCs w:val="24"/>
                <w:highlight w:val="none"/>
              </w:rPr>
            </w:pPr>
          </w:p>
        </w:tc>
        <w:tc>
          <w:tcPr>
            <w:tcW w:w="2528" w:type="dxa"/>
            <w:noWrap w:val="0"/>
            <w:vAlign w:val="center"/>
          </w:tcPr>
          <w:p w14:paraId="46FA79DD">
            <w:pPr>
              <w:spacing w:line="360" w:lineRule="auto"/>
              <w:rPr>
                <w:rFonts w:ascii="宋体" w:hAnsi="宋体" w:eastAsia="宋体"/>
                <w:color w:val="auto"/>
                <w:sz w:val="24"/>
                <w:szCs w:val="24"/>
                <w:highlight w:val="none"/>
              </w:rPr>
            </w:pPr>
          </w:p>
        </w:tc>
        <w:tc>
          <w:tcPr>
            <w:tcW w:w="948" w:type="dxa"/>
            <w:noWrap w:val="0"/>
            <w:vAlign w:val="center"/>
          </w:tcPr>
          <w:p w14:paraId="2D073B09">
            <w:pPr>
              <w:spacing w:line="360" w:lineRule="auto"/>
              <w:rPr>
                <w:rFonts w:ascii="宋体" w:hAnsi="宋体" w:eastAsia="宋体"/>
                <w:color w:val="auto"/>
                <w:sz w:val="24"/>
                <w:szCs w:val="24"/>
                <w:highlight w:val="none"/>
              </w:rPr>
            </w:pPr>
          </w:p>
        </w:tc>
      </w:tr>
      <w:tr w14:paraId="6E99F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noWrap w:val="0"/>
            <w:vAlign w:val="center"/>
          </w:tcPr>
          <w:p w14:paraId="7222B203">
            <w:pPr>
              <w:spacing w:line="36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4</w:t>
            </w:r>
          </w:p>
        </w:tc>
        <w:tc>
          <w:tcPr>
            <w:tcW w:w="4106" w:type="dxa"/>
            <w:noWrap w:val="0"/>
            <w:vAlign w:val="center"/>
          </w:tcPr>
          <w:p w14:paraId="734A35AE">
            <w:pPr>
              <w:spacing w:line="360" w:lineRule="auto"/>
              <w:rPr>
                <w:rFonts w:ascii="宋体" w:hAnsi="宋体" w:eastAsia="宋体"/>
                <w:color w:val="auto"/>
                <w:sz w:val="24"/>
                <w:szCs w:val="24"/>
                <w:highlight w:val="none"/>
              </w:rPr>
            </w:pPr>
          </w:p>
        </w:tc>
        <w:tc>
          <w:tcPr>
            <w:tcW w:w="2528" w:type="dxa"/>
            <w:noWrap w:val="0"/>
            <w:vAlign w:val="center"/>
          </w:tcPr>
          <w:p w14:paraId="4057B87F">
            <w:pPr>
              <w:spacing w:line="360" w:lineRule="auto"/>
              <w:rPr>
                <w:rFonts w:ascii="宋体" w:hAnsi="宋体" w:eastAsia="宋体"/>
                <w:color w:val="auto"/>
                <w:sz w:val="24"/>
                <w:szCs w:val="24"/>
                <w:highlight w:val="none"/>
              </w:rPr>
            </w:pPr>
          </w:p>
        </w:tc>
        <w:tc>
          <w:tcPr>
            <w:tcW w:w="948" w:type="dxa"/>
            <w:noWrap w:val="0"/>
            <w:vAlign w:val="center"/>
          </w:tcPr>
          <w:p w14:paraId="6917DAFF">
            <w:pPr>
              <w:spacing w:line="360" w:lineRule="auto"/>
              <w:rPr>
                <w:rFonts w:ascii="宋体" w:hAnsi="宋体" w:eastAsia="宋体"/>
                <w:color w:val="auto"/>
                <w:sz w:val="24"/>
                <w:szCs w:val="24"/>
                <w:highlight w:val="none"/>
              </w:rPr>
            </w:pPr>
          </w:p>
        </w:tc>
      </w:tr>
      <w:tr w14:paraId="2E060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noWrap w:val="0"/>
            <w:vAlign w:val="center"/>
          </w:tcPr>
          <w:p w14:paraId="054F408D">
            <w:pPr>
              <w:spacing w:line="36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5</w:t>
            </w:r>
          </w:p>
        </w:tc>
        <w:tc>
          <w:tcPr>
            <w:tcW w:w="4106" w:type="dxa"/>
            <w:noWrap w:val="0"/>
            <w:vAlign w:val="center"/>
          </w:tcPr>
          <w:p w14:paraId="0B7B0E88">
            <w:pPr>
              <w:spacing w:line="360" w:lineRule="auto"/>
              <w:rPr>
                <w:rFonts w:ascii="宋体" w:hAnsi="宋体" w:eastAsia="宋体"/>
                <w:color w:val="auto"/>
                <w:sz w:val="24"/>
                <w:szCs w:val="24"/>
                <w:highlight w:val="none"/>
              </w:rPr>
            </w:pPr>
          </w:p>
        </w:tc>
        <w:tc>
          <w:tcPr>
            <w:tcW w:w="2528" w:type="dxa"/>
            <w:noWrap w:val="0"/>
            <w:vAlign w:val="center"/>
          </w:tcPr>
          <w:p w14:paraId="5E015235">
            <w:pPr>
              <w:spacing w:line="360" w:lineRule="auto"/>
              <w:rPr>
                <w:rFonts w:ascii="宋体" w:hAnsi="宋体" w:eastAsia="宋体"/>
                <w:color w:val="auto"/>
                <w:sz w:val="24"/>
                <w:szCs w:val="24"/>
                <w:highlight w:val="none"/>
              </w:rPr>
            </w:pPr>
          </w:p>
        </w:tc>
        <w:tc>
          <w:tcPr>
            <w:tcW w:w="948" w:type="dxa"/>
            <w:noWrap w:val="0"/>
            <w:vAlign w:val="center"/>
          </w:tcPr>
          <w:p w14:paraId="4D08A988">
            <w:pPr>
              <w:spacing w:line="360" w:lineRule="auto"/>
              <w:rPr>
                <w:rFonts w:ascii="宋体" w:hAnsi="宋体" w:eastAsia="宋体"/>
                <w:color w:val="auto"/>
                <w:sz w:val="24"/>
                <w:szCs w:val="24"/>
                <w:highlight w:val="none"/>
              </w:rPr>
            </w:pPr>
          </w:p>
        </w:tc>
      </w:tr>
      <w:tr w14:paraId="3D4ED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noWrap w:val="0"/>
            <w:vAlign w:val="center"/>
          </w:tcPr>
          <w:p w14:paraId="742BD381">
            <w:pPr>
              <w:spacing w:line="36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w:t>
            </w:r>
          </w:p>
        </w:tc>
        <w:tc>
          <w:tcPr>
            <w:tcW w:w="4106" w:type="dxa"/>
            <w:noWrap w:val="0"/>
            <w:vAlign w:val="center"/>
          </w:tcPr>
          <w:p w14:paraId="56666F19">
            <w:pPr>
              <w:spacing w:line="360" w:lineRule="auto"/>
              <w:rPr>
                <w:rFonts w:ascii="宋体" w:hAnsi="宋体" w:eastAsia="宋体"/>
                <w:color w:val="auto"/>
                <w:sz w:val="24"/>
                <w:szCs w:val="24"/>
                <w:highlight w:val="none"/>
              </w:rPr>
            </w:pPr>
          </w:p>
        </w:tc>
        <w:tc>
          <w:tcPr>
            <w:tcW w:w="2528" w:type="dxa"/>
            <w:noWrap w:val="0"/>
            <w:vAlign w:val="center"/>
          </w:tcPr>
          <w:p w14:paraId="6DCEE643">
            <w:pPr>
              <w:spacing w:line="360" w:lineRule="auto"/>
              <w:rPr>
                <w:rFonts w:ascii="宋体" w:hAnsi="宋体" w:eastAsia="宋体"/>
                <w:color w:val="auto"/>
                <w:sz w:val="24"/>
                <w:szCs w:val="24"/>
                <w:highlight w:val="none"/>
              </w:rPr>
            </w:pPr>
          </w:p>
        </w:tc>
        <w:tc>
          <w:tcPr>
            <w:tcW w:w="948" w:type="dxa"/>
            <w:noWrap w:val="0"/>
            <w:vAlign w:val="center"/>
          </w:tcPr>
          <w:p w14:paraId="1C1977AF">
            <w:pPr>
              <w:spacing w:line="360" w:lineRule="auto"/>
              <w:rPr>
                <w:rFonts w:ascii="宋体" w:hAnsi="宋体" w:eastAsia="宋体"/>
                <w:color w:val="auto"/>
                <w:sz w:val="24"/>
                <w:szCs w:val="24"/>
                <w:highlight w:val="none"/>
              </w:rPr>
            </w:pPr>
          </w:p>
        </w:tc>
      </w:tr>
    </w:tbl>
    <w:p w14:paraId="05BA98B3">
      <w:pPr>
        <w:adjustRightInd w:val="0"/>
        <w:snapToGrid w:val="0"/>
        <w:spacing w:line="360" w:lineRule="auto"/>
        <w:rPr>
          <w:rFonts w:ascii="宋体" w:hAnsi="宋体" w:eastAsia="宋体"/>
          <w:b/>
          <w:bCs/>
          <w:color w:val="auto"/>
          <w:sz w:val="24"/>
          <w:szCs w:val="28"/>
          <w:highlight w:val="none"/>
        </w:rPr>
      </w:pPr>
    </w:p>
    <w:p w14:paraId="35C88334">
      <w:pPr>
        <w:adjustRightInd w:val="0"/>
        <w:snapToGrid w:val="0"/>
        <w:spacing w:line="360" w:lineRule="auto"/>
        <w:jc w:val="left"/>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3285AE49">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1.表中所列业绩应为供应商满足磋商文件要求的业绩；</w:t>
      </w:r>
    </w:p>
    <w:p w14:paraId="19C0CDAC">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2.成交供应商提供的以上业绩情况，如磋商文件《供应商须知前附表》有约定的，将按约定随评审结果公告。</w:t>
      </w:r>
    </w:p>
    <w:p w14:paraId="100160E2">
      <w:pPr>
        <w:widowControl/>
        <w:jc w:val="left"/>
        <w:rPr>
          <w:rFonts w:ascii="宋体" w:hAnsi="宋体" w:eastAsia="宋体"/>
          <w:color w:val="auto"/>
          <w:sz w:val="24"/>
          <w:highlight w:val="none"/>
        </w:rPr>
      </w:pPr>
      <w:r>
        <w:rPr>
          <w:rFonts w:ascii="宋体" w:hAnsi="宋体" w:eastAsia="宋体"/>
          <w:color w:val="auto"/>
          <w:sz w:val="24"/>
          <w:highlight w:val="none"/>
        </w:rPr>
        <w:br w:type="page"/>
      </w:r>
    </w:p>
    <w:p w14:paraId="7A6F5910">
      <w:pPr>
        <w:spacing w:line="360" w:lineRule="auto"/>
        <w:jc w:val="center"/>
        <w:outlineLvl w:val="2"/>
        <w:rPr>
          <w:rFonts w:hint="eastAsia" w:ascii="宋体" w:hAnsi="宋体" w:eastAsia="宋体"/>
          <w:b/>
          <w:color w:val="auto"/>
          <w:sz w:val="28"/>
          <w:szCs w:val="28"/>
          <w:highlight w:val="none"/>
        </w:rPr>
      </w:pPr>
      <w:r>
        <w:rPr>
          <w:rFonts w:hint="eastAsia" w:ascii="宋体" w:hAnsi="宋体" w:eastAsia="宋体"/>
          <w:b/>
          <w:color w:val="auto"/>
          <w:sz w:val="28"/>
          <w:szCs w:val="28"/>
          <w:highlight w:val="none"/>
        </w:rPr>
        <w:t>十</w:t>
      </w:r>
      <w:r>
        <w:rPr>
          <w:rFonts w:hint="eastAsia" w:ascii="宋体" w:hAnsi="宋体" w:eastAsia="宋体"/>
          <w:b/>
          <w:color w:val="auto"/>
          <w:sz w:val="28"/>
          <w:szCs w:val="28"/>
          <w:highlight w:val="none"/>
          <w:lang w:eastAsia="zh-CN"/>
        </w:rPr>
        <w:t>一</w:t>
      </w:r>
      <w:r>
        <w:rPr>
          <w:rFonts w:hint="eastAsia" w:ascii="宋体" w:hAnsi="宋体" w:eastAsia="宋体"/>
          <w:b/>
          <w:color w:val="auto"/>
          <w:sz w:val="28"/>
          <w:szCs w:val="28"/>
          <w:highlight w:val="none"/>
        </w:rPr>
        <w:t>、联合体协议</w:t>
      </w:r>
    </w:p>
    <w:p w14:paraId="69404510">
      <w:pPr>
        <w:pStyle w:val="21"/>
        <w:widowControl w:val="0"/>
        <w:spacing w:line="360" w:lineRule="auto"/>
        <w:rPr>
          <w:rFonts w:ascii="宋体" w:hAnsi="宋体" w:eastAsia="宋体"/>
          <w:b w:val="0"/>
          <w:i/>
          <w:color w:val="auto"/>
          <w:kern w:val="2"/>
          <w:sz w:val="24"/>
          <w:highlight w:val="none"/>
          <w:lang w:val="en-US" w:eastAsia="zh-CN" w:bidi="ar-SA"/>
        </w:rPr>
      </w:pPr>
      <w:r>
        <w:rPr>
          <w:rFonts w:hint="eastAsia" w:ascii="宋体" w:hAnsi="宋体" w:eastAsia="宋体"/>
          <w:b w:val="0"/>
          <w:i/>
          <w:color w:val="auto"/>
          <w:kern w:val="2"/>
          <w:sz w:val="24"/>
          <w:highlight w:val="none"/>
          <w:lang w:val="en-US" w:eastAsia="zh-CN" w:bidi="ar-SA"/>
        </w:rPr>
        <w:t>（不允许联合体参加磋商或未组成联合体的，不需此件）</w:t>
      </w:r>
    </w:p>
    <w:p w14:paraId="0561C2AD">
      <w:pPr>
        <w:spacing w:line="360" w:lineRule="auto"/>
        <w:ind w:firstLine="435"/>
        <w:rPr>
          <w:rFonts w:ascii="宋体" w:hAnsi="宋体" w:eastAsia="宋体"/>
          <w:color w:val="auto"/>
          <w:sz w:val="24"/>
          <w:highlight w:val="none"/>
        </w:rPr>
      </w:pPr>
    </w:p>
    <w:p w14:paraId="12B0805C">
      <w:pPr>
        <w:spacing w:line="360" w:lineRule="auto"/>
        <w:ind w:firstLine="435"/>
        <w:jc w:val="left"/>
        <w:rPr>
          <w:rFonts w:ascii="宋体" w:hAnsi="宋体" w:eastAsia="宋体"/>
          <w:color w:val="auto"/>
          <w:sz w:val="24"/>
          <w:highlight w:val="none"/>
          <w:u w:val="single"/>
        </w:rPr>
      </w:pPr>
      <w:r>
        <w:rPr>
          <w:rFonts w:hint="eastAsia" w:ascii="宋体" w:hAnsi="宋体" w:eastAsia="宋体"/>
          <w:color w:val="auto"/>
          <w:sz w:val="24"/>
          <w:highlight w:val="none"/>
        </w:rPr>
        <w:t>联合体成员一名称：</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1EE8A1D8">
      <w:pPr>
        <w:spacing w:line="360" w:lineRule="auto"/>
        <w:ind w:firstLine="435"/>
        <w:jc w:val="left"/>
        <w:rPr>
          <w:rFonts w:ascii="宋体" w:hAnsi="宋体" w:eastAsia="宋体"/>
          <w:color w:val="auto"/>
          <w:sz w:val="24"/>
          <w:highlight w:val="none"/>
          <w:u w:val="single"/>
        </w:rPr>
      </w:pPr>
      <w:r>
        <w:rPr>
          <w:rFonts w:hint="eastAsia" w:ascii="宋体" w:hAnsi="宋体" w:eastAsia="宋体"/>
          <w:color w:val="auto"/>
          <w:sz w:val="24"/>
          <w:highlight w:val="none"/>
        </w:rPr>
        <w:t>联合体成员二名称：</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95B5C73">
      <w:pPr>
        <w:spacing w:line="360" w:lineRule="auto"/>
        <w:ind w:firstLine="435"/>
        <w:jc w:val="left"/>
        <w:rPr>
          <w:rFonts w:ascii="宋体" w:hAnsi="宋体" w:eastAsia="宋体"/>
          <w:color w:val="auto"/>
          <w:sz w:val="24"/>
          <w:highlight w:val="none"/>
          <w:u w:val="single"/>
        </w:rPr>
      </w:pPr>
      <w:r>
        <w:rPr>
          <w:rFonts w:hint="eastAsia" w:ascii="宋体" w:hAnsi="宋体" w:eastAsia="宋体"/>
          <w:color w:val="auto"/>
          <w:sz w:val="24"/>
          <w:highlight w:val="none"/>
        </w:rPr>
        <w:t>……</w:t>
      </w:r>
    </w:p>
    <w:p w14:paraId="56AEDE25">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上述各成员单位经过友好协商，自愿组成</w:t>
      </w:r>
      <w:r>
        <w:rPr>
          <w:rFonts w:ascii="宋体" w:hAnsi="宋体" w:eastAsia="宋体"/>
          <w:color w:val="auto"/>
          <w:sz w:val="24"/>
          <w:highlight w:val="none"/>
        </w:rPr>
        <w:t>联合体，共同参加</w:t>
      </w:r>
      <w:r>
        <w:rPr>
          <w:rFonts w:hint="eastAsia" w:ascii="宋体" w:hAnsi="宋体" w:eastAsia="宋体"/>
          <w:color w:val="auto"/>
          <w:sz w:val="24"/>
          <w:highlight w:val="none"/>
        </w:rPr>
        <w:t>本项目的磋商，</w:t>
      </w:r>
      <w:r>
        <w:rPr>
          <w:rFonts w:ascii="宋体" w:hAnsi="宋体" w:eastAsia="宋体"/>
          <w:color w:val="auto"/>
          <w:sz w:val="24"/>
          <w:highlight w:val="none"/>
        </w:rPr>
        <w:t>现就联合体参加磋商事宜订立如下协议：</w:t>
      </w:r>
    </w:p>
    <w:p w14:paraId="655930E4">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1</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（某成员单位名称）为联合体牵头人。</w:t>
      </w:r>
    </w:p>
    <w:p w14:paraId="04772E12">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w:t>
      </w:r>
      <w:r>
        <w:rPr>
          <w:rFonts w:hint="eastAsia" w:ascii="宋体" w:hAnsi="宋体" w:eastAsia="宋体"/>
          <w:color w:val="auto"/>
          <w:sz w:val="24"/>
          <w:highlight w:val="none"/>
        </w:rPr>
        <w:t>在本项目磋商阶段，联合体牵头人负责磋商项目的一切组织、协调工作，并授权代理人以联合体的名义参加项目的磋商，代理人在磋商、合同签订过程中所签署的一切文件和处理与本次磋商有关的一切事务，联合体各方均予以承认并承担法律责任。联合体成交后，联合体各方共同与采购人签订合同，就本项目对采购人承担连带责任。</w:t>
      </w:r>
    </w:p>
    <w:p w14:paraId="0D5A622E">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.联合体各成员单位内部的职责分工</w:t>
      </w:r>
      <w:r>
        <w:rPr>
          <w:rFonts w:hint="eastAsia" w:ascii="宋体" w:hAnsi="宋体" w:eastAsia="宋体"/>
          <w:color w:val="auto"/>
          <w:sz w:val="24"/>
          <w:highlight w:val="none"/>
        </w:rPr>
        <w:t>及各方负责内容的合同金额占总合同金额的百分比</w:t>
      </w:r>
      <w:r>
        <w:rPr>
          <w:rFonts w:ascii="宋体" w:hAnsi="宋体" w:eastAsia="宋体"/>
          <w:color w:val="auto"/>
          <w:sz w:val="24"/>
          <w:highlight w:val="none"/>
        </w:rPr>
        <w:t>如下：</w:t>
      </w:r>
    </w:p>
    <w:p w14:paraId="4E824716">
      <w:pPr>
        <w:spacing w:line="360" w:lineRule="auto"/>
        <w:ind w:firstLine="435"/>
        <w:jc w:val="left"/>
        <w:rPr>
          <w:rFonts w:ascii="宋体" w:hAnsi="宋体" w:eastAsia="宋体"/>
          <w:color w:val="auto"/>
          <w:sz w:val="24"/>
          <w:highlight w:val="none"/>
          <w:u w:val="single"/>
        </w:rPr>
      </w:pPr>
      <w:r>
        <w:rPr>
          <w:rFonts w:hint="eastAsia" w:ascii="宋体" w:hAnsi="宋体" w:eastAsia="宋体"/>
          <w:color w:val="auto"/>
          <w:sz w:val="24"/>
          <w:highlight w:val="none"/>
        </w:rPr>
        <w:t>联合体成员一名称：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，承担</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工作，负责内容的合同金额占总合同金额的百分比：</w:t>
      </w:r>
      <w:r>
        <w:rPr>
          <w:rFonts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4FBC976D">
      <w:pPr>
        <w:spacing w:line="360" w:lineRule="auto"/>
        <w:ind w:firstLine="435"/>
        <w:jc w:val="left"/>
        <w:rPr>
          <w:rFonts w:ascii="宋体" w:hAnsi="宋体" w:eastAsia="宋体"/>
          <w:color w:val="auto"/>
          <w:sz w:val="24"/>
          <w:highlight w:val="none"/>
          <w:u w:val="single"/>
        </w:rPr>
      </w:pPr>
      <w:r>
        <w:rPr>
          <w:rFonts w:hint="eastAsia" w:ascii="宋体" w:hAnsi="宋体" w:eastAsia="宋体"/>
          <w:color w:val="auto"/>
          <w:sz w:val="24"/>
          <w:highlight w:val="none"/>
        </w:rPr>
        <w:t>联合体成员二名称：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，承担</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工作，负责内容的合同金额占总合同金额的百分比：</w:t>
      </w:r>
      <w:r>
        <w:rPr>
          <w:rFonts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49A0E14D">
      <w:pPr>
        <w:spacing w:line="360" w:lineRule="auto"/>
        <w:ind w:firstLine="435"/>
        <w:jc w:val="left"/>
        <w:rPr>
          <w:rFonts w:ascii="宋体" w:hAnsi="宋体" w:eastAsia="宋体"/>
          <w:color w:val="auto"/>
          <w:sz w:val="24"/>
          <w:highlight w:val="none"/>
          <w:u w:val="single"/>
        </w:rPr>
      </w:pPr>
      <w:r>
        <w:rPr>
          <w:rFonts w:hint="eastAsia" w:ascii="宋体" w:hAnsi="宋体" w:eastAsia="宋体"/>
          <w:color w:val="auto"/>
          <w:sz w:val="24"/>
          <w:highlight w:val="none"/>
        </w:rPr>
        <w:t>…………</w:t>
      </w:r>
    </w:p>
    <w:p w14:paraId="01039D98">
      <w:pPr>
        <w:spacing w:line="360" w:lineRule="auto"/>
        <w:ind w:firstLine="435"/>
        <w:jc w:val="left"/>
        <w:rPr>
          <w:rFonts w:ascii="宋体" w:hAnsi="宋体" w:eastAsia="宋体"/>
          <w:color w:val="auto"/>
          <w:sz w:val="24"/>
          <w:highlight w:val="none"/>
        </w:rPr>
      </w:pPr>
      <w:r>
        <w:rPr>
          <w:rFonts w:ascii="宋体" w:hAnsi="宋体" w:eastAsia="宋体"/>
          <w:color w:val="auto"/>
          <w:sz w:val="24"/>
          <w:highlight w:val="none"/>
        </w:rPr>
        <w:t>4．</w:t>
      </w:r>
      <w:r>
        <w:rPr>
          <w:rFonts w:hint="eastAsia" w:ascii="宋体" w:hAnsi="宋体" w:eastAsia="宋体"/>
          <w:color w:val="auto"/>
          <w:sz w:val="24"/>
          <w:highlight w:val="none"/>
        </w:rPr>
        <w:t>磋商</w:t>
      </w:r>
      <w:r>
        <w:rPr>
          <w:rFonts w:ascii="宋体" w:hAnsi="宋体" w:eastAsia="宋体"/>
          <w:color w:val="auto"/>
          <w:sz w:val="24"/>
          <w:highlight w:val="none"/>
        </w:rPr>
        <w:t>工作和联合体在</w:t>
      </w:r>
      <w:r>
        <w:rPr>
          <w:rFonts w:hint="eastAsia" w:ascii="宋体" w:hAnsi="宋体" w:eastAsia="宋体"/>
          <w:color w:val="auto"/>
          <w:sz w:val="24"/>
          <w:highlight w:val="none"/>
        </w:rPr>
        <w:t>成交</w:t>
      </w:r>
      <w:r>
        <w:rPr>
          <w:rFonts w:ascii="宋体" w:hAnsi="宋体" w:eastAsia="宋体"/>
          <w:color w:val="auto"/>
          <w:sz w:val="24"/>
          <w:highlight w:val="none"/>
        </w:rPr>
        <w:t>后</w:t>
      </w:r>
      <w:r>
        <w:rPr>
          <w:rFonts w:hint="eastAsia" w:ascii="宋体" w:hAnsi="宋体" w:eastAsia="宋体"/>
          <w:color w:val="auto"/>
          <w:sz w:val="24"/>
          <w:highlight w:val="none"/>
        </w:rPr>
        <w:t>项目</w:t>
      </w:r>
      <w:r>
        <w:rPr>
          <w:rFonts w:ascii="宋体" w:hAnsi="宋体" w:eastAsia="宋体"/>
          <w:color w:val="auto"/>
          <w:sz w:val="24"/>
          <w:highlight w:val="none"/>
        </w:rPr>
        <w:t>实施过程中的有关费用按各自承担的工作量分摊。</w:t>
      </w:r>
    </w:p>
    <w:p w14:paraId="47888520">
      <w:pPr>
        <w:spacing w:line="360" w:lineRule="auto"/>
        <w:ind w:firstLine="435"/>
        <w:jc w:val="left"/>
        <w:rPr>
          <w:rFonts w:ascii="宋体" w:hAnsi="宋体" w:eastAsia="宋体"/>
          <w:color w:val="auto"/>
          <w:sz w:val="24"/>
          <w:highlight w:val="none"/>
        </w:rPr>
      </w:pPr>
      <w:r>
        <w:rPr>
          <w:rFonts w:ascii="宋体" w:hAnsi="宋体" w:eastAsia="宋体"/>
          <w:color w:val="auto"/>
          <w:sz w:val="24"/>
          <w:highlight w:val="none"/>
        </w:rPr>
        <w:t>5．联合体</w:t>
      </w:r>
      <w:r>
        <w:rPr>
          <w:rFonts w:hint="eastAsia" w:ascii="宋体" w:hAnsi="宋体" w:eastAsia="宋体"/>
          <w:color w:val="auto"/>
          <w:sz w:val="24"/>
          <w:highlight w:val="none"/>
        </w:rPr>
        <w:t>成交</w:t>
      </w:r>
      <w:r>
        <w:rPr>
          <w:rFonts w:ascii="宋体" w:hAnsi="宋体" w:eastAsia="宋体"/>
          <w:color w:val="auto"/>
          <w:sz w:val="24"/>
          <w:highlight w:val="none"/>
        </w:rPr>
        <w:t>后，本联合体协议是合同的附件，对联合体各成员单位有合同约束力。</w:t>
      </w:r>
    </w:p>
    <w:p w14:paraId="2B8CD204">
      <w:pPr>
        <w:spacing w:line="360" w:lineRule="auto"/>
        <w:ind w:firstLine="435"/>
        <w:jc w:val="left"/>
        <w:rPr>
          <w:rFonts w:ascii="宋体" w:hAnsi="宋体" w:eastAsia="宋体"/>
          <w:color w:val="auto"/>
          <w:sz w:val="24"/>
          <w:highlight w:val="none"/>
        </w:rPr>
      </w:pPr>
      <w:r>
        <w:rPr>
          <w:rFonts w:ascii="宋体" w:hAnsi="宋体" w:eastAsia="宋体"/>
          <w:color w:val="auto"/>
          <w:sz w:val="24"/>
          <w:highlight w:val="none"/>
        </w:rPr>
        <w:t>6．本协议书自签署之日起生效，联合体未</w:t>
      </w:r>
      <w:r>
        <w:rPr>
          <w:rFonts w:hint="eastAsia" w:ascii="宋体" w:hAnsi="宋体" w:eastAsia="宋体"/>
          <w:color w:val="auto"/>
          <w:sz w:val="24"/>
          <w:highlight w:val="none"/>
        </w:rPr>
        <w:t>成交</w:t>
      </w:r>
      <w:r>
        <w:rPr>
          <w:rFonts w:ascii="宋体" w:hAnsi="宋体" w:eastAsia="宋体"/>
          <w:color w:val="auto"/>
          <w:sz w:val="24"/>
          <w:highlight w:val="none"/>
        </w:rPr>
        <w:t>或者合同履行完毕后自动失效。</w:t>
      </w:r>
    </w:p>
    <w:p w14:paraId="6DACCA9D">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联合体成员一：</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（公章）</w:t>
      </w:r>
    </w:p>
    <w:p w14:paraId="67F93A24">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法定代表人：</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（签字或盖章）</w:t>
      </w:r>
    </w:p>
    <w:p w14:paraId="71624A52">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联合体成员二：</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（公章）</w:t>
      </w:r>
    </w:p>
    <w:p w14:paraId="6CC082FC">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法定代表人：</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（签字或盖章）</w:t>
      </w:r>
    </w:p>
    <w:p w14:paraId="652B5230">
      <w:pPr>
        <w:spacing w:line="360" w:lineRule="auto"/>
        <w:ind w:firstLine="435"/>
        <w:jc w:val="left"/>
        <w:rPr>
          <w:rFonts w:ascii="宋体" w:hAnsi="宋体" w:eastAsia="宋体"/>
          <w:color w:val="auto"/>
          <w:sz w:val="24"/>
          <w:highlight w:val="none"/>
        </w:rPr>
      </w:pPr>
      <w:r>
        <w:rPr>
          <w:rFonts w:hint="eastAsia" w:ascii="宋体" w:hAnsi="宋体" w:eastAsia="宋体"/>
          <w:color w:val="auto"/>
          <w:sz w:val="24"/>
          <w:highlight w:val="none"/>
        </w:rPr>
        <w:t>…………</w:t>
      </w:r>
    </w:p>
    <w:p w14:paraId="2425CFCE">
      <w:pPr>
        <w:pStyle w:val="21"/>
        <w:widowControl w:val="0"/>
        <w:spacing w:line="360" w:lineRule="auto"/>
        <w:jc w:val="left"/>
        <w:rPr>
          <w:rFonts w:ascii="宋体" w:hAnsi="宋体" w:eastAsia="宋体"/>
          <w:color w:val="auto"/>
          <w:kern w:val="2"/>
          <w:sz w:val="24"/>
          <w:highlight w:val="none"/>
          <w:lang w:val="en-US" w:eastAsia="zh-CN" w:bidi="ar-SA"/>
        </w:rPr>
      </w:pPr>
    </w:p>
    <w:p w14:paraId="2D457FA0">
      <w:pPr>
        <w:spacing w:line="360" w:lineRule="auto"/>
        <w:ind w:right="480" w:firstLine="4680" w:firstLineChars="1950"/>
        <w:jc w:val="left"/>
        <w:rPr>
          <w:rFonts w:ascii="宋体" w:hAnsi="宋体" w:eastAsia="宋体"/>
          <w:color w:val="auto"/>
          <w:sz w:val="24"/>
          <w:highlight w:val="none"/>
        </w:rPr>
      </w:pPr>
      <w:r>
        <w:rPr>
          <w:rFonts w:hint="eastAsia" w:ascii="宋体" w:hAnsi="宋体" w:eastAsia="宋体"/>
          <w:color w:val="auto"/>
          <w:sz w:val="24"/>
          <w:highlight w:val="none"/>
        </w:rPr>
        <w:t>签订日期:</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年</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月</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日</w:t>
      </w:r>
    </w:p>
    <w:p w14:paraId="698225FE">
      <w:pPr>
        <w:spacing w:line="360" w:lineRule="auto"/>
        <w:ind w:right="480" w:firstLine="4680" w:firstLineChars="1950"/>
        <w:rPr>
          <w:rFonts w:ascii="宋体" w:hAnsi="宋体" w:eastAsia="宋体"/>
          <w:color w:val="auto"/>
          <w:sz w:val="24"/>
          <w:highlight w:val="none"/>
        </w:rPr>
      </w:pPr>
    </w:p>
    <w:p w14:paraId="6F8EB0C9">
      <w:pPr>
        <w:spacing w:line="360" w:lineRule="auto"/>
        <w:ind w:right="480" w:firstLine="5460" w:firstLineChars="1950"/>
        <w:rPr>
          <w:rFonts w:ascii="宋体" w:hAnsi="宋体" w:eastAsia="宋体"/>
          <w:color w:val="auto"/>
          <w:sz w:val="28"/>
          <w:highlight w:val="none"/>
        </w:rPr>
      </w:pPr>
    </w:p>
    <w:p w14:paraId="4016B574">
      <w:pPr>
        <w:widowControl/>
        <w:jc w:val="left"/>
        <w:rPr>
          <w:rFonts w:ascii="宋体" w:hAnsi="宋体" w:eastAsia="宋体"/>
          <w:color w:val="auto"/>
          <w:sz w:val="24"/>
          <w:highlight w:val="none"/>
        </w:rPr>
      </w:pPr>
      <w:r>
        <w:rPr>
          <w:rFonts w:ascii="宋体" w:hAnsi="宋体" w:eastAsia="宋体"/>
          <w:color w:val="auto"/>
          <w:sz w:val="24"/>
          <w:highlight w:val="none"/>
        </w:rPr>
        <w:br w:type="page"/>
      </w:r>
    </w:p>
    <w:p w14:paraId="11148CFC">
      <w:pPr>
        <w:spacing w:line="360" w:lineRule="auto"/>
        <w:jc w:val="center"/>
        <w:outlineLvl w:val="2"/>
        <w:rPr>
          <w:rFonts w:hint="eastAsia" w:ascii="宋体" w:hAnsi="宋体" w:eastAsia="宋体"/>
          <w:b/>
          <w:color w:val="auto"/>
          <w:sz w:val="28"/>
          <w:szCs w:val="28"/>
          <w:highlight w:val="none"/>
        </w:rPr>
      </w:pPr>
      <w:bookmarkStart w:id="169" w:name="_Hlk11531103"/>
      <w:bookmarkStart w:id="170" w:name="_Toc461056644"/>
      <w:bookmarkStart w:id="171" w:name="_Toc520983599"/>
      <w:r>
        <w:rPr>
          <w:rFonts w:hint="eastAsia" w:ascii="宋体" w:hAnsi="宋体" w:eastAsia="宋体"/>
          <w:b/>
          <w:color w:val="auto"/>
          <w:sz w:val="28"/>
          <w:szCs w:val="28"/>
          <w:highlight w:val="none"/>
        </w:rPr>
        <w:t>十</w:t>
      </w:r>
      <w:r>
        <w:rPr>
          <w:rFonts w:hint="eastAsia" w:ascii="宋体" w:hAnsi="宋体" w:eastAsia="宋体"/>
          <w:b/>
          <w:color w:val="auto"/>
          <w:sz w:val="28"/>
          <w:szCs w:val="28"/>
          <w:highlight w:val="none"/>
          <w:lang w:eastAsia="zh-CN"/>
        </w:rPr>
        <w:t>二</w:t>
      </w:r>
      <w:r>
        <w:rPr>
          <w:rFonts w:hint="eastAsia" w:ascii="宋体" w:hAnsi="宋体" w:eastAsia="宋体"/>
          <w:b/>
          <w:color w:val="auto"/>
          <w:sz w:val="28"/>
          <w:szCs w:val="28"/>
          <w:highlight w:val="none"/>
        </w:rPr>
        <w:t>、主要成交标的承诺函</w:t>
      </w:r>
    </w:p>
    <w:p w14:paraId="20BF4D98">
      <w:pPr>
        <w:spacing w:line="360" w:lineRule="auto"/>
        <w:ind w:firstLine="435"/>
        <w:rPr>
          <w:rFonts w:ascii="宋体" w:hAnsi="宋体" w:eastAsia="宋体"/>
          <w:color w:val="auto"/>
          <w:sz w:val="24"/>
          <w:szCs w:val="24"/>
          <w:highlight w:val="none"/>
        </w:rPr>
      </w:pPr>
    </w:p>
    <w:p w14:paraId="2735D694">
      <w:pPr>
        <w:spacing w:line="360" w:lineRule="auto"/>
        <w:ind w:firstLine="435"/>
        <w:jc w:val="left"/>
        <w:rPr>
          <w:rFonts w:ascii="宋体" w:hAnsi="宋体" w:eastAsia="宋体"/>
          <w:color w:val="auto"/>
          <w:sz w:val="24"/>
          <w:szCs w:val="24"/>
          <w:highlight w:val="none"/>
        </w:rPr>
      </w:pPr>
      <w:r>
        <w:rPr>
          <w:rFonts w:hint="eastAsia" w:ascii="宋体" w:hAnsi="宋体" w:eastAsia="宋体"/>
          <w:color w:val="auto"/>
          <w:sz w:val="24"/>
          <w:szCs w:val="24"/>
          <w:highlight w:val="none"/>
        </w:rPr>
        <w:t>我单位同意成交结果公告中公示以下主要成交标的信息并承诺：响应文件中所提供的主要成交标的信息均真实有效。若被发现存在任何虚假、隐瞒情况，我单位承担由此产生的一切后果。</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0"/>
        <w:gridCol w:w="6536"/>
      </w:tblGrid>
      <w:tr w14:paraId="428E1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0" w:type="dxa"/>
            <w:noWrap w:val="0"/>
            <w:vAlign w:val="top"/>
          </w:tcPr>
          <w:p w14:paraId="5869C0A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名称</w:t>
            </w:r>
          </w:p>
        </w:tc>
        <w:tc>
          <w:tcPr>
            <w:tcW w:w="6536" w:type="dxa"/>
            <w:noWrap w:val="0"/>
            <w:vAlign w:val="top"/>
          </w:tcPr>
          <w:p w14:paraId="135E0051">
            <w:pPr>
              <w:spacing w:line="360" w:lineRule="auto"/>
              <w:jc w:val="center"/>
              <w:rPr>
                <w:rFonts w:hint="eastAsia" w:ascii="宋体" w:hAnsi="宋体" w:eastAsia="宋体"/>
                <w:color w:val="auto"/>
                <w:sz w:val="24"/>
                <w:szCs w:val="24"/>
                <w:highlight w:val="none"/>
                <w:u w:val="single"/>
                <w:lang w:eastAsia="zh-CN"/>
              </w:rPr>
            </w:pPr>
            <w:r>
              <w:rPr>
                <w:rFonts w:hint="eastAsia" w:ascii="宋体" w:hAnsi="宋体" w:eastAsia="宋体"/>
                <w:color w:val="auto"/>
                <w:sz w:val="24"/>
                <w:szCs w:val="24"/>
                <w:highlight w:val="none"/>
                <w:u w:val="single"/>
                <w:lang w:eastAsia="zh-CN"/>
              </w:rPr>
              <w:t>安徽省城镇保障性安居工程委托第三方现场核实评估</w:t>
            </w:r>
          </w:p>
        </w:tc>
      </w:tr>
      <w:tr w14:paraId="1AA28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0" w:type="dxa"/>
            <w:noWrap w:val="0"/>
            <w:vAlign w:val="top"/>
          </w:tcPr>
          <w:p w14:paraId="03CCEFDF">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服务范围</w:t>
            </w:r>
          </w:p>
        </w:tc>
        <w:tc>
          <w:tcPr>
            <w:tcW w:w="6536" w:type="dxa"/>
            <w:noWrap w:val="0"/>
            <w:vAlign w:val="top"/>
          </w:tcPr>
          <w:p w14:paraId="3B003B3C">
            <w:pPr>
              <w:spacing w:line="360" w:lineRule="auto"/>
              <w:jc w:val="center"/>
              <w:rPr>
                <w:rFonts w:ascii="宋体" w:hAnsi="宋体" w:eastAsia="宋体"/>
                <w:color w:val="auto"/>
                <w:sz w:val="24"/>
                <w:szCs w:val="24"/>
                <w:highlight w:val="none"/>
                <w:u w:val="single"/>
              </w:rPr>
            </w:pPr>
          </w:p>
        </w:tc>
      </w:tr>
      <w:tr w14:paraId="38746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0" w:type="dxa"/>
            <w:noWrap w:val="0"/>
            <w:vAlign w:val="top"/>
          </w:tcPr>
          <w:p w14:paraId="77C91E65">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服务要求</w:t>
            </w:r>
          </w:p>
        </w:tc>
        <w:tc>
          <w:tcPr>
            <w:tcW w:w="6536" w:type="dxa"/>
            <w:noWrap w:val="0"/>
            <w:vAlign w:val="top"/>
          </w:tcPr>
          <w:p w14:paraId="6D1EB81A">
            <w:pPr>
              <w:spacing w:line="360" w:lineRule="auto"/>
              <w:jc w:val="center"/>
              <w:rPr>
                <w:rFonts w:ascii="宋体" w:hAnsi="宋体" w:eastAsia="宋体"/>
                <w:color w:val="auto"/>
                <w:sz w:val="24"/>
                <w:szCs w:val="24"/>
                <w:highlight w:val="none"/>
                <w:u w:val="single"/>
              </w:rPr>
            </w:pPr>
          </w:p>
        </w:tc>
      </w:tr>
      <w:tr w14:paraId="0CA8F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0" w:type="dxa"/>
            <w:noWrap w:val="0"/>
            <w:vAlign w:val="top"/>
          </w:tcPr>
          <w:p w14:paraId="04DA9561">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服务时间</w:t>
            </w:r>
          </w:p>
        </w:tc>
        <w:tc>
          <w:tcPr>
            <w:tcW w:w="6536" w:type="dxa"/>
            <w:noWrap w:val="0"/>
            <w:vAlign w:val="top"/>
          </w:tcPr>
          <w:p w14:paraId="160E636B">
            <w:pPr>
              <w:spacing w:line="360" w:lineRule="auto"/>
              <w:jc w:val="center"/>
              <w:rPr>
                <w:rFonts w:ascii="宋体" w:hAnsi="宋体" w:eastAsia="宋体"/>
                <w:color w:val="auto"/>
                <w:sz w:val="24"/>
                <w:szCs w:val="24"/>
                <w:highlight w:val="none"/>
                <w:u w:val="single"/>
              </w:rPr>
            </w:pPr>
          </w:p>
        </w:tc>
      </w:tr>
      <w:tr w14:paraId="08DFE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0" w:type="dxa"/>
            <w:noWrap w:val="0"/>
            <w:vAlign w:val="top"/>
          </w:tcPr>
          <w:p w14:paraId="0042F629">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服务标准</w:t>
            </w:r>
          </w:p>
        </w:tc>
        <w:tc>
          <w:tcPr>
            <w:tcW w:w="6536" w:type="dxa"/>
            <w:noWrap w:val="0"/>
            <w:vAlign w:val="top"/>
          </w:tcPr>
          <w:p w14:paraId="0C0E7741">
            <w:pPr>
              <w:spacing w:line="360" w:lineRule="auto"/>
              <w:jc w:val="center"/>
              <w:rPr>
                <w:rFonts w:ascii="宋体" w:hAnsi="宋体" w:eastAsia="宋体"/>
                <w:color w:val="auto"/>
                <w:sz w:val="24"/>
                <w:szCs w:val="24"/>
                <w:highlight w:val="none"/>
                <w:u w:val="single"/>
              </w:rPr>
            </w:pPr>
          </w:p>
        </w:tc>
      </w:tr>
    </w:tbl>
    <w:p w14:paraId="71ABD167">
      <w:pPr>
        <w:spacing w:line="360" w:lineRule="auto"/>
        <w:ind w:firstLine="4245" w:firstLineChars="1762"/>
        <w:rPr>
          <w:rFonts w:ascii="宋体" w:hAnsi="宋体" w:eastAsia="宋体"/>
          <w:b/>
          <w:color w:val="auto"/>
          <w:sz w:val="24"/>
          <w:highlight w:val="none"/>
        </w:rPr>
      </w:pPr>
    </w:p>
    <w:p w14:paraId="46D801D5">
      <w:pPr>
        <w:spacing w:line="360" w:lineRule="auto"/>
        <w:ind w:firstLine="4228" w:firstLineChars="1762"/>
        <w:jc w:val="left"/>
        <w:rPr>
          <w:rFonts w:ascii="宋体" w:hAnsi="宋体" w:eastAsia="宋体"/>
          <w:color w:val="auto"/>
          <w:sz w:val="24"/>
          <w:highlight w:val="none"/>
          <w:u w:val="single"/>
        </w:rPr>
      </w:pPr>
      <w:r>
        <w:rPr>
          <w:rFonts w:hint="eastAsia" w:ascii="宋体" w:hAnsi="宋体" w:eastAsia="宋体"/>
          <w:color w:val="auto"/>
          <w:sz w:val="24"/>
          <w:highlight w:val="none"/>
        </w:rPr>
        <w:t>供应商公章：</w:t>
      </w:r>
      <w:r>
        <w:rPr>
          <w:rFonts w:hint="eastAsia" w:ascii="宋体" w:hAnsi="宋体" w:eastAsia="宋体"/>
          <w:color w:val="auto"/>
          <w:sz w:val="24"/>
          <w:highlight w:val="none"/>
          <w:u w:val="single"/>
        </w:rPr>
        <w:t xml:space="preserve">              </w:t>
      </w:r>
    </w:p>
    <w:p w14:paraId="1F1D0A4C">
      <w:pPr>
        <w:tabs>
          <w:tab w:val="left" w:pos="630"/>
        </w:tabs>
        <w:spacing w:line="360" w:lineRule="auto"/>
        <w:ind w:firstLine="4228" w:firstLineChars="1762"/>
        <w:jc w:val="left"/>
        <w:rPr>
          <w:rFonts w:ascii="宋体" w:hAnsi="宋体" w:eastAsia="宋体"/>
          <w:color w:val="auto"/>
          <w:sz w:val="24"/>
          <w:highlight w:val="none"/>
          <w:u w:val="single"/>
        </w:rPr>
      </w:pPr>
      <w:r>
        <w:rPr>
          <w:rFonts w:hint="eastAsia" w:ascii="宋体" w:hAnsi="宋体" w:eastAsia="宋体"/>
          <w:color w:val="auto"/>
          <w:sz w:val="24"/>
          <w:highlight w:val="none"/>
        </w:rPr>
        <w:t>日</w:t>
      </w:r>
      <w:r>
        <w:rPr>
          <w:rFonts w:ascii="宋体" w:hAnsi="宋体" w:eastAsia="宋体"/>
          <w:color w:val="auto"/>
          <w:sz w:val="24"/>
          <w:highlight w:val="none"/>
        </w:rPr>
        <w:t xml:space="preserve"> </w:t>
      </w:r>
      <w:r>
        <w:rPr>
          <w:rFonts w:hint="eastAsia" w:ascii="宋体" w:hAnsi="宋体" w:eastAsia="宋体"/>
          <w:color w:val="auto"/>
          <w:sz w:val="24"/>
          <w:highlight w:val="none"/>
        </w:rPr>
        <w:t xml:space="preserve"> </w:t>
      </w:r>
      <w:r>
        <w:rPr>
          <w:rFonts w:ascii="宋体" w:hAnsi="宋体" w:eastAsia="宋体"/>
          <w:color w:val="auto"/>
          <w:sz w:val="24"/>
          <w:highlight w:val="none"/>
        </w:rPr>
        <w:t xml:space="preserve">   </w:t>
      </w:r>
      <w:r>
        <w:rPr>
          <w:rFonts w:hint="eastAsia" w:ascii="宋体" w:hAnsi="宋体" w:eastAsia="宋体"/>
          <w:color w:val="auto"/>
          <w:sz w:val="24"/>
          <w:highlight w:val="none"/>
        </w:rPr>
        <w:t xml:space="preserve"> 期：</w:t>
      </w:r>
      <w:r>
        <w:rPr>
          <w:rFonts w:hint="eastAsia" w:ascii="宋体" w:hAnsi="宋体" w:eastAsia="宋体"/>
          <w:color w:val="auto"/>
          <w:sz w:val="24"/>
          <w:highlight w:val="none"/>
          <w:u w:val="single"/>
        </w:rPr>
        <w:t xml:space="preserve">       </w:t>
      </w:r>
      <w:r>
        <w:rPr>
          <w:rFonts w:ascii="宋体" w:hAnsi="宋体" w:eastAsia="宋体"/>
          <w:color w:val="auto"/>
          <w:sz w:val="24"/>
          <w:highlight w:val="none"/>
          <w:u w:val="single"/>
        </w:rPr>
        <w:t xml:space="preserve">   </w:t>
      </w:r>
      <w:r>
        <w:rPr>
          <w:rFonts w:hint="eastAsia" w:ascii="宋体" w:hAnsi="宋体" w:eastAsia="宋体"/>
          <w:color w:val="auto"/>
          <w:sz w:val="24"/>
          <w:highlight w:val="none"/>
          <w:u w:val="single"/>
        </w:rPr>
        <w:t xml:space="preserve">    </w:t>
      </w:r>
    </w:p>
    <w:p w14:paraId="26B69760">
      <w:pPr>
        <w:adjustRightInd w:val="0"/>
        <w:snapToGrid w:val="0"/>
        <w:spacing w:line="360" w:lineRule="auto"/>
        <w:jc w:val="left"/>
        <w:rPr>
          <w:rFonts w:ascii="宋体" w:hAnsi="宋体" w:eastAsia="宋体"/>
          <w:b/>
          <w:bCs/>
          <w:color w:val="auto"/>
          <w:sz w:val="24"/>
          <w:szCs w:val="24"/>
          <w:highlight w:val="none"/>
        </w:rPr>
      </w:pPr>
    </w:p>
    <w:p w14:paraId="02E284CC">
      <w:pPr>
        <w:adjustRightInd w:val="0"/>
        <w:snapToGrid w:val="0"/>
        <w:spacing w:line="360" w:lineRule="auto"/>
        <w:jc w:val="left"/>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备注：</w:t>
      </w:r>
    </w:p>
    <w:p w14:paraId="6E1C8E49">
      <w:pPr>
        <w:spacing w:line="360" w:lineRule="auto"/>
        <w:ind w:firstLine="435"/>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w:t>
      </w:r>
      <w:r>
        <w:rPr>
          <w:rFonts w:hint="eastAsia" w:ascii="宋体" w:hAnsi="宋体" w:eastAsia="宋体" w:cs="宋体"/>
          <w:color w:val="auto"/>
          <w:szCs w:val="21"/>
          <w:highlight w:val="none"/>
        </w:rPr>
        <w:t>表中所列内容为满足本项目要求的</w:t>
      </w:r>
      <w:r>
        <w:rPr>
          <w:rFonts w:hint="eastAsia" w:ascii="宋体" w:hAnsi="宋体" w:eastAsia="宋体" w:cs="宋体"/>
          <w:bCs/>
          <w:color w:val="auto"/>
          <w:szCs w:val="21"/>
          <w:highlight w:val="none"/>
        </w:rPr>
        <w:t>主要成交标的信息；</w:t>
      </w:r>
    </w:p>
    <w:p w14:paraId="19A7F438">
      <w:pPr>
        <w:spacing w:line="360" w:lineRule="auto"/>
        <w:ind w:firstLine="435"/>
        <w:jc w:val="left"/>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2.</w:t>
      </w:r>
      <w:r>
        <w:rPr>
          <w:rFonts w:hint="eastAsia" w:ascii="宋体" w:hAnsi="宋体" w:eastAsia="宋体" w:cs="宋体"/>
          <w:color w:val="auto"/>
          <w:szCs w:val="21"/>
          <w:highlight w:val="none"/>
        </w:rPr>
        <w:t>成交供应商提供的以上承诺情况（含服务名称、服务范围、服务要求、服务时间、服务标准），将按约定随成交结果公告同时公告。</w:t>
      </w:r>
    </w:p>
    <w:p w14:paraId="3928072D">
      <w:pPr>
        <w:spacing w:line="360" w:lineRule="auto"/>
        <w:ind w:firstLine="435"/>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bCs/>
          <w:color w:val="auto"/>
          <w:szCs w:val="21"/>
          <w:highlight w:val="none"/>
        </w:rPr>
        <w:t>本页</w:t>
      </w:r>
      <w:r>
        <w:rPr>
          <w:rFonts w:hint="eastAsia" w:ascii="宋体" w:hAnsi="宋体" w:eastAsia="宋体" w:cs="宋体"/>
          <w:color w:val="auto"/>
          <w:szCs w:val="21"/>
          <w:highlight w:val="none"/>
        </w:rPr>
        <w:t>《主要成交标的承诺函》</w:t>
      </w:r>
      <w:r>
        <w:rPr>
          <w:rFonts w:hint="eastAsia" w:ascii="宋体" w:hAnsi="宋体" w:eastAsia="宋体" w:cs="宋体"/>
          <w:bCs/>
          <w:color w:val="auto"/>
          <w:szCs w:val="21"/>
          <w:highlight w:val="none"/>
        </w:rPr>
        <w:t>由供应商准</w:t>
      </w:r>
      <w:r>
        <w:rPr>
          <w:rFonts w:hint="eastAsia" w:ascii="宋体" w:hAnsi="宋体" w:eastAsia="宋体" w:cs="宋体"/>
          <w:color w:val="auto"/>
          <w:szCs w:val="21"/>
          <w:highlight w:val="none"/>
        </w:rPr>
        <w:t>确填写。</w:t>
      </w:r>
    </w:p>
    <w:p w14:paraId="428760F0">
      <w:pPr>
        <w:spacing w:line="360" w:lineRule="auto"/>
        <w:ind w:firstLine="435"/>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4.最后报价在上表的基础上予以折扣优惠（如：供应商第一次报价为100元，最后报价为80元，则折扣优惠为80%。），此优惠率调整原则适用于合同内价格的计算及项目增减、变更时价格的计算。</w:t>
      </w:r>
    </w:p>
    <w:p w14:paraId="507D6435">
      <w:pPr>
        <w:spacing w:line="360" w:lineRule="auto"/>
        <w:ind w:firstLine="435"/>
        <w:jc w:val="left"/>
        <w:rPr>
          <w:rFonts w:hint="eastAsia" w:ascii="宋体" w:hAnsi="宋体" w:eastAsia="宋体"/>
          <w:bCs/>
          <w:color w:val="auto"/>
          <w:sz w:val="24"/>
          <w:szCs w:val="24"/>
          <w:highlight w:val="none"/>
        </w:rPr>
      </w:pPr>
    </w:p>
    <w:bookmarkEnd w:id="169"/>
    <w:p w14:paraId="460730D0">
      <w:pPr>
        <w:spacing w:line="360" w:lineRule="auto"/>
        <w:jc w:val="center"/>
        <w:outlineLvl w:val="2"/>
        <w:rPr>
          <w:rFonts w:ascii="宋体" w:hAnsi="宋体" w:eastAsia="宋体"/>
          <w:b/>
          <w:color w:val="auto"/>
          <w:sz w:val="28"/>
          <w:szCs w:val="28"/>
          <w:highlight w:val="none"/>
        </w:rPr>
      </w:pPr>
      <w:r>
        <w:rPr>
          <w:rFonts w:hint="eastAsia" w:ascii="宋体" w:hAnsi="宋体" w:eastAsia="宋体"/>
          <w:b/>
          <w:color w:val="auto"/>
          <w:sz w:val="24"/>
          <w:highlight w:val="none"/>
        </w:rPr>
        <w:br w:type="page"/>
      </w:r>
      <w:r>
        <w:rPr>
          <w:rFonts w:hint="eastAsia" w:ascii="宋体" w:hAnsi="宋体" w:eastAsia="宋体"/>
          <w:b/>
          <w:color w:val="auto"/>
          <w:sz w:val="28"/>
          <w:szCs w:val="28"/>
          <w:highlight w:val="none"/>
        </w:rPr>
        <w:t>十</w:t>
      </w:r>
      <w:bookmarkEnd w:id="170"/>
      <w:r>
        <w:rPr>
          <w:rFonts w:hint="eastAsia" w:ascii="宋体" w:hAnsi="宋体" w:eastAsia="宋体"/>
          <w:b/>
          <w:color w:val="auto"/>
          <w:sz w:val="28"/>
          <w:szCs w:val="28"/>
          <w:highlight w:val="none"/>
          <w:lang w:eastAsia="zh-CN"/>
        </w:rPr>
        <w:t>三</w:t>
      </w:r>
      <w:r>
        <w:rPr>
          <w:rFonts w:hint="eastAsia" w:ascii="宋体" w:hAnsi="宋体" w:eastAsia="宋体"/>
          <w:b/>
          <w:color w:val="auto"/>
          <w:sz w:val="28"/>
          <w:szCs w:val="28"/>
          <w:highlight w:val="none"/>
        </w:rPr>
        <w:t>、</w:t>
      </w:r>
      <w:bookmarkEnd w:id="171"/>
      <w:r>
        <w:rPr>
          <w:rFonts w:hint="eastAsia" w:ascii="宋体" w:hAnsi="宋体" w:eastAsia="宋体"/>
          <w:b/>
          <w:color w:val="auto"/>
          <w:sz w:val="28"/>
          <w:szCs w:val="28"/>
          <w:highlight w:val="none"/>
        </w:rPr>
        <w:t>中小企业声明函</w:t>
      </w:r>
    </w:p>
    <w:p w14:paraId="39873BE3">
      <w:pPr>
        <w:jc w:val="center"/>
        <w:rPr>
          <w:rFonts w:ascii="宋体" w:hAnsi="宋体" w:eastAsia="宋体"/>
          <w:b/>
          <w:color w:val="auto"/>
          <w:sz w:val="24"/>
          <w:highlight w:val="none"/>
        </w:rPr>
      </w:pPr>
    </w:p>
    <w:p w14:paraId="15C131F5">
      <w:pPr>
        <w:spacing w:line="360" w:lineRule="auto"/>
        <w:jc w:val="center"/>
        <w:rPr>
          <w:rFonts w:ascii="宋体" w:hAnsi="宋体" w:eastAsia="宋体"/>
          <w:i/>
          <w:color w:val="auto"/>
          <w:sz w:val="24"/>
          <w:szCs w:val="24"/>
          <w:highlight w:val="none"/>
          <w:lang w:val="zh-CN"/>
        </w:rPr>
      </w:pPr>
      <w:r>
        <w:rPr>
          <w:rFonts w:hint="eastAsia" w:ascii="宋体" w:hAnsi="宋体" w:eastAsia="宋体"/>
          <w:i/>
          <w:color w:val="auto"/>
          <w:sz w:val="24"/>
          <w:szCs w:val="24"/>
          <w:highlight w:val="none"/>
          <w:lang w:val="zh-CN"/>
        </w:rPr>
        <w:t>（非中小企业磋商，不需此件）</w:t>
      </w:r>
    </w:p>
    <w:p w14:paraId="055E59DA">
      <w:pPr>
        <w:spacing w:line="360" w:lineRule="auto"/>
        <w:ind w:firstLine="435"/>
        <w:jc w:val="left"/>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rPr>
        <w:t xml:space="preserve">  </w:t>
      </w:r>
      <w:r>
        <w:rPr>
          <w:rFonts w:hint="eastAsia" w:ascii="宋体" w:hAnsi="宋体" w:eastAsia="宋体"/>
          <w:color w:val="auto"/>
          <w:sz w:val="24"/>
          <w:szCs w:val="24"/>
          <w:highlight w:val="none"/>
          <w:u w:val="single"/>
          <w:lang w:val="zh-CN"/>
        </w:rPr>
        <w:t>安徽省住房和城乡建设厅</w:t>
      </w:r>
      <w:r>
        <w:rPr>
          <w:rFonts w:hint="eastAsia" w:ascii="宋体" w:hAnsi="宋体" w:eastAsia="宋体"/>
          <w:color w:val="auto"/>
          <w:sz w:val="24"/>
          <w:szCs w:val="24"/>
          <w:highlight w:val="none"/>
          <w:u w:val="single"/>
        </w:rPr>
        <w:t xml:space="preserve">  </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rPr>
        <w:t xml:space="preserve">  </w:t>
      </w:r>
      <w:r>
        <w:rPr>
          <w:rFonts w:hint="eastAsia" w:ascii="宋体" w:hAnsi="宋体" w:eastAsia="宋体"/>
          <w:color w:val="auto"/>
          <w:sz w:val="24"/>
          <w:szCs w:val="24"/>
          <w:highlight w:val="none"/>
          <w:u w:val="single"/>
          <w:lang w:val="zh-CN"/>
        </w:rPr>
        <w:t>安徽省城镇保障性安居工程委托第三方现场核实评估</w:t>
      </w:r>
      <w:r>
        <w:rPr>
          <w:rFonts w:hint="eastAsia" w:ascii="宋体" w:hAnsi="宋体" w:eastAsia="宋体"/>
          <w:color w:val="auto"/>
          <w:sz w:val="24"/>
          <w:szCs w:val="24"/>
          <w:highlight w:val="none"/>
          <w:u w:val="single"/>
        </w:rPr>
        <w:t xml:space="preserve">  </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21D694F3">
      <w:pPr>
        <w:spacing w:line="360" w:lineRule="auto"/>
        <w:ind w:firstLine="435"/>
        <w:jc w:val="left"/>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EE71F52">
      <w:pPr>
        <w:spacing w:line="360" w:lineRule="auto"/>
        <w:ind w:firstLine="435"/>
        <w:jc w:val="left"/>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2EC887B4">
      <w:pPr>
        <w:spacing w:line="360" w:lineRule="auto"/>
        <w:ind w:firstLine="435"/>
        <w:jc w:val="left"/>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0B10BFA5">
      <w:pPr>
        <w:spacing w:line="360" w:lineRule="auto"/>
        <w:ind w:firstLine="435"/>
        <w:jc w:val="left"/>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285641EF">
      <w:pPr>
        <w:spacing w:line="360" w:lineRule="auto"/>
        <w:ind w:firstLine="435"/>
        <w:jc w:val="left"/>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5C3A5F0B">
      <w:pPr>
        <w:spacing w:line="360" w:lineRule="auto"/>
        <w:ind w:firstLine="435"/>
        <w:jc w:val="left"/>
        <w:rPr>
          <w:rFonts w:ascii="宋体" w:hAnsi="宋体" w:eastAsia="宋体"/>
          <w:color w:val="auto"/>
          <w:sz w:val="24"/>
          <w:szCs w:val="24"/>
          <w:highlight w:val="none"/>
        </w:rPr>
      </w:pPr>
    </w:p>
    <w:p w14:paraId="0C49F713">
      <w:pPr>
        <w:spacing w:line="360" w:lineRule="auto"/>
        <w:ind w:firstLine="435"/>
        <w:jc w:val="left"/>
        <w:rPr>
          <w:rFonts w:ascii="宋体" w:hAnsi="宋体" w:eastAsia="宋体"/>
          <w:color w:val="auto"/>
          <w:sz w:val="24"/>
          <w:szCs w:val="24"/>
          <w:highlight w:val="none"/>
        </w:rPr>
      </w:pPr>
    </w:p>
    <w:p w14:paraId="0FB25945">
      <w:pPr>
        <w:spacing w:line="360" w:lineRule="auto"/>
        <w:ind w:firstLine="4228" w:firstLineChars="1762"/>
        <w:jc w:val="left"/>
        <w:rPr>
          <w:rFonts w:ascii="宋体" w:hAnsi="宋体" w:eastAsia="宋体"/>
          <w:color w:val="auto"/>
          <w:sz w:val="24"/>
          <w:szCs w:val="24"/>
          <w:highlight w:val="none"/>
          <w:u w:val="single"/>
        </w:rPr>
      </w:pPr>
      <w:r>
        <w:rPr>
          <w:rFonts w:hint="eastAsia" w:ascii="宋体" w:hAnsi="宋体" w:eastAsia="宋体"/>
          <w:color w:val="auto"/>
          <w:sz w:val="24"/>
          <w:szCs w:val="24"/>
          <w:highlight w:val="none"/>
        </w:rPr>
        <w:t>供应商公章：</w:t>
      </w:r>
      <w:r>
        <w:rPr>
          <w:rFonts w:ascii="宋体" w:hAnsi="宋体" w:eastAsia="宋体"/>
          <w:color w:val="auto"/>
          <w:sz w:val="24"/>
          <w:szCs w:val="24"/>
          <w:highlight w:val="none"/>
          <w:u w:val="single"/>
        </w:rPr>
        <w:t xml:space="preserve">             </w:t>
      </w:r>
    </w:p>
    <w:p w14:paraId="7F84B5A5">
      <w:pPr>
        <w:tabs>
          <w:tab w:val="left" w:pos="4620"/>
        </w:tabs>
        <w:spacing w:line="360" w:lineRule="auto"/>
        <w:ind w:firstLine="4252" w:firstLineChars="1772"/>
        <w:jc w:val="left"/>
        <w:rPr>
          <w:rFonts w:ascii="宋体" w:hAnsi="宋体" w:eastAsia="宋体"/>
          <w:color w:val="auto"/>
          <w:sz w:val="24"/>
          <w:szCs w:val="24"/>
          <w:highlight w:val="none"/>
          <w:u w:val="single"/>
        </w:rPr>
      </w:pPr>
      <w:r>
        <w:rPr>
          <w:rFonts w:hint="eastAsia" w:ascii="宋体" w:hAnsi="宋体" w:eastAsia="宋体"/>
          <w:color w:val="auto"/>
          <w:sz w:val="24"/>
          <w:szCs w:val="24"/>
          <w:highlight w:val="none"/>
        </w:rPr>
        <w:t>日</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期：</w:t>
      </w:r>
      <w:r>
        <w:rPr>
          <w:rFonts w:ascii="宋体" w:hAnsi="宋体" w:eastAsia="宋体"/>
          <w:color w:val="auto"/>
          <w:sz w:val="24"/>
          <w:szCs w:val="24"/>
          <w:highlight w:val="none"/>
          <w:u w:val="single"/>
        </w:rPr>
        <w:t xml:space="preserve">             </w:t>
      </w:r>
    </w:p>
    <w:p w14:paraId="73D14D03">
      <w:pPr>
        <w:tabs>
          <w:tab w:val="left" w:pos="4620"/>
        </w:tabs>
        <w:spacing w:line="360" w:lineRule="auto"/>
        <w:jc w:val="left"/>
        <w:rPr>
          <w:rFonts w:ascii="宋体" w:hAnsi="宋体" w:eastAsia="宋体"/>
          <w:color w:val="auto"/>
          <w:sz w:val="24"/>
          <w:szCs w:val="24"/>
          <w:highlight w:val="none"/>
        </w:rPr>
      </w:pPr>
    </w:p>
    <w:p w14:paraId="5595A81E">
      <w:pPr>
        <w:tabs>
          <w:tab w:val="left" w:pos="4620"/>
        </w:tabs>
        <w:spacing w:line="360" w:lineRule="auto"/>
        <w:jc w:val="left"/>
        <w:rPr>
          <w:rFonts w:ascii="宋体" w:hAnsi="宋体" w:eastAsia="宋体"/>
          <w:color w:val="auto"/>
          <w:sz w:val="24"/>
          <w:szCs w:val="24"/>
          <w:highlight w:val="none"/>
        </w:rPr>
      </w:pPr>
    </w:p>
    <w:p w14:paraId="231ED78E">
      <w:pPr>
        <w:tabs>
          <w:tab w:val="left" w:pos="4620"/>
        </w:tabs>
        <w:spacing w:line="360" w:lineRule="auto"/>
        <w:jc w:val="left"/>
        <w:rPr>
          <w:rFonts w:hint="eastAsia" w:ascii="宋体" w:hAnsi="宋体" w:eastAsia="宋体"/>
          <w:color w:val="auto"/>
          <w:szCs w:val="24"/>
          <w:highlight w:val="none"/>
        </w:rPr>
      </w:pPr>
      <w:r>
        <w:rPr>
          <w:rFonts w:hint="eastAsia" w:ascii="宋体" w:hAnsi="宋体" w:eastAsia="宋体"/>
          <w:color w:val="auto"/>
          <w:szCs w:val="24"/>
          <w:highlight w:val="none"/>
        </w:rPr>
        <w:t>备注：</w:t>
      </w:r>
    </w:p>
    <w:p w14:paraId="6CC4FEEF">
      <w:pPr>
        <w:widowControl/>
        <w:jc w:val="left"/>
        <w:rPr>
          <w:rFonts w:hint="eastAsia" w:ascii="宋体" w:hAnsi="宋体" w:eastAsia="宋体" w:cs="宋体"/>
          <w:color w:val="auto"/>
          <w:kern w:val="0"/>
          <w:szCs w:val="21"/>
          <w:highlight w:val="none"/>
          <w:lang w:bidi="ar"/>
        </w:rPr>
      </w:pPr>
      <w:r>
        <w:rPr>
          <w:rFonts w:hint="eastAsia" w:ascii="宋体" w:hAnsi="宋体" w:eastAsia="宋体" w:cs="宋体"/>
          <w:color w:val="auto"/>
          <w:kern w:val="0"/>
          <w:szCs w:val="21"/>
          <w:highlight w:val="none"/>
          <w:lang w:bidi="ar"/>
        </w:rPr>
        <w:t>1.从业人员、营业收入、资产总额填报上一年数据，无上一年数据的新成立企业可不填报。</w:t>
      </w:r>
    </w:p>
    <w:p w14:paraId="2FA05129">
      <w:pPr>
        <w:widowControl/>
        <w:jc w:val="left"/>
        <w:rPr>
          <w:color w:val="auto"/>
          <w:highlight w:val="none"/>
        </w:rPr>
      </w:pPr>
      <w:r>
        <w:rPr>
          <w:rFonts w:hint="eastAsia" w:ascii="宋体" w:hAnsi="宋体" w:eastAsia="宋体" w:cs="宋体"/>
          <w:color w:val="auto"/>
          <w:kern w:val="0"/>
          <w:szCs w:val="21"/>
          <w:highlight w:val="none"/>
          <w:lang w:bidi="ar"/>
        </w:rPr>
        <w:t xml:space="preserve">2.企业划型标准按照《中小企业划型标准规定》（工信部联企业〔2011〕300 号）执行（具体划分标准详见磋商文件附件3“大中小微型企业划分标准”）。 </w:t>
      </w:r>
    </w:p>
    <w:p w14:paraId="7DB23798">
      <w:pPr>
        <w:widowControl/>
        <w:jc w:val="left"/>
        <w:rPr>
          <w:color w:val="auto"/>
          <w:highlight w:val="none"/>
        </w:rPr>
      </w:pPr>
      <w:r>
        <w:rPr>
          <w:rFonts w:hint="eastAsia" w:ascii="宋体" w:hAnsi="宋体" w:eastAsia="宋体" w:cs="宋体"/>
          <w:color w:val="auto"/>
          <w:kern w:val="0"/>
          <w:szCs w:val="21"/>
          <w:highlight w:val="none"/>
          <w:lang w:bidi="ar"/>
        </w:rPr>
        <w:t xml:space="preserve">3.如供应商提供的《中小企业声明函》内容不实，属于“隐瞒真实情况，提供虚假资料”情 </w:t>
      </w:r>
    </w:p>
    <w:p w14:paraId="2C365AE6">
      <w:pPr>
        <w:widowControl/>
        <w:jc w:val="left"/>
        <w:rPr>
          <w:color w:val="auto"/>
          <w:highlight w:val="none"/>
        </w:rPr>
      </w:pPr>
      <w:r>
        <w:rPr>
          <w:rFonts w:hint="eastAsia" w:ascii="宋体" w:hAnsi="宋体" w:eastAsia="宋体" w:cs="宋体"/>
          <w:color w:val="auto"/>
          <w:kern w:val="0"/>
          <w:szCs w:val="21"/>
          <w:highlight w:val="none"/>
          <w:lang w:bidi="ar"/>
        </w:rPr>
        <w:t>形的，将依照有关规定追究相应责任。</w:t>
      </w:r>
    </w:p>
    <w:p w14:paraId="7BDB0C37">
      <w:pPr>
        <w:widowControl/>
        <w:jc w:val="left"/>
        <w:rPr>
          <w:rFonts w:ascii="宋体" w:hAnsi="宋体" w:eastAsia="宋体"/>
          <w:color w:val="auto"/>
          <w:sz w:val="24"/>
          <w:highlight w:val="none"/>
        </w:rPr>
      </w:pPr>
      <w:r>
        <w:rPr>
          <w:rFonts w:ascii="宋体" w:hAnsi="宋体" w:eastAsia="宋体"/>
          <w:color w:val="auto"/>
          <w:sz w:val="24"/>
          <w:highlight w:val="none"/>
        </w:rPr>
        <w:br w:type="page"/>
      </w:r>
    </w:p>
    <w:p w14:paraId="4BABC335">
      <w:pPr>
        <w:spacing w:line="360" w:lineRule="auto"/>
        <w:jc w:val="center"/>
        <w:outlineLvl w:val="2"/>
        <w:rPr>
          <w:rFonts w:ascii="宋体" w:hAnsi="宋体" w:eastAsia="宋体"/>
          <w:b/>
          <w:color w:val="auto"/>
          <w:sz w:val="24"/>
          <w:highlight w:val="none"/>
        </w:rPr>
      </w:pPr>
      <w:bookmarkStart w:id="172" w:name="_Toc520983600"/>
      <w:r>
        <w:rPr>
          <w:rFonts w:hint="eastAsia" w:ascii="宋体" w:hAnsi="宋体" w:eastAsia="宋体"/>
          <w:b/>
          <w:color w:val="auto"/>
          <w:sz w:val="24"/>
          <w:highlight w:val="none"/>
        </w:rPr>
        <w:t>残疾人福利性单位声明函</w:t>
      </w:r>
      <w:bookmarkEnd w:id="172"/>
    </w:p>
    <w:p w14:paraId="069D2986">
      <w:pPr>
        <w:widowControl w:val="0"/>
        <w:spacing w:line="360" w:lineRule="auto"/>
        <w:ind w:firstLine="461"/>
        <w:jc w:val="center"/>
        <w:rPr>
          <w:rFonts w:ascii="宋体" w:hAnsi="宋体" w:eastAsia="宋体" w:cs="Arial"/>
          <w:b/>
          <w:i/>
          <w:color w:val="auto"/>
          <w:kern w:val="2"/>
          <w:sz w:val="24"/>
          <w:szCs w:val="24"/>
          <w:highlight w:val="none"/>
          <w:lang w:val="en-US" w:eastAsia="zh-CN" w:bidi="ar-SA"/>
        </w:rPr>
      </w:pPr>
      <w:r>
        <w:rPr>
          <w:rFonts w:hint="eastAsia" w:ascii="宋体" w:hAnsi="宋体" w:eastAsia="宋体" w:cs="Arial"/>
          <w:b/>
          <w:i/>
          <w:color w:val="auto"/>
          <w:kern w:val="2"/>
          <w:sz w:val="24"/>
          <w:szCs w:val="24"/>
          <w:highlight w:val="none"/>
          <w:lang w:val="en-US" w:eastAsia="zh-CN" w:bidi="ar-SA"/>
        </w:rPr>
        <w:t>（非残疾人福利性单位磋商，不需此件）</w:t>
      </w:r>
    </w:p>
    <w:p w14:paraId="4772CF17">
      <w:pPr>
        <w:rPr>
          <w:color w:val="auto"/>
          <w:highlight w:val="none"/>
        </w:rPr>
      </w:pPr>
    </w:p>
    <w:p w14:paraId="69BB77D9">
      <w:pPr>
        <w:spacing w:line="360" w:lineRule="auto"/>
        <w:ind w:firstLine="435"/>
        <w:jc w:val="left"/>
        <w:rPr>
          <w:rFonts w:ascii="宋体" w:hAnsi="宋体" w:eastAsia="宋体"/>
          <w:color w:val="auto"/>
          <w:spacing w:val="6"/>
          <w:sz w:val="24"/>
          <w:szCs w:val="24"/>
          <w:highlight w:val="none"/>
        </w:rPr>
      </w:pPr>
      <w:r>
        <w:rPr>
          <w:rFonts w:hint="eastAsia" w:ascii="宋体" w:hAnsi="宋体" w:eastAsia="宋体"/>
          <w:color w:val="auto"/>
          <w:spacing w:val="6"/>
          <w:sz w:val="24"/>
          <w:szCs w:val="24"/>
          <w:highlight w:val="none"/>
        </w:rPr>
        <w:t>本单位</w:t>
      </w:r>
      <w:r>
        <w:rPr>
          <w:rFonts w:hint="eastAsia" w:ascii="宋体" w:hAnsi="宋体" w:eastAsia="宋体"/>
          <w:color w:val="auto"/>
          <w:sz w:val="24"/>
          <w:highlight w:val="none"/>
        </w:rPr>
        <w:t>郑重</w:t>
      </w:r>
      <w:r>
        <w:rPr>
          <w:rFonts w:hint="eastAsia" w:ascii="宋体" w:hAnsi="宋体" w:eastAsia="宋体"/>
          <w:color w:val="auto"/>
          <w:spacing w:val="6"/>
          <w:sz w:val="24"/>
          <w:szCs w:val="24"/>
          <w:highlight w:val="none"/>
        </w:rPr>
        <w:t>声明，根据《财政部 民政部 中国残疾人联合会关于促进残疾人就业政府采购政策的通知》（财库</w:t>
      </w:r>
      <w:r>
        <w:rPr>
          <w:rFonts w:hint="eastAsia" w:ascii="宋体" w:hAnsi="宋体" w:eastAsia="宋体"/>
          <w:color w:val="auto"/>
          <w:sz w:val="24"/>
          <w:szCs w:val="24"/>
          <w:highlight w:val="none"/>
        </w:rPr>
        <w:t>〔2017〕141</w:t>
      </w:r>
      <w:r>
        <w:rPr>
          <w:rFonts w:hint="eastAsia" w:ascii="宋体" w:hAnsi="宋体" w:eastAsia="宋体"/>
          <w:color w:val="auto"/>
          <w:spacing w:val="6"/>
          <w:sz w:val="24"/>
          <w:szCs w:val="24"/>
          <w:highlight w:val="none"/>
        </w:rPr>
        <w:t>号）的规定，本单位为</w:t>
      </w:r>
      <w:r>
        <w:rPr>
          <w:rFonts w:hint="eastAsia" w:ascii="宋体" w:hAnsi="宋体" w:eastAsia="宋体"/>
          <w:b/>
          <w:bCs/>
          <w:color w:val="auto"/>
          <w:sz w:val="24"/>
          <w:szCs w:val="24"/>
          <w:highlight w:val="none"/>
        </w:rPr>
        <w:t>符合</w:t>
      </w:r>
      <w:r>
        <w:rPr>
          <w:rFonts w:hint="eastAsia" w:ascii="宋体" w:hAnsi="宋体" w:eastAsia="宋体"/>
          <w:b/>
          <w:color w:val="auto"/>
          <w:spacing w:val="6"/>
          <w:sz w:val="24"/>
          <w:szCs w:val="24"/>
          <w:highlight w:val="none"/>
        </w:rPr>
        <w:t>条件</w:t>
      </w:r>
      <w:r>
        <w:rPr>
          <w:rFonts w:hint="eastAsia" w:ascii="宋体" w:hAnsi="宋体" w:eastAsia="宋体"/>
          <w:color w:val="auto"/>
          <w:spacing w:val="6"/>
          <w:sz w:val="24"/>
          <w:szCs w:val="24"/>
          <w:highlight w:val="none"/>
        </w:rPr>
        <w:t>的残疾人福利性单位，且本单位参加</w:t>
      </w:r>
      <w:r>
        <w:rPr>
          <w:rFonts w:hint="eastAsia" w:ascii="宋体" w:hAnsi="宋体" w:eastAsia="宋体"/>
          <w:color w:val="auto"/>
          <w:sz w:val="24"/>
          <w:szCs w:val="24"/>
          <w:highlight w:val="none"/>
          <w:u w:val="single"/>
        </w:rPr>
        <w:t xml:space="preserve">  </w:t>
      </w:r>
      <w:r>
        <w:rPr>
          <w:rFonts w:hint="eastAsia" w:ascii="宋体" w:hAnsi="宋体" w:eastAsia="宋体"/>
          <w:color w:val="auto"/>
          <w:sz w:val="24"/>
          <w:szCs w:val="24"/>
          <w:highlight w:val="none"/>
          <w:u w:val="single"/>
          <w:lang w:val="zh-CN"/>
        </w:rPr>
        <w:t>安徽省住房和城乡建设厅</w:t>
      </w:r>
      <w:r>
        <w:rPr>
          <w:rFonts w:hint="eastAsia" w:ascii="宋体" w:hAnsi="宋体" w:eastAsia="宋体"/>
          <w:color w:val="auto"/>
          <w:sz w:val="24"/>
          <w:szCs w:val="24"/>
          <w:highlight w:val="none"/>
          <w:u w:val="single"/>
        </w:rPr>
        <w:t xml:space="preserve">  </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rPr>
        <w:t xml:space="preserve">  </w:t>
      </w:r>
      <w:r>
        <w:rPr>
          <w:rFonts w:hint="eastAsia" w:ascii="宋体" w:hAnsi="宋体" w:eastAsia="宋体"/>
          <w:color w:val="auto"/>
          <w:sz w:val="24"/>
          <w:szCs w:val="24"/>
          <w:highlight w:val="none"/>
          <w:u w:val="single"/>
          <w:lang w:val="zh-CN"/>
        </w:rPr>
        <w:t>安徽省城镇保障性安居工程委托第三方现场核实评估</w:t>
      </w:r>
      <w:r>
        <w:rPr>
          <w:rFonts w:hint="eastAsia" w:ascii="宋体" w:hAnsi="宋体" w:eastAsia="宋体"/>
          <w:color w:val="auto"/>
          <w:sz w:val="24"/>
          <w:szCs w:val="24"/>
          <w:highlight w:val="none"/>
          <w:u w:val="single"/>
        </w:rPr>
        <w:t xml:space="preserve">   </w:t>
      </w:r>
      <w:r>
        <w:rPr>
          <w:rFonts w:hint="eastAsia" w:ascii="宋体" w:hAnsi="宋体" w:eastAsia="宋体"/>
          <w:color w:val="auto"/>
          <w:spacing w:val="6"/>
          <w:sz w:val="24"/>
          <w:szCs w:val="24"/>
          <w:highlight w:val="none"/>
        </w:rPr>
        <w:t>采购活动由本单位提供服务。</w:t>
      </w:r>
    </w:p>
    <w:p w14:paraId="643C4FFC">
      <w:pPr>
        <w:spacing w:line="360" w:lineRule="auto"/>
        <w:ind w:firstLine="435"/>
        <w:jc w:val="left"/>
        <w:rPr>
          <w:rFonts w:ascii="宋体" w:hAnsi="宋体" w:eastAsia="宋体"/>
          <w:color w:val="auto"/>
          <w:spacing w:val="6"/>
          <w:sz w:val="24"/>
          <w:szCs w:val="24"/>
          <w:highlight w:val="none"/>
        </w:rPr>
      </w:pPr>
      <w:r>
        <w:rPr>
          <w:rFonts w:hint="eastAsia" w:ascii="宋体" w:hAnsi="宋体" w:eastAsia="宋体"/>
          <w:color w:val="auto"/>
          <w:spacing w:val="6"/>
          <w:sz w:val="24"/>
          <w:szCs w:val="24"/>
          <w:highlight w:val="none"/>
        </w:rPr>
        <w:t>本单位对上述声明的真实性负责。如有虚假，将依法承担相应责任。</w:t>
      </w:r>
    </w:p>
    <w:p w14:paraId="6A07C972">
      <w:pPr>
        <w:spacing w:line="360" w:lineRule="auto"/>
        <w:ind w:firstLine="4228" w:firstLineChars="1762"/>
        <w:jc w:val="left"/>
        <w:rPr>
          <w:rFonts w:ascii="宋体" w:hAnsi="宋体" w:eastAsia="宋体"/>
          <w:color w:val="auto"/>
          <w:sz w:val="24"/>
          <w:szCs w:val="24"/>
          <w:highlight w:val="none"/>
        </w:rPr>
      </w:pPr>
    </w:p>
    <w:p w14:paraId="6223A94B">
      <w:pPr>
        <w:spacing w:line="360" w:lineRule="auto"/>
        <w:ind w:firstLine="4228" w:firstLineChars="1762"/>
        <w:jc w:val="left"/>
        <w:rPr>
          <w:rFonts w:ascii="宋体" w:hAnsi="宋体" w:eastAsia="宋体"/>
          <w:color w:val="auto"/>
          <w:sz w:val="24"/>
          <w:szCs w:val="24"/>
          <w:highlight w:val="none"/>
        </w:rPr>
      </w:pPr>
    </w:p>
    <w:p w14:paraId="6B8AB957">
      <w:pPr>
        <w:spacing w:line="360" w:lineRule="auto"/>
        <w:ind w:firstLine="4228" w:firstLineChars="1762"/>
        <w:jc w:val="left"/>
        <w:rPr>
          <w:rFonts w:ascii="宋体" w:hAnsi="宋体" w:eastAsia="宋体"/>
          <w:color w:val="auto"/>
          <w:sz w:val="24"/>
          <w:szCs w:val="24"/>
          <w:highlight w:val="none"/>
          <w:u w:val="single"/>
        </w:rPr>
      </w:pPr>
      <w:r>
        <w:rPr>
          <w:rFonts w:hint="eastAsia" w:ascii="宋体" w:hAnsi="宋体" w:eastAsia="宋体"/>
          <w:color w:val="auto"/>
          <w:sz w:val="24"/>
          <w:szCs w:val="24"/>
          <w:highlight w:val="none"/>
        </w:rPr>
        <w:t>供应商公章：</w:t>
      </w:r>
      <w:r>
        <w:rPr>
          <w:rFonts w:ascii="宋体" w:hAnsi="宋体" w:eastAsia="宋体"/>
          <w:color w:val="auto"/>
          <w:sz w:val="24"/>
          <w:szCs w:val="24"/>
          <w:highlight w:val="none"/>
          <w:u w:val="single"/>
        </w:rPr>
        <w:t xml:space="preserve">             </w:t>
      </w:r>
    </w:p>
    <w:p w14:paraId="231D4BE0">
      <w:pPr>
        <w:tabs>
          <w:tab w:val="left" w:pos="4620"/>
        </w:tabs>
        <w:spacing w:line="360" w:lineRule="auto"/>
        <w:ind w:firstLine="4252" w:firstLineChars="1772"/>
        <w:jc w:val="left"/>
        <w:rPr>
          <w:rFonts w:ascii="宋体" w:hAnsi="宋体" w:eastAsia="宋体"/>
          <w:color w:val="auto"/>
          <w:sz w:val="24"/>
          <w:szCs w:val="24"/>
          <w:highlight w:val="none"/>
          <w:u w:val="single"/>
        </w:rPr>
      </w:pPr>
      <w:r>
        <w:rPr>
          <w:rFonts w:hint="eastAsia" w:ascii="宋体" w:hAnsi="宋体" w:eastAsia="宋体"/>
          <w:color w:val="auto"/>
          <w:sz w:val="24"/>
          <w:szCs w:val="24"/>
          <w:highlight w:val="none"/>
        </w:rPr>
        <w:t>日</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期：</w:t>
      </w:r>
      <w:r>
        <w:rPr>
          <w:rFonts w:ascii="宋体" w:hAnsi="宋体" w:eastAsia="宋体"/>
          <w:color w:val="auto"/>
          <w:sz w:val="24"/>
          <w:szCs w:val="24"/>
          <w:highlight w:val="none"/>
          <w:u w:val="single"/>
        </w:rPr>
        <w:t xml:space="preserve">             </w:t>
      </w:r>
    </w:p>
    <w:p w14:paraId="558CB28D">
      <w:pPr>
        <w:widowControl/>
        <w:jc w:val="left"/>
        <w:rPr>
          <w:rFonts w:ascii="宋体" w:hAnsi="宋体" w:eastAsia="宋体"/>
          <w:color w:val="auto"/>
          <w:sz w:val="24"/>
          <w:highlight w:val="none"/>
        </w:rPr>
      </w:pPr>
      <w:r>
        <w:rPr>
          <w:rFonts w:ascii="宋体" w:hAnsi="宋体" w:eastAsia="宋体"/>
          <w:color w:val="auto"/>
          <w:sz w:val="24"/>
          <w:highlight w:val="none"/>
        </w:rPr>
        <w:br w:type="page"/>
      </w:r>
    </w:p>
    <w:p w14:paraId="1666872D">
      <w:pPr>
        <w:jc w:val="center"/>
        <w:rPr>
          <w:rFonts w:hint="eastAsia" w:ascii="Arial" w:hAnsi="Arial" w:eastAsia="宋体" w:cs="Arial"/>
          <w:b/>
          <w:color w:val="auto"/>
          <w:sz w:val="24"/>
          <w:highlight w:val="none"/>
        </w:rPr>
      </w:pPr>
      <w:r>
        <w:rPr>
          <w:rFonts w:hint="eastAsia" w:ascii="Arial" w:hAnsi="Arial" w:eastAsia="宋体" w:cs="Arial"/>
          <w:b/>
          <w:color w:val="auto"/>
          <w:sz w:val="24"/>
          <w:highlight w:val="none"/>
        </w:rPr>
        <w:t>监狱企业证明</w:t>
      </w:r>
    </w:p>
    <w:p w14:paraId="1C529BED">
      <w:pPr>
        <w:rPr>
          <w:rFonts w:ascii="Arial" w:hAnsi="Arial" w:eastAsia="宋体" w:cs="Arial"/>
          <w:b/>
          <w:color w:val="auto"/>
          <w:sz w:val="24"/>
          <w:highlight w:val="none"/>
        </w:rPr>
      </w:pPr>
    </w:p>
    <w:p w14:paraId="0AAB9B0F">
      <w:pPr>
        <w:spacing w:line="360" w:lineRule="auto"/>
        <w:jc w:val="center"/>
        <w:outlineLvl w:val="2"/>
        <w:rPr>
          <w:rFonts w:ascii="Arial" w:hAnsi="Arial" w:eastAsia="宋体" w:cs="Arial"/>
          <w:b/>
          <w:color w:val="auto"/>
          <w:sz w:val="24"/>
          <w:highlight w:val="none"/>
        </w:rPr>
      </w:pPr>
    </w:p>
    <w:p w14:paraId="1F29ABBD">
      <w:pPr>
        <w:spacing w:line="360" w:lineRule="auto"/>
        <w:jc w:val="center"/>
        <w:outlineLvl w:val="2"/>
        <w:rPr>
          <w:rFonts w:ascii="Arial" w:hAnsi="Arial" w:eastAsia="宋体" w:cs="Arial"/>
          <w:b/>
          <w:color w:val="auto"/>
          <w:sz w:val="24"/>
          <w:highlight w:val="none"/>
        </w:rPr>
      </w:pPr>
    </w:p>
    <w:p w14:paraId="20799130">
      <w:pPr>
        <w:spacing w:line="360" w:lineRule="auto"/>
        <w:jc w:val="center"/>
        <w:outlineLvl w:val="2"/>
        <w:rPr>
          <w:rFonts w:ascii="Arial" w:hAnsi="Arial" w:eastAsia="宋体" w:cs="Arial"/>
          <w:b/>
          <w:color w:val="auto"/>
          <w:sz w:val="24"/>
          <w:highlight w:val="none"/>
        </w:rPr>
      </w:pPr>
    </w:p>
    <w:p w14:paraId="3DA2246D">
      <w:pPr>
        <w:spacing w:line="360" w:lineRule="auto"/>
        <w:jc w:val="center"/>
        <w:outlineLvl w:val="2"/>
        <w:rPr>
          <w:rFonts w:ascii="Arial" w:hAnsi="Arial" w:eastAsia="宋体" w:cs="Arial"/>
          <w:b/>
          <w:color w:val="auto"/>
          <w:sz w:val="24"/>
          <w:highlight w:val="none"/>
        </w:rPr>
      </w:pPr>
    </w:p>
    <w:p w14:paraId="1CA9AF24">
      <w:pPr>
        <w:spacing w:line="360" w:lineRule="auto"/>
        <w:jc w:val="center"/>
        <w:outlineLvl w:val="2"/>
        <w:rPr>
          <w:rFonts w:ascii="Arial" w:hAnsi="Arial" w:eastAsia="宋体" w:cs="Arial"/>
          <w:b/>
          <w:color w:val="auto"/>
          <w:sz w:val="24"/>
          <w:highlight w:val="none"/>
        </w:rPr>
      </w:pPr>
    </w:p>
    <w:p w14:paraId="77333EFE">
      <w:pPr>
        <w:spacing w:line="360" w:lineRule="auto"/>
        <w:jc w:val="center"/>
        <w:outlineLvl w:val="2"/>
        <w:rPr>
          <w:rFonts w:ascii="Arial" w:hAnsi="Arial" w:eastAsia="宋体" w:cs="Arial"/>
          <w:b/>
          <w:color w:val="auto"/>
          <w:sz w:val="24"/>
          <w:highlight w:val="none"/>
        </w:rPr>
      </w:pPr>
    </w:p>
    <w:p w14:paraId="4169A842">
      <w:pPr>
        <w:spacing w:line="360" w:lineRule="auto"/>
        <w:jc w:val="center"/>
        <w:outlineLvl w:val="2"/>
        <w:rPr>
          <w:rFonts w:ascii="Arial" w:hAnsi="Arial" w:eastAsia="宋体" w:cs="Arial"/>
          <w:b/>
          <w:color w:val="auto"/>
          <w:sz w:val="24"/>
          <w:highlight w:val="none"/>
        </w:rPr>
      </w:pPr>
    </w:p>
    <w:p w14:paraId="1B969C2D">
      <w:pPr>
        <w:tabs>
          <w:tab w:val="left" w:pos="4620"/>
        </w:tabs>
        <w:spacing w:line="360" w:lineRule="auto"/>
        <w:jc w:val="left"/>
        <w:rPr>
          <w:rFonts w:hint="eastAsia" w:ascii="宋体" w:hAnsi="宋体" w:eastAsia="宋体"/>
          <w:color w:val="auto"/>
          <w:szCs w:val="24"/>
          <w:highlight w:val="none"/>
        </w:rPr>
      </w:pPr>
    </w:p>
    <w:p w14:paraId="7048D54A">
      <w:pPr>
        <w:tabs>
          <w:tab w:val="left" w:pos="4620"/>
        </w:tabs>
        <w:spacing w:line="360" w:lineRule="auto"/>
        <w:jc w:val="left"/>
        <w:rPr>
          <w:rFonts w:hint="eastAsia" w:ascii="宋体" w:hAnsi="宋体" w:eastAsia="宋体"/>
          <w:color w:val="auto"/>
          <w:szCs w:val="24"/>
          <w:highlight w:val="none"/>
        </w:rPr>
      </w:pPr>
    </w:p>
    <w:p w14:paraId="70374D7D">
      <w:pPr>
        <w:tabs>
          <w:tab w:val="left" w:pos="4620"/>
        </w:tabs>
        <w:spacing w:line="360" w:lineRule="auto"/>
        <w:jc w:val="left"/>
        <w:rPr>
          <w:rFonts w:hint="eastAsia" w:ascii="宋体" w:hAnsi="宋体" w:eastAsia="宋体"/>
          <w:color w:val="auto"/>
          <w:szCs w:val="24"/>
          <w:highlight w:val="none"/>
        </w:rPr>
      </w:pPr>
    </w:p>
    <w:p w14:paraId="459DCFDA">
      <w:pPr>
        <w:tabs>
          <w:tab w:val="left" w:pos="4620"/>
        </w:tabs>
        <w:spacing w:line="360" w:lineRule="auto"/>
        <w:jc w:val="left"/>
        <w:rPr>
          <w:rFonts w:hint="eastAsia" w:ascii="宋体" w:hAnsi="宋体" w:eastAsia="宋体"/>
          <w:color w:val="auto"/>
          <w:szCs w:val="24"/>
          <w:highlight w:val="none"/>
        </w:rPr>
      </w:pPr>
    </w:p>
    <w:p w14:paraId="292FE5A9">
      <w:pPr>
        <w:tabs>
          <w:tab w:val="left" w:pos="4620"/>
        </w:tabs>
        <w:spacing w:line="360" w:lineRule="auto"/>
        <w:jc w:val="left"/>
        <w:rPr>
          <w:rFonts w:ascii="宋体" w:hAnsi="宋体" w:eastAsia="宋体"/>
          <w:color w:val="auto"/>
          <w:szCs w:val="24"/>
          <w:highlight w:val="none"/>
        </w:rPr>
      </w:pPr>
      <w:r>
        <w:rPr>
          <w:rFonts w:hint="eastAsia" w:ascii="宋体" w:hAnsi="宋体" w:eastAsia="宋体"/>
          <w:color w:val="auto"/>
          <w:szCs w:val="24"/>
          <w:highlight w:val="none"/>
        </w:rPr>
        <w:t>注：提供省级以上监狱管理局、戒毒管理局（含新疆生产建设兵团）出具的属于监狱企业的证明文件</w:t>
      </w:r>
    </w:p>
    <w:p w14:paraId="5A5B7B25">
      <w:pPr>
        <w:ind w:firstLine="4200" w:firstLineChars="1750"/>
        <w:rPr>
          <w:rFonts w:ascii="宋体" w:hAnsi="宋体" w:eastAsia="宋体"/>
          <w:color w:val="auto"/>
          <w:sz w:val="24"/>
          <w:highlight w:val="none"/>
          <w:u w:val="single"/>
        </w:rPr>
      </w:pPr>
      <w:r>
        <w:rPr>
          <w:rFonts w:ascii="宋体" w:hAnsi="宋体" w:eastAsia="宋体"/>
          <w:color w:val="auto"/>
          <w:sz w:val="24"/>
          <w:highlight w:val="none"/>
          <w:u w:val="single"/>
        </w:rPr>
        <w:t xml:space="preserve">       </w:t>
      </w:r>
    </w:p>
    <w:p w14:paraId="1F930DB3">
      <w:pPr>
        <w:widowControl/>
        <w:jc w:val="center"/>
        <w:rPr>
          <w:rFonts w:ascii="宋体" w:hAnsi="宋体" w:eastAsia="宋体"/>
          <w:b/>
          <w:color w:val="auto"/>
          <w:sz w:val="28"/>
          <w:szCs w:val="28"/>
          <w:highlight w:val="none"/>
        </w:rPr>
      </w:pPr>
      <w:r>
        <w:rPr>
          <w:rFonts w:ascii="宋体" w:hAnsi="宋体" w:eastAsia="宋体"/>
          <w:color w:val="auto"/>
          <w:sz w:val="24"/>
          <w:highlight w:val="none"/>
        </w:rPr>
        <w:br w:type="page"/>
      </w:r>
      <w:r>
        <w:rPr>
          <w:rFonts w:hint="eastAsia" w:ascii="宋体" w:hAnsi="宋体" w:eastAsia="宋体"/>
          <w:b/>
          <w:color w:val="auto"/>
          <w:sz w:val="28"/>
          <w:szCs w:val="28"/>
          <w:highlight w:val="none"/>
        </w:rPr>
        <w:t>十</w:t>
      </w:r>
      <w:r>
        <w:rPr>
          <w:rFonts w:hint="eastAsia" w:ascii="宋体" w:hAnsi="宋体" w:eastAsia="宋体"/>
          <w:b/>
          <w:color w:val="auto"/>
          <w:sz w:val="28"/>
          <w:szCs w:val="28"/>
          <w:highlight w:val="none"/>
          <w:lang w:eastAsia="zh-CN"/>
        </w:rPr>
        <w:t>四</w:t>
      </w:r>
      <w:r>
        <w:rPr>
          <w:rFonts w:hint="eastAsia" w:ascii="宋体" w:hAnsi="宋体" w:eastAsia="宋体"/>
          <w:b/>
          <w:color w:val="auto"/>
          <w:sz w:val="28"/>
          <w:szCs w:val="28"/>
          <w:highlight w:val="none"/>
        </w:rPr>
        <w:t>、其他相关证明材料</w:t>
      </w:r>
    </w:p>
    <w:p w14:paraId="508F883E">
      <w:pPr>
        <w:tabs>
          <w:tab w:val="left" w:pos="4620"/>
        </w:tabs>
        <w:spacing w:line="360" w:lineRule="auto"/>
        <w:ind w:firstLine="480" w:firstLineChars="200"/>
        <w:jc w:val="left"/>
        <w:rPr>
          <w:rFonts w:ascii="宋体" w:hAnsi="宋体" w:eastAsia="宋体"/>
          <w:color w:val="auto"/>
          <w:sz w:val="24"/>
          <w:highlight w:val="none"/>
        </w:rPr>
      </w:pPr>
      <w:r>
        <w:rPr>
          <w:rFonts w:hint="eastAsia" w:ascii="宋体" w:hAnsi="宋体" w:eastAsia="宋体"/>
          <w:color w:val="auto"/>
          <w:sz w:val="24"/>
          <w:highlight w:val="none"/>
        </w:rPr>
        <w:t>提供符合竞争性磋商公告、采购需求及评审方法和标准规定的相关证明文件。</w:t>
      </w:r>
    </w:p>
    <w:p w14:paraId="55AC90A0">
      <w:pPr>
        <w:spacing w:line="360" w:lineRule="auto"/>
        <w:ind w:firstLine="435"/>
        <w:rPr>
          <w:rFonts w:ascii="宋体" w:hAnsi="宋体" w:eastAsia="宋体"/>
          <w:color w:val="auto"/>
          <w:sz w:val="24"/>
          <w:highlight w:val="none"/>
        </w:rPr>
      </w:pPr>
    </w:p>
    <w:p w14:paraId="301CE76B">
      <w:pPr>
        <w:keepNext/>
        <w:keepLines/>
        <w:pageBreakBefore w:val="0"/>
        <w:widowControl w:val="0"/>
        <w:kinsoku/>
        <w:wordWrap w:val="0"/>
        <w:overflowPunct/>
        <w:topLinePunct w:val="0"/>
        <w:bidi w:val="0"/>
        <w:spacing w:before="260" w:after="260" w:line="415" w:lineRule="auto"/>
        <w:jc w:val="center"/>
        <w:textAlignment w:val="auto"/>
        <w:outlineLvl w:val="1"/>
        <w:rPr>
          <w:rFonts w:hint="eastAsia" w:ascii="华文中宋" w:hAnsi="华文中宋" w:eastAsia="华文中宋" w:cs="华文中宋"/>
          <w:b/>
          <w:bCs/>
          <w:color w:val="auto"/>
          <w:kern w:val="2"/>
          <w:sz w:val="44"/>
          <w:szCs w:val="44"/>
          <w:highlight w:val="none"/>
          <w:lang w:val="en-US" w:eastAsia="zh-CN" w:bidi="ar-SA"/>
        </w:rPr>
      </w:pPr>
      <w:r>
        <w:rPr>
          <w:rFonts w:ascii="Arial" w:hAnsi="Arial" w:eastAsia="黑体" w:cs="Arial"/>
          <w:b/>
          <w:bCs/>
          <w:color w:val="auto"/>
          <w:kern w:val="2"/>
          <w:sz w:val="32"/>
          <w:szCs w:val="32"/>
          <w:highlight w:val="none"/>
          <w:lang w:val="en-US" w:eastAsia="zh-CN" w:bidi="ar-SA"/>
        </w:rPr>
        <w:br w:type="page"/>
      </w:r>
      <w:bookmarkStart w:id="173" w:name="_Toc29861"/>
      <w:r>
        <w:rPr>
          <w:rFonts w:hint="eastAsia" w:ascii="华文中宋" w:hAnsi="华文中宋" w:eastAsia="华文中宋" w:cs="华文中宋"/>
          <w:b/>
          <w:bCs/>
          <w:color w:val="auto"/>
          <w:kern w:val="2"/>
          <w:sz w:val="44"/>
          <w:szCs w:val="44"/>
          <w:highlight w:val="none"/>
          <w:lang w:val="en-US" w:eastAsia="zh-CN" w:bidi="ar-SA"/>
        </w:rPr>
        <w:t>安招采平台电子招标投标操作规程</w:t>
      </w:r>
      <w:bookmarkEnd w:id="173"/>
    </w:p>
    <w:p w14:paraId="1D1E8662">
      <w:pPr>
        <w:spacing w:line="360" w:lineRule="auto"/>
        <w:jc w:val="center"/>
        <w:rPr>
          <w:rFonts w:ascii="宋体" w:hAnsi="宋体" w:eastAsia="宋体"/>
          <w:b/>
          <w:color w:val="auto"/>
          <w:sz w:val="40"/>
          <w:highlight w:val="none"/>
        </w:rPr>
      </w:pPr>
    </w:p>
    <w:p w14:paraId="7C7F9E5D">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第一条 制订依据</w:t>
      </w:r>
    </w:p>
    <w:p w14:paraId="2B1B9B7B">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为进一步规范招标投标行为，提高招标投标效率，充分利用信息网络技术，根据《中华人民共和国招标投标法》、《中华人民共和国政府采购法》、《中华人民共和国电子签名法》和《电子招标投标办法》等有关规定，并结合工作实际，制订本规程。</w:t>
      </w:r>
    </w:p>
    <w:p w14:paraId="6254A217">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p>
    <w:p w14:paraId="22A99D49">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第二条 电子招标投标</w:t>
      </w:r>
    </w:p>
    <w:p w14:paraId="2DCE8A6E">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本规程所</w:t>
      </w:r>
      <w:r>
        <w:rPr>
          <w:rFonts w:hint="eastAsia" w:ascii="宋体" w:hAnsi="宋体" w:eastAsia="宋体" w:cs="宋体"/>
          <w:color w:val="auto"/>
          <w:sz w:val="24"/>
          <w:szCs w:val="24"/>
          <w:highlight w:val="none"/>
          <w:lang w:val="en-US" w:eastAsia="zh-CN"/>
        </w:rPr>
        <w:t>指的电子招标投标，是指以数据电文形式，依托能工社—安招采电子招标采购交易系统</w:t>
      </w:r>
      <w:r>
        <w:rPr>
          <w:rFonts w:hint="eastAsia" w:ascii="宋体" w:hAnsi="宋体" w:eastAsia="宋体" w:cs="宋体"/>
          <w:color w:val="auto"/>
          <w:sz w:val="24"/>
          <w:szCs w:val="24"/>
          <w:highlight w:val="none"/>
        </w:rPr>
        <w:t>（www.anzhaocai.com）</w:t>
      </w:r>
      <w:r>
        <w:rPr>
          <w:rFonts w:hint="eastAsia" w:ascii="宋体" w:hAnsi="宋体" w:eastAsia="宋体" w:cs="宋体"/>
          <w:color w:val="auto"/>
          <w:sz w:val="24"/>
          <w:szCs w:val="24"/>
          <w:highlight w:val="none"/>
          <w:lang w:val="en-US" w:eastAsia="zh-CN"/>
        </w:rPr>
        <w:t>（以下简称安招采平台）完成的全部或者部分招标投标交易活动。</w:t>
      </w:r>
    </w:p>
    <w:p w14:paraId="76CC42AD">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p>
    <w:p w14:paraId="3A6D01C7">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第三条 适用范围</w:t>
      </w:r>
    </w:p>
    <w:p w14:paraId="32D9EAD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本规程适用于</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安招采平台</w:t>
      </w:r>
      <w:r>
        <w:rPr>
          <w:rFonts w:hint="eastAsia" w:ascii="宋体" w:hAnsi="宋体" w:eastAsia="宋体" w:cs="宋体"/>
          <w:color w:val="auto"/>
          <w:sz w:val="24"/>
          <w:szCs w:val="24"/>
          <w:highlight w:val="none"/>
          <w:lang w:eastAsia="zh-CN"/>
        </w:rPr>
        <w:t>实施</w:t>
      </w:r>
      <w:r>
        <w:rPr>
          <w:rFonts w:hint="eastAsia" w:ascii="宋体" w:hAnsi="宋体" w:eastAsia="宋体" w:cs="宋体"/>
          <w:color w:val="auto"/>
          <w:sz w:val="24"/>
          <w:szCs w:val="24"/>
          <w:highlight w:val="none"/>
        </w:rPr>
        <w:t>的所有全流程电子化交易项目。</w:t>
      </w:r>
    </w:p>
    <w:p w14:paraId="781FF50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p>
    <w:p w14:paraId="18671F41">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第四条 职责分工</w:t>
      </w:r>
    </w:p>
    <w:p w14:paraId="7F293B63">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招标人或招标代理机构负责电子招标投标项目的组织实施，安徽本末数据科技有限公司负责安招采平台的运行及服务保障。</w:t>
      </w:r>
    </w:p>
    <w:p w14:paraId="1D9CFDC0">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p>
    <w:p w14:paraId="6737F1F5">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第五条 信息注册</w:t>
      </w:r>
    </w:p>
    <w:p w14:paraId="5710E5E0">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首次使用安招采平台的投标人，应登陆www.anzhaocai.com网站，点击左上角“</w:t>
      </w:r>
      <w:r>
        <w:rPr>
          <w:rFonts w:hint="eastAsia" w:ascii="宋体" w:hAnsi="宋体" w:eastAsia="宋体" w:cs="宋体"/>
          <w:color w:val="auto"/>
          <w:sz w:val="24"/>
          <w:szCs w:val="24"/>
          <w:highlight w:val="none"/>
        </w:rPr>
        <w:t>注册</w:t>
      </w:r>
      <w:r>
        <w:rPr>
          <w:rFonts w:hint="eastAsia" w:ascii="宋体" w:hAnsi="宋体" w:eastAsia="宋体" w:cs="宋体"/>
          <w:color w:val="auto"/>
          <w:sz w:val="24"/>
          <w:szCs w:val="24"/>
          <w:highlight w:val="none"/>
          <w:lang w:val="en-US" w:eastAsia="zh-CN"/>
        </w:rPr>
        <w:t>”按钮，</w:t>
      </w:r>
      <w:r>
        <w:rPr>
          <w:rFonts w:hint="eastAsia" w:ascii="宋体" w:hAnsi="宋体" w:eastAsia="宋体" w:cs="宋体"/>
          <w:color w:val="auto"/>
          <w:sz w:val="24"/>
          <w:szCs w:val="24"/>
          <w:highlight w:val="none"/>
        </w:rPr>
        <w:t>进行注册并实名认证后方可参与项目交易。</w:t>
      </w:r>
      <w:r>
        <w:rPr>
          <w:rFonts w:hint="eastAsia" w:ascii="宋体" w:hAnsi="宋体" w:eastAsia="宋体" w:cs="宋体"/>
          <w:color w:val="auto"/>
          <w:sz w:val="24"/>
          <w:szCs w:val="24"/>
          <w:highlight w:val="none"/>
          <w:lang w:val="en-US" w:eastAsia="zh-CN"/>
        </w:rPr>
        <w:t>已有安招采平台账号的投标人，直接点击左上角“登陆”按钮，登陆后即</w:t>
      </w:r>
      <w:r>
        <w:rPr>
          <w:rFonts w:hint="eastAsia" w:ascii="宋体" w:hAnsi="宋体" w:eastAsia="宋体" w:cs="宋体"/>
          <w:color w:val="auto"/>
          <w:sz w:val="24"/>
          <w:szCs w:val="24"/>
          <w:highlight w:val="none"/>
        </w:rPr>
        <w:t>可参与项目交易</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因未及时办理注册手续影响参加</w:t>
      </w:r>
      <w:r>
        <w:rPr>
          <w:rFonts w:hint="eastAsia" w:ascii="宋体" w:hAnsi="宋体" w:eastAsia="宋体" w:cs="宋体"/>
          <w:color w:val="auto"/>
          <w:sz w:val="24"/>
          <w:szCs w:val="24"/>
          <w:highlight w:val="none"/>
          <w:lang w:val="en-US" w:eastAsia="zh-CN"/>
        </w:rPr>
        <w:t>项目交易</w:t>
      </w:r>
      <w:r>
        <w:rPr>
          <w:rFonts w:hint="eastAsia" w:ascii="宋体" w:hAnsi="宋体" w:eastAsia="宋体" w:cs="宋体"/>
          <w:color w:val="auto"/>
          <w:sz w:val="24"/>
          <w:szCs w:val="24"/>
          <w:highlight w:val="none"/>
        </w:rPr>
        <w:t>活动的，责任自负。</w:t>
      </w:r>
    </w:p>
    <w:p w14:paraId="75DB9FFD">
      <w:pPr>
        <w:keepNext w:val="0"/>
        <w:keepLines w:val="0"/>
        <w:pageBreakBefore w:val="0"/>
        <w:widowControl w:val="0"/>
        <w:kinsoku/>
        <w:wordWrap w:val="0"/>
        <w:overflowPunct/>
        <w:topLinePunct/>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lang w:eastAsia="zh-CN"/>
        </w:rPr>
      </w:pPr>
    </w:p>
    <w:p w14:paraId="43205221">
      <w:pPr>
        <w:keepNext w:val="0"/>
        <w:keepLines w:val="0"/>
        <w:pageBreakBefore w:val="0"/>
        <w:widowControl w:val="0"/>
        <w:kinsoku/>
        <w:wordWrap w:val="0"/>
        <w:overflowPunct/>
        <w:topLinePunct/>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eastAsia="zh-CN"/>
        </w:rPr>
        <w:t>第六条</w:t>
      </w:r>
      <w:r>
        <w:rPr>
          <w:rFonts w:hint="eastAsia" w:ascii="宋体" w:hAnsi="宋体" w:eastAsia="宋体" w:cs="宋体"/>
          <w:b/>
          <w:bCs/>
          <w:color w:val="auto"/>
          <w:sz w:val="24"/>
          <w:szCs w:val="24"/>
          <w:highlight w:val="none"/>
          <w:lang w:val="en-US" w:eastAsia="zh-CN"/>
        </w:rPr>
        <w:t xml:space="preserve"> CA办理</w:t>
      </w:r>
    </w:p>
    <w:p w14:paraId="2BC16178">
      <w:pPr>
        <w:keepNext w:val="0"/>
        <w:keepLines w:val="0"/>
        <w:pageBreakBefore w:val="0"/>
        <w:widowControl w:val="0"/>
        <w:kinsoku/>
        <w:wordWrap w:val="0"/>
        <w:overflowPunct/>
        <w:topLinePunct/>
        <w:autoSpaceDE/>
        <w:autoSpaceDN/>
        <w:bidi w:val="0"/>
        <w:adjustRightInd/>
        <w:snapToGrid/>
        <w:spacing w:line="500" w:lineRule="exact"/>
        <w:ind w:firstLine="480" w:firstLineChars="200"/>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潜在投标人须办理CA数字证书（以下简称CA），CA用于电子投标文件的签章</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加密及解密</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办理CA</w:t>
      </w:r>
      <w:r>
        <w:rPr>
          <w:rFonts w:hint="eastAsia" w:ascii="宋体" w:hAnsi="宋体" w:eastAsia="宋体" w:cs="宋体"/>
          <w:b w:val="0"/>
          <w:bCs w:val="0"/>
          <w:color w:val="auto"/>
          <w:sz w:val="24"/>
          <w:szCs w:val="24"/>
          <w:highlight w:val="none"/>
          <w:lang w:val="en-US" w:eastAsia="zh-CN"/>
        </w:rPr>
        <w:t>请</w:t>
      </w:r>
      <w:r>
        <w:rPr>
          <w:rFonts w:hint="eastAsia" w:ascii="宋体" w:hAnsi="宋体" w:eastAsia="宋体" w:cs="宋体"/>
          <w:b w:val="0"/>
          <w:bCs w:val="0"/>
          <w:color w:val="auto"/>
          <w:sz w:val="24"/>
          <w:szCs w:val="24"/>
          <w:highlight w:val="none"/>
        </w:rPr>
        <w:t>访问http://online.aheca.cn/ocss/portal/self-service点击</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在线新办</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，选择</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安招采</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进入</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并注册账号申请办理</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CA办理咨询</w:t>
      </w:r>
      <w:r>
        <w:rPr>
          <w:rFonts w:hint="eastAsia" w:ascii="宋体" w:hAnsi="宋体" w:eastAsia="宋体" w:cs="宋体"/>
          <w:b w:val="0"/>
          <w:bCs w:val="0"/>
          <w:color w:val="auto"/>
          <w:sz w:val="24"/>
          <w:szCs w:val="24"/>
          <w:highlight w:val="none"/>
          <w:lang w:val="en-US" w:eastAsia="zh-CN"/>
        </w:rPr>
        <w:t>电话</w:t>
      </w:r>
      <w:r>
        <w:rPr>
          <w:rFonts w:hint="eastAsia" w:ascii="宋体" w:hAnsi="宋体" w:eastAsia="宋体" w:cs="宋体"/>
          <w:b w:val="0"/>
          <w:bCs w:val="0"/>
          <w:color w:val="auto"/>
          <w:sz w:val="24"/>
          <w:szCs w:val="24"/>
          <w:highlight w:val="none"/>
        </w:rPr>
        <w:t>：400-880-4959</w:t>
      </w:r>
      <w:r>
        <w:rPr>
          <w:rFonts w:hint="eastAsia" w:ascii="宋体" w:hAnsi="宋体" w:eastAsia="宋体" w:cs="宋体"/>
          <w:b w:val="0"/>
          <w:bCs w:val="0"/>
          <w:color w:val="auto"/>
          <w:sz w:val="24"/>
          <w:szCs w:val="24"/>
          <w:highlight w:val="none"/>
          <w:lang w:val="en-US" w:eastAsia="zh-CN"/>
        </w:rPr>
        <w:t>或0551-63491661</w:t>
      </w:r>
      <w:r>
        <w:rPr>
          <w:rFonts w:hint="eastAsia" w:ascii="宋体" w:hAnsi="宋体" w:eastAsia="宋体" w:cs="宋体"/>
          <w:b w:val="0"/>
          <w:bCs w:val="0"/>
          <w:color w:val="auto"/>
          <w:sz w:val="24"/>
          <w:szCs w:val="24"/>
          <w:highlight w:val="none"/>
        </w:rPr>
        <w:t>。</w:t>
      </w:r>
    </w:p>
    <w:p w14:paraId="3D4EBD5C">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招标代理机构应</w:t>
      </w:r>
      <w:r>
        <w:rPr>
          <w:rFonts w:hint="eastAsia" w:ascii="宋体" w:hAnsi="宋体" w:eastAsia="宋体" w:cs="宋体"/>
          <w:color w:val="auto"/>
          <w:sz w:val="24"/>
          <w:szCs w:val="24"/>
          <w:highlight w:val="none"/>
        </w:rPr>
        <w:t>提前办理并妥善保管好CA锁，由于未办理CA锁或CA锁遗失、损坏、更换、续期等情况导致</w:t>
      </w:r>
      <w:r>
        <w:rPr>
          <w:rFonts w:hint="eastAsia" w:ascii="宋体" w:hAnsi="宋体" w:eastAsia="宋体" w:cs="宋体"/>
          <w:color w:val="auto"/>
          <w:sz w:val="24"/>
          <w:szCs w:val="24"/>
          <w:highlight w:val="none"/>
          <w:lang w:eastAsia="zh-CN"/>
        </w:rPr>
        <w:t>招标文件无法</w:t>
      </w:r>
      <w:r>
        <w:rPr>
          <w:rFonts w:hint="eastAsia" w:ascii="宋体" w:hAnsi="宋体" w:eastAsia="宋体" w:cs="宋体"/>
          <w:color w:val="auto"/>
          <w:sz w:val="24"/>
          <w:szCs w:val="24"/>
          <w:highlight w:val="none"/>
        </w:rPr>
        <w:t>签章或，由</w:t>
      </w:r>
      <w:r>
        <w:rPr>
          <w:rFonts w:hint="eastAsia" w:ascii="宋体" w:hAnsi="宋体" w:eastAsia="宋体" w:cs="宋体"/>
          <w:color w:val="auto"/>
          <w:sz w:val="24"/>
          <w:szCs w:val="24"/>
          <w:highlight w:val="none"/>
          <w:lang w:eastAsia="zh-CN"/>
        </w:rPr>
        <w:t>招标代理机构</w:t>
      </w:r>
      <w:r>
        <w:rPr>
          <w:rFonts w:hint="eastAsia" w:ascii="宋体" w:hAnsi="宋体" w:eastAsia="宋体" w:cs="宋体"/>
          <w:color w:val="auto"/>
          <w:sz w:val="24"/>
          <w:szCs w:val="24"/>
          <w:highlight w:val="none"/>
        </w:rPr>
        <w:t>自行承担责任。</w:t>
      </w:r>
    </w:p>
    <w:p w14:paraId="2D292B74">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潜在</w:t>
      </w:r>
      <w:r>
        <w:rPr>
          <w:rFonts w:hint="eastAsia" w:ascii="宋体" w:hAnsi="宋体" w:eastAsia="宋体" w:cs="宋体"/>
          <w:color w:val="auto"/>
          <w:sz w:val="24"/>
          <w:szCs w:val="24"/>
          <w:highlight w:val="none"/>
        </w:rPr>
        <w:t>投标人应提前办理并妥善保管好CA锁，由于未办理CA锁或CA锁遗失、损坏、更换、续期等情况导致投标文件无法加密、签章或解密，由</w:t>
      </w:r>
      <w:r>
        <w:rPr>
          <w:rFonts w:hint="eastAsia" w:ascii="宋体" w:hAnsi="宋体" w:eastAsia="宋体" w:cs="宋体"/>
          <w:color w:val="auto"/>
          <w:sz w:val="24"/>
          <w:szCs w:val="24"/>
          <w:highlight w:val="none"/>
          <w:lang w:eastAsia="zh-CN"/>
        </w:rPr>
        <w:t>潜在</w:t>
      </w:r>
      <w:r>
        <w:rPr>
          <w:rFonts w:hint="eastAsia" w:ascii="宋体" w:hAnsi="宋体" w:eastAsia="宋体" w:cs="宋体"/>
          <w:color w:val="auto"/>
          <w:sz w:val="24"/>
          <w:szCs w:val="24"/>
          <w:highlight w:val="none"/>
        </w:rPr>
        <w:t>投标人自行承担责任。</w:t>
      </w:r>
    </w:p>
    <w:p w14:paraId="56361BC4">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lang w:eastAsia="zh-CN"/>
        </w:rPr>
      </w:pPr>
    </w:p>
    <w:p w14:paraId="34409538">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eastAsia="zh-CN"/>
        </w:rPr>
        <w:t>第七条</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投标文件制作工具</w:t>
      </w:r>
      <w:r>
        <w:rPr>
          <w:rFonts w:hint="eastAsia" w:ascii="宋体" w:hAnsi="宋体" w:eastAsia="宋体" w:cs="宋体"/>
          <w:b/>
          <w:bCs/>
          <w:color w:val="auto"/>
          <w:sz w:val="24"/>
          <w:szCs w:val="24"/>
          <w:highlight w:val="none"/>
          <w:lang w:val="en-US" w:eastAsia="zh-CN"/>
        </w:rPr>
        <w:t>下载</w:t>
      </w:r>
    </w:p>
    <w:p w14:paraId="01C5054E">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z w:val="24"/>
          <w:szCs w:val="24"/>
          <w:highlight w:val="none"/>
        </w:rPr>
        <w:t>电子投标文件须使用“投标文件制作工具”制作</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生成并上传。潜在投标人必须</w:t>
      </w:r>
      <w:r>
        <w:rPr>
          <w:rFonts w:hint="eastAsia" w:ascii="宋体" w:hAnsi="宋体" w:eastAsia="宋体" w:cs="宋体"/>
          <w:b w:val="0"/>
          <w:bCs w:val="0"/>
          <w:color w:val="auto"/>
          <w:sz w:val="24"/>
          <w:szCs w:val="24"/>
          <w:highlight w:val="none"/>
          <w:lang w:val="en-US" w:eastAsia="zh-CN"/>
        </w:rPr>
        <w:t>登陆</w:t>
      </w:r>
      <w:r>
        <w:rPr>
          <w:rFonts w:hint="eastAsia" w:ascii="宋体" w:hAnsi="宋体" w:eastAsia="宋体" w:cs="宋体"/>
          <w:color w:val="auto"/>
          <w:sz w:val="24"/>
          <w:szCs w:val="24"/>
          <w:highlight w:val="none"/>
          <w:lang w:val="en-US" w:eastAsia="zh-CN"/>
        </w:rPr>
        <w:t>安招采平台，点击左侧边栏“概要”，在左下角“</w:t>
      </w:r>
      <w:r>
        <w:rPr>
          <w:rFonts w:hint="eastAsia" w:ascii="宋体" w:hAnsi="宋体" w:eastAsia="宋体" w:cs="宋体"/>
          <w:color w:val="auto"/>
          <w:sz w:val="24"/>
          <w:szCs w:val="24"/>
          <w:highlight w:val="none"/>
        </w:rPr>
        <w:t>订阅/资源</w:t>
      </w:r>
      <w:r>
        <w:rPr>
          <w:rFonts w:hint="eastAsia" w:ascii="宋体" w:hAnsi="宋体" w:eastAsia="宋体" w:cs="宋体"/>
          <w:color w:val="auto"/>
          <w:sz w:val="24"/>
          <w:szCs w:val="24"/>
          <w:highlight w:val="none"/>
          <w:lang w:val="en-US" w:eastAsia="zh-CN"/>
        </w:rPr>
        <w:t>”中下载“CA驱动”和“投标文件制作工具”。</w:t>
      </w:r>
      <w:r>
        <w:rPr>
          <w:rFonts w:hint="eastAsia" w:ascii="宋体" w:hAnsi="宋体" w:eastAsia="宋体" w:cs="宋体"/>
          <w:color w:val="auto"/>
          <w:sz w:val="24"/>
          <w:szCs w:val="24"/>
          <w:highlight w:val="none"/>
        </w:rPr>
        <w:t>投标文件制作工具允许离线编制投标文件，并具备加密</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签章等功能。</w:t>
      </w:r>
    </w:p>
    <w:p w14:paraId="1B7BEAD0">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b/>
          <w:bCs/>
          <w:color w:val="auto"/>
          <w:sz w:val="24"/>
          <w:szCs w:val="24"/>
          <w:highlight w:val="none"/>
          <w:lang w:val="en-US" w:eastAsia="zh-CN"/>
        </w:rPr>
      </w:pPr>
    </w:p>
    <w:p w14:paraId="2A716A47">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第八条 招标文件获取</w:t>
      </w:r>
    </w:p>
    <w:p w14:paraId="16DBA38E">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z w:val="24"/>
          <w:szCs w:val="24"/>
          <w:highlight w:val="none"/>
        </w:rPr>
        <w:t>潜在投标人必须在获取</w:t>
      </w:r>
      <w:r>
        <w:rPr>
          <w:rFonts w:hint="eastAsia" w:ascii="宋体" w:hAnsi="宋体" w:eastAsia="宋体" w:cs="宋体"/>
          <w:b w:val="0"/>
          <w:bCs w:val="0"/>
          <w:color w:val="auto"/>
          <w:sz w:val="24"/>
          <w:szCs w:val="24"/>
          <w:highlight w:val="none"/>
          <w:lang w:val="en-US" w:eastAsia="zh-CN"/>
        </w:rPr>
        <w:t>招标文件</w:t>
      </w:r>
      <w:r>
        <w:rPr>
          <w:rFonts w:hint="eastAsia" w:ascii="宋体" w:hAnsi="宋体" w:eastAsia="宋体" w:cs="宋体"/>
          <w:b w:val="0"/>
          <w:bCs w:val="0"/>
          <w:color w:val="auto"/>
          <w:sz w:val="24"/>
          <w:szCs w:val="24"/>
          <w:highlight w:val="none"/>
        </w:rPr>
        <w:t>时间</w:t>
      </w:r>
      <w:r>
        <w:rPr>
          <w:rFonts w:hint="eastAsia" w:ascii="宋体" w:hAnsi="宋体" w:eastAsia="宋体" w:cs="宋体"/>
          <w:b w:val="0"/>
          <w:bCs w:val="0"/>
          <w:color w:val="auto"/>
          <w:sz w:val="24"/>
          <w:szCs w:val="24"/>
          <w:highlight w:val="none"/>
          <w:lang w:val="en-US" w:eastAsia="zh-CN"/>
        </w:rPr>
        <w:t>内，登陆</w:t>
      </w:r>
      <w:r>
        <w:rPr>
          <w:rFonts w:hint="eastAsia" w:ascii="宋体" w:hAnsi="宋体" w:eastAsia="宋体" w:cs="宋体"/>
          <w:color w:val="auto"/>
          <w:sz w:val="24"/>
          <w:szCs w:val="24"/>
          <w:highlight w:val="none"/>
          <w:lang w:val="en-US" w:eastAsia="zh-CN"/>
        </w:rPr>
        <w:t>安招采平台</w:t>
      </w:r>
      <w:r>
        <w:rPr>
          <w:rFonts w:hint="eastAsia" w:ascii="宋体" w:hAnsi="宋体" w:eastAsia="宋体" w:cs="宋体"/>
          <w:color w:val="auto"/>
          <w:sz w:val="24"/>
          <w:szCs w:val="24"/>
          <w:highlight w:val="none"/>
        </w:rPr>
        <w:t>完成招标文件获取（包括参与项目</w:t>
      </w:r>
      <w:r>
        <w:rPr>
          <w:rFonts w:hint="eastAsia" w:ascii="宋体" w:hAnsi="宋体" w:eastAsia="宋体" w:cs="宋体"/>
          <w:color w:val="auto"/>
          <w:sz w:val="24"/>
          <w:szCs w:val="24"/>
          <w:highlight w:val="none"/>
          <w:lang w:val="en-US" w:eastAsia="zh-CN"/>
        </w:rPr>
        <w:t>和</w:t>
      </w:r>
      <w:r>
        <w:rPr>
          <w:rFonts w:hint="eastAsia" w:ascii="宋体" w:hAnsi="宋体" w:eastAsia="宋体" w:cs="宋体"/>
          <w:color w:val="auto"/>
          <w:sz w:val="24"/>
          <w:szCs w:val="24"/>
          <w:highlight w:val="none"/>
        </w:rPr>
        <w:t>获取文件），否则</w:t>
      </w:r>
      <w:r>
        <w:rPr>
          <w:rFonts w:hint="eastAsia" w:ascii="宋体" w:hAnsi="宋体" w:eastAsia="宋体" w:cs="宋体"/>
          <w:color w:val="auto"/>
          <w:sz w:val="24"/>
          <w:szCs w:val="24"/>
          <w:highlight w:val="none"/>
          <w:lang w:val="en-US" w:eastAsia="zh-CN"/>
        </w:rPr>
        <w:t>评审时将被视为</w:t>
      </w:r>
      <w:r>
        <w:rPr>
          <w:rFonts w:hint="eastAsia" w:ascii="宋体" w:hAnsi="宋体" w:eastAsia="宋体" w:cs="宋体"/>
          <w:color w:val="auto"/>
          <w:sz w:val="24"/>
          <w:szCs w:val="24"/>
          <w:highlight w:val="none"/>
        </w:rPr>
        <w:t>投标无效。</w:t>
      </w:r>
      <w:r>
        <w:rPr>
          <w:rFonts w:hint="eastAsia" w:ascii="宋体" w:hAnsi="宋体" w:eastAsia="宋体" w:cs="宋体"/>
          <w:color w:val="auto"/>
          <w:sz w:val="24"/>
          <w:szCs w:val="24"/>
          <w:highlight w:val="none"/>
          <w:lang w:val="en-US" w:eastAsia="zh-CN"/>
        </w:rPr>
        <w:t>文件</w:t>
      </w:r>
      <w:r>
        <w:rPr>
          <w:rFonts w:hint="eastAsia" w:ascii="宋体" w:hAnsi="宋体" w:eastAsia="宋体" w:cs="宋体"/>
          <w:color w:val="auto"/>
          <w:sz w:val="24"/>
          <w:szCs w:val="24"/>
          <w:highlight w:val="none"/>
        </w:rPr>
        <w:t>获取过程中</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如</w:t>
      </w:r>
      <w:r>
        <w:rPr>
          <w:rFonts w:hint="eastAsia" w:ascii="宋体" w:hAnsi="宋体" w:eastAsia="宋体" w:cs="宋体"/>
          <w:color w:val="auto"/>
          <w:sz w:val="24"/>
          <w:szCs w:val="24"/>
          <w:highlight w:val="none"/>
        </w:rPr>
        <w:t>有任何疑问</w:t>
      </w:r>
      <w:r>
        <w:rPr>
          <w:rFonts w:hint="eastAsia" w:ascii="宋体" w:hAnsi="宋体" w:eastAsia="宋体" w:cs="宋体"/>
          <w:color w:val="auto"/>
          <w:sz w:val="24"/>
          <w:szCs w:val="24"/>
          <w:highlight w:val="none"/>
          <w:lang w:val="en-US" w:eastAsia="zh-CN"/>
        </w:rPr>
        <w:t>请咨询</w:t>
      </w:r>
      <w:r>
        <w:rPr>
          <w:rFonts w:hint="eastAsia" w:ascii="宋体" w:hAnsi="宋体" w:eastAsia="宋体" w:cs="宋体"/>
          <w:color w:val="auto"/>
          <w:sz w:val="24"/>
          <w:szCs w:val="24"/>
          <w:highlight w:val="none"/>
        </w:rPr>
        <w:t>电话：400-800-6335。潜在投标人应合理安排招标文件获取时间，如果因</w:t>
      </w:r>
      <w:r>
        <w:rPr>
          <w:rFonts w:hint="eastAsia" w:ascii="宋体" w:hAnsi="宋体" w:eastAsia="宋体" w:cs="宋体"/>
          <w:color w:val="auto"/>
          <w:sz w:val="24"/>
          <w:szCs w:val="24"/>
          <w:highlight w:val="none"/>
          <w:lang w:val="en-US" w:eastAsia="zh-CN"/>
        </w:rPr>
        <w:t>获取延误、</w:t>
      </w:r>
      <w:r>
        <w:rPr>
          <w:rFonts w:hint="eastAsia" w:ascii="宋体" w:hAnsi="宋体" w:eastAsia="宋体" w:cs="宋体"/>
          <w:color w:val="auto"/>
          <w:sz w:val="24"/>
          <w:szCs w:val="24"/>
          <w:highlight w:val="none"/>
        </w:rPr>
        <w:t>计算机及网络故障造成无法完成招标文件获取，责任自负。</w:t>
      </w:r>
    </w:p>
    <w:p w14:paraId="35F5CAFB">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平台在线缴费需要</w:t>
      </w:r>
      <w:r>
        <w:rPr>
          <w:rFonts w:hint="eastAsia" w:ascii="宋体" w:hAnsi="宋体" w:eastAsia="宋体" w:cs="宋体"/>
          <w:color w:val="auto"/>
          <w:sz w:val="24"/>
          <w:szCs w:val="24"/>
          <w:highlight w:val="none"/>
          <w:lang w:eastAsia="zh-CN"/>
        </w:rPr>
        <w:t>潜在</w:t>
      </w:r>
      <w:r>
        <w:rPr>
          <w:rFonts w:hint="eastAsia" w:ascii="宋体" w:hAnsi="宋体" w:eastAsia="宋体" w:cs="宋体"/>
          <w:color w:val="auto"/>
          <w:sz w:val="24"/>
          <w:szCs w:val="24"/>
          <w:highlight w:val="none"/>
        </w:rPr>
        <w:t>投标人提前开通企业账户，在安招采平台企业账户菜单中设置提现账户即可完成开通，开通企业账户不需要充值任何费用。</w:t>
      </w:r>
    </w:p>
    <w:p w14:paraId="6F91F24E">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p>
    <w:p w14:paraId="12F261E5">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rPr>
        <w:t>第</w:t>
      </w:r>
      <w:r>
        <w:rPr>
          <w:rFonts w:hint="eastAsia" w:ascii="宋体" w:hAnsi="宋体" w:eastAsia="宋体" w:cs="宋体"/>
          <w:b/>
          <w:bCs/>
          <w:color w:val="auto"/>
          <w:sz w:val="24"/>
          <w:szCs w:val="24"/>
          <w:highlight w:val="none"/>
          <w:lang w:eastAsia="zh-CN"/>
        </w:rPr>
        <w:t>九</w:t>
      </w:r>
      <w:r>
        <w:rPr>
          <w:rFonts w:hint="eastAsia" w:ascii="宋体" w:hAnsi="宋体" w:eastAsia="宋体" w:cs="宋体"/>
          <w:b/>
          <w:bCs/>
          <w:color w:val="auto"/>
          <w:sz w:val="24"/>
          <w:szCs w:val="24"/>
          <w:highlight w:val="none"/>
        </w:rPr>
        <w:t>条 投标文件制作</w:t>
      </w:r>
      <w:r>
        <w:rPr>
          <w:rFonts w:hint="eastAsia" w:ascii="宋体" w:hAnsi="宋体" w:eastAsia="宋体" w:cs="宋体"/>
          <w:b/>
          <w:bCs/>
          <w:color w:val="auto"/>
          <w:sz w:val="24"/>
          <w:szCs w:val="24"/>
          <w:highlight w:val="none"/>
          <w:lang w:eastAsia="zh-CN"/>
        </w:rPr>
        <w:t>、上传</w:t>
      </w:r>
    </w:p>
    <w:p w14:paraId="5BD14B77">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投标人使用投标文件制作工具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按招标文件要求制作</w:t>
      </w:r>
      <w:r>
        <w:rPr>
          <w:rFonts w:hint="eastAsia" w:ascii="宋体" w:hAnsi="宋体" w:eastAsia="宋体" w:cs="宋体"/>
          <w:color w:val="auto"/>
          <w:sz w:val="24"/>
          <w:szCs w:val="24"/>
          <w:highlight w:val="none"/>
          <w:lang w:val="en-US" w:eastAsia="zh-CN"/>
        </w:rPr>
        <w:t>电子</w:t>
      </w:r>
      <w:r>
        <w:rPr>
          <w:rFonts w:hint="eastAsia" w:ascii="宋体" w:hAnsi="宋体" w:eastAsia="宋体" w:cs="宋体"/>
          <w:color w:val="auto"/>
          <w:sz w:val="24"/>
          <w:szCs w:val="24"/>
          <w:highlight w:val="none"/>
        </w:rPr>
        <w:t>投标文件</w:t>
      </w:r>
      <w:r>
        <w:rPr>
          <w:rFonts w:hint="eastAsia" w:ascii="宋体" w:hAnsi="宋体" w:eastAsia="宋体" w:cs="宋体"/>
          <w:color w:val="auto"/>
          <w:sz w:val="24"/>
          <w:szCs w:val="24"/>
          <w:highlight w:val="none"/>
          <w:lang w:eastAsia="zh-CN"/>
        </w:rPr>
        <w:t>。投标文件制作完成后，</w:t>
      </w:r>
      <w:r>
        <w:rPr>
          <w:rFonts w:hint="eastAsia" w:ascii="宋体" w:hAnsi="宋体" w:eastAsia="宋体" w:cs="宋体"/>
          <w:color w:val="auto"/>
          <w:sz w:val="24"/>
          <w:szCs w:val="24"/>
          <w:highlight w:val="none"/>
        </w:rPr>
        <w:t>生成加密和</w:t>
      </w:r>
      <w:r>
        <w:rPr>
          <w:rFonts w:hint="eastAsia" w:ascii="宋体" w:hAnsi="宋体" w:eastAsia="宋体" w:cs="宋体"/>
          <w:color w:val="auto"/>
          <w:sz w:val="24"/>
          <w:szCs w:val="24"/>
          <w:highlight w:val="none"/>
          <w:lang w:eastAsia="zh-CN"/>
        </w:rPr>
        <w:t>未加密</w:t>
      </w:r>
      <w:r>
        <w:rPr>
          <w:rFonts w:hint="eastAsia" w:ascii="宋体" w:hAnsi="宋体" w:eastAsia="宋体" w:cs="宋体"/>
          <w:color w:val="auto"/>
          <w:sz w:val="24"/>
          <w:szCs w:val="24"/>
          <w:highlight w:val="none"/>
        </w:rPr>
        <w:t>文件各一份</w:t>
      </w:r>
      <w:r>
        <w:rPr>
          <w:rFonts w:hint="eastAsia" w:ascii="宋体" w:hAnsi="宋体" w:eastAsia="宋体" w:cs="宋体"/>
          <w:color w:val="auto"/>
          <w:sz w:val="24"/>
          <w:szCs w:val="24"/>
          <w:highlight w:val="none"/>
          <w:lang w:eastAsia="zh-CN"/>
        </w:rPr>
        <w:t>。</w:t>
      </w:r>
    </w:p>
    <w:p w14:paraId="72C9DE7C">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投标人需要在招标文件规定的投标截止时间前</w:t>
      </w:r>
      <w:r>
        <w:rPr>
          <w:rFonts w:hint="eastAsia" w:ascii="宋体" w:hAnsi="宋体" w:eastAsia="宋体" w:cs="宋体"/>
          <w:color w:val="auto"/>
          <w:sz w:val="24"/>
          <w:szCs w:val="24"/>
          <w:highlight w:val="none"/>
          <w:lang w:val="en-US" w:eastAsia="zh-CN"/>
        </w:rPr>
        <w:t>并在</w:t>
      </w:r>
      <w:r>
        <w:rPr>
          <w:rFonts w:hint="eastAsia" w:ascii="宋体" w:hAnsi="宋体" w:eastAsia="宋体" w:cs="宋体"/>
          <w:color w:val="auto"/>
          <w:sz w:val="24"/>
          <w:szCs w:val="24"/>
          <w:highlight w:val="none"/>
        </w:rPr>
        <w:t>投标截止时间前</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登陆安招采平台</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上传经过</w:t>
      </w:r>
      <w:r>
        <w:rPr>
          <w:rFonts w:hint="eastAsia" w:ascii="宋体" w:hAnsi="宋体" w:eastAsia="宋体" w:cs="宋体"/>
          <w:color w:val="auto"/>
          <w:sz w:val="24"/>
          <w:szCs w:val="24"/>
          <w:highlight w:val="none"/>
          <w:lang w:val="en-US" w:eastAsia="zh-CN"/>
        </w:rPr>
        <w:t>CA</w:t>
      </w:r>
      <w:r>
        <w:rPr>
          <w:rFonts w:hint="eastAsia" w:ascii="宋体" w:hAnsi="宋体" w:eastAsia="宋体" w:cs="宋体"/>
          <w:color w:val="auto"/>
          <w:sz w:val="24"/>
          <w:szCs w:val="24"/>
          <w:highlight w:val="none"/>
        </w:rPr>
        <w:t>签章并加密的投标文件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方可视为成功参与投标</w:t>
      </w:r>
      <w:r>
        <w:rPr>
          <w:rFonts w:hint="eastAsia" w:ascii="宋体" w:hAnsi="宋体" w:eastAsia="宋体" w:cs="宋体"/>
          <w:color w:val="auto"/>
          <w:sz w:val="24"/>
          <w:szCs w:val="24"/>
          <w:highlight w:val="none"/>
        </w:rPr>
        <w:t>。逾期系统将自动关闭上传功能，未完成上传的投标文件将被拒绝。</w:t>
      </w:r>
    </w:p>
    <w:p w14:paraId="29A7CE76">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投标人在投标截止时间前，可以对其所上传的投标文件进行修改并重新上传，但以投标截止时间前完成上传的投标文件为唯一有效投标文件。投标截止时间后，平台将不接受投标文件上传。</w:t>
      </w:r>
    </w:p>
    <w:p w14:paraId="0F3900C8">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不同投标人制作或上传投标文件电脑文件制作机器码一致的，视为投标人相互串通投标并对投标人依法进行相应的处理，其投标文件</w:t>
      </w:r>
      <w:r>
        <w:rPr>
          <w:rFonts w:hint="eastAsia" w:ascii="宋体" w:hAnsi="宋体" w:eastAsia="宋体" w:cs="宋体"/>
          <w:color w:val="auto"/>
          <w:sz w:val="24"/>
          <w:szCs w:val="24"/>
          <w:highlight w:val="none"/>
          <w:lang w:eastAsia="zh-CN"/>
        </w:rPr>
        <w:t>按无效投标</w:t>
      </w:r>
      <w:r>
        <w:rPr>
          <w:rFonts w:hint="eastAsia" w:ascii="宋体" w:hAnsi="宋体" w:eastAsia="宋体" w:cs="宋体"/>
          <w:color w:val="auto"/>
          <w:sz w:val="24"/>
          <w:szCs w:val="24"/>
          <w:highlight w:val="none"/>
        </w:rPr>
        <w:t>处理。</w:t>
      </w:r>
    </w:p>
    <w:p w14:paraId="241DEDF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p>
    <w:p w14:paraId="4BCCBB8D">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第十条 开标环节</w:t>
      </w:r>
    </w:p>
    <w:p w14:paraId="1C7330AD">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投标人须按照招标文件的要求，在投标文件递交截止时间（开标时间）前登录安招采平台并保持在线，直到项目评审结束。</w:t>
      </w:r>
    </w:p>
    <w:p w14:paraId="017EABBD">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投标人必须在开标后的</w:t>
      </w:r>
      <w:r>
        <w:rPr>
          <w:rFonts w:hint="eastAsia" w:ascii="宋体" w:hAnsi="宋体" w:eastAsia="宋体" w:cs="宋体"/>
          <w:color w:val="auto"/>
          <w:sz w:val="24"/>
          <w:szCs w:val="24"/>
          <w:highlight w:val="none"/>
          <w:lang w:eastAsia="zh-CN"/>
        </w:rPr>
        <w:t>规定时间</w:t>
      </w:r>
      <w:r>
        <w:rPr>
          <w:rFonts w:hint="eastAsia" w:ascii="宋体" w:hAnsi="宋体" w:eastAsia="宋体" w:cs="宋体"/>
          <w:color w:val="auto"/>
          <w:sz w:val="24"/>
          <w:szCs w:val="24"/>
          <w:highlight w:val="none"/>
        </w:rPr>
        <w:t>内完成投标文件解密（加密和解密须用同一把</w:t>
      </w:r>
      <w:r>
        <w:rPr>
          <w:rFonts w:hint="eastAsia" w:ascii="宋体" w:hAnsi="宋体" w:eastAsia="宋体" w:cs="宋体"/>
          <w:color w:val="auto"/>
          <w:sz w:val="24"/>
          <w:szCs w:val="24"/>
          <w:highlight w:val="none"/>
          <w:lang w:val="en-US" w:eastAsia="zh-CN"/>
        </w:rPr>
        <w:t>CA</w:t>
      </w:r>
      <w:r>
        <w:rPr>
          <w:rFonts w:hint="eastAsia" w:ascii="宋体" w:hAnsi="宋体" w:eastAsia="宋体" w:cs="宋体"/>
          <w:color w:val="auto"/>
          <w:sz w:val="24"/>
          <w:szCs w:val="24"/>
          <w:highlight w:val="none"/>
        </w:rPr>
        <w:t>证书）。投标人未在规定时间内完成解密的视为其放弃投标。（招标文件中规定允许使用补救措施的项目除外）</w:t>
      </w:r>
    </w:p>
    <w:p w14:paraId="7877FF70">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未能成功解密的投标人，如招标文件中允许</w:t>
      </w:r>
      <w:r>
        <w:rPr>
          <w:rFonts w:hint="eastAsia" w:ascii="宋体" w:hAnsi="宋体" w:eastAsia="宋体" w:cs="宋体"/>
          <w:color w:val="auto"/>
          <w:sz w:val="24"/>
          <w:szCs w:val="24"/>
          <w:highlight w:val="none"/>
          <w:lang w:eastAsia="zh-CN"/>
        </w:rPr>
        <w:t>以</w:t>
      </w:r>
      <w:r>
        <w:rPr>
          <w:rFonts w:hint="eastAsia" w:ascii="宋体" w:hAnsi="宋体" w:eastAsia="宋体" w:cs="宋体"/>
          <w:color w:val="auto"/>
          <w:sz w:val="24"/>
          <w:szCs w:val="24"/>
          <w:highlight w:val="none"/>
        </w:rPr>
        <w:t>未加密文件作为补救的，投标人应及时</w:t>
      </w:r>
      <w:r>
        <w:rPr>
          <w:rFonts w:hint="eastAsia" w:ascii="宋体" w:hAnsi="宋体" w:eastAsia="宋体" w:cs="宋体"/>
          <w:color w:val="auto"/>
          <w:sz w:val="24"/>
          <w:szCs w:val="24"/>
          <w:highlight w:val="none"/>
          <w:lang w:eastAsia="zh-CN"/>
        </w:rPr>
        <w:t>与代理机构联系，导入未</w:t>
      </w:r>
      <w:r>
        <w:rPr>
          <w:rFonts w:hint="eastAsia" w:ascii="宋体" w:hAnsi="宋体" w:eastAsia="宋体" w:cs="宋体"/>
          <w:color w:val="auto"/>
          <w:sz w:val="24"/>
          <w:szCs w:val="24"/>
          <w:highlight w:val="none"/>
        </w:rPr>
        <w:t>加密</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rPr>
        <w:t>投标文件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如果系统识别</w:t>
      </w:r>
      <w:r>
        <w:rPr>
          <w:rFonts w:hint="eastAsia" w:ascii="宋体" w:hAnsi="宋体" w:eastAsia="宋体" w:cs="宋体"/>
          <w:color w:val="auto"/>
          <w:sz w:val="24"/>
          <w:szCs w:val="24"/>
          <w:highlight w:val="none"/>
          <w:lang w:eastAsia="zh-CN"/>
        </w:rPr>
        <w:t>未加密</w:t>
      </w:r>
      <w:r>
        <w:rPr>
          <w:rFonts w:hint="eastAsia" w:ascii="宋体" w:hAnsi="宋体" w:eastAsia="宋体" w:cs="宋体"/>
          <w:color w:val="auto"/>
          <w:sz w:val="24"/>
          <w:szCs w:val="24"/>
          <w:highlight w:val="none"/>
        </w:rPr>
        <w:t>文件与加密文件的识别码不一致，系统将拒绝导入。</w:t>
      </w:r>
    </w:p>
    <w:p w14:paraId="12C183FA">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color w:val="auto"/>
          <w:sz w:val="24"/>
          <w:szCs w:val="24"/>
          <w:highlight w:val="none"/>
        </w:rPr>
      </w:pPr>
    </w:p>
    <w:p w14:paraId="2A3AF487">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w:t>
      </w:r>
      <w:r>
        <w:rPr>
          <w:rFonts w:hint="eastAsia" w:ascii="宋体" w:hAnsi="宋体" w:eastAsia="宋体" w:cs="宋体"/>
          <w:b/>
          <w:bCs/>
          <w:color w:val="auto"/>
          <w:sz w:val="24"/>
          <w:szCs w:val="24"/>
          <w:highlight w:val="none"/>
          <w:lang w:eastAsia="zh-CN"/>
        </w:rPr>
        <w:t>一</w:t>
      </w:r>
      <w:r>
        <w:rPr>
          <w:rFonts w:hint="eastAsia" w:ascii="宋体" w:hAnsi="宋体" w:eastAsia="宋体" w:cs="宋体"/>
          <w:b/>
          <w:bCs/>
          <w:color w:val="auto"/>
          <w:sz w:val="24"/>
          <w:szCs w:val="24"/>
          <w:highlight w:val="none"/>
        </w:rPr>
        <w:t>条 评标环节</w:t>
      </w:r>
    </w:p>
    <w:p w14:paraId="29C501CE">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招标人或代理机构组织评标，评标委员会依据招标文件规定的评标办法进行电子评标，并对评标结果签字或电子签名确认。</w:t>
      </w:r>
    </w:p>
    <w:p w14:paraId="1EB570F8">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评标过程中，评标委员会通过安招采平台将需要澄清、说明或补正的内容以询标函的形式发送给投标人，投标人应登录安招采平台并保持在线状态，以便及时接收评标委员会可能发出的询标函，并在规定的时间内通过安招采平台进行回复，若投标人未及时回复，视为放弃澄清。</w:t>
      </w:r>
    </w:p>
    <w:p w14:paraId="5794A612">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多轮报价应由投标人在安招采平台接收到</w:t>
      </w:r>
      <w:r>
        <w:rPr>
          <w:rFonts w:hint="eastAsia" w:ascii="宋体" w:hAnsi="宋体" w:eastAsia="宋体" w:cs="宋体"/>
          <w:color w:val="auto"/>
          <w:sz w:val="24"/>
          <w:szCs w:val="24"/>
          <w:highlight w:val="none"/>
          <w:lang w:eastAsia="zh-CN"/>
        </w:rPr>
        <w:t>评标委员会</w:t>
      </w:r>
      <w:r>
        <w:rPr>
          <w:rFonts w:hint="eastAsia" w:ascii="宋体" w:hAnsi="宋体" w:eastAsia="宋体" w:cs="宋体"/>
          <w:color w:val="auto"/>
          <w:sz w:val="24"/>
          <w:szCs w:val="24"/>
          <w:highlight w:val="none"/>
        </w:rPr>
        <w:t>发出的报价指令后按要求进行报价。</w:t>
      </w:r>
    </w:p>
    <w:p w14:paraId="1F5F9FC9">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项目评审中，投标文件如出现下列情况的，应终止对投标文件做进一步的评审，并作</w:t>
      </w:r>
      <w:r>
        <w:rPr>
          <w:rFonts w:hint="eastAsia" w:ascii="宋体" w:hAnsi="宋体" w:eastAsia="宋体" w:cs="宋体"/>
          <w:color w:val="auto"/>
          <w:sz w:val="24"/>
          <w:szCs w:val="24"/>
          <w:highlight w:val="none"/>
          <w:lang w:eastAsia="zh-CN"/>
        </w:rPr>
        <w:t>投标无效</w:t>
      </w:r>
      <w:r>
        <w:rPr>
          <w:rFonts w:hint="eastAsia" w:ascii="宋体" w:hAnsi="宋体" w:eastAsia="宋体" w:cs="宋体"/>
          <w:color w:val="auto"/>
          <w:sz w:val="24"/>
          <w:szCs w:val="24"/>
          <w:highlight w:val="none"/>
        </w:rPr>
        <w:t>处理：</w:t>
      </w:r>
    </w:p>
    <w:p w14:paraId="783862D7">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（一）投标文件无法打开或不完整的；</w:t>
      </w:r>
    </w:p>
    <w:p w14:paraId="09E14A34">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（二）投标文件中携带病毒并造成后果的；</w:t>
      </w:r>
    </w:p>
    <w:p w14:paraId="2BC639CB">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（三）恶意递交投标文件，企图造成网络堵塞或瘫痪的；</w:t>
      </w:r>
    </w:p>
    <w:p w14:paraId="4546A698">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（四）评</w:t>
      </w:r>
      <w:r>
        <w:rPr>
          <w:rFonts w:hint="eastAsia" w:ascii="宋体" w:hAnsi="宋体" w:eastAsia="宋体" w:cs="宋体"/>
          <w:color w:val="auto"/>
          <w:sz w:val="24"/>
          <w:szCs w:val="24"/>
          <w:highlight w:val="none"/>
          <w:lang w:eastAsia="zh-CN"/>
        </w:rPr>
        <w:t>标</w:t>
      </w:r>
      <w:r>
        <w:rPr>
          <w:rFonts w:hint="eastAsia" w:ascii="宋体" w:hAnsi="宋体" w:eastAsia="宋体" w:cs="宋体"/>
          <w:color w:val="auto"/>
          <w:sz w:val="24"/>
          <w:szCs w:val="24"/>
          <w:highlight w:val="none"/>
        </w:rPr>
        <w:t>委员会认定的其他</w:t>
      </w:r>
      <w:r>
        <w:rPr>
          <w:rFonts w:hint="eastAsia" w:ascii="宋体" w:hAnsi="宋体" w:eastAsia="宋体" w:cs="宋体"/>
          <w:color w:val="auto"/>
          <w:sz w:val="24"/>
          <w:szCs w:val="24"/>
          <w:highlight w:val="none"/>
          <w:lang w:eastAsia="zh-CN"/>
        </w:rPr>
        <w:t>投标无效的</w:t>
      </w:r>
      <w:r>
        <w:rPr>
          <w:rFonts w:hint="eastAsia" w:ascii="宋体" w:hAnsi="宋体" w:eastAsia="宋体" w:cs="宋体"/>
          <w:color w:val="auto"/>
          <w:sz w:val="24"/>
          <w:szCs w:val="24"/>
          <w:highlight w:val="none"/>
        </w:rPr>
        <w:t>情形。</w:t>
      </w:r>
    </w:p>
    <w:p w14:paraId="2BBDBDF3">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项目评审中，澄清文件如出现下列情况的，应终止对澄清文件做进一步的评审，视同放弃澄清：</w:t>
      </w:r>
    </w:p>
    <w:p w14:paraId="0FFFCAD4">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（一）澄清文件无法打开或不完整的；</w:t>
      </w:r>
    </w:p>
    <w:p w14:paraId="0B147C3D">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（二）澄清文件中携带病毒并造成后果的；</w:t>
      </w:r>
    </w:p>
    <w:p w14:paraId="4C344594">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（三）恶意递交澄清文件，企图造成网络堵塞或瘫痪的；</w:t>
      </w:r>
    </w:p>
    <w:p w14:paraId="45D10871">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（四）评</w:t>
      </w:r>
      <w:r>
        <w:rPr>
          <w:rFonts w:hint="eastAsia" w:ascii="宋体" w:hAnsi="宋体" w:eastAsia="宋体" w:cs="宋体"/>
          <w:color w:val="auto"/>
          <w:sz w:val="24"/>
          <w:szCs w:val="24"/>
          <w:highlight w:val="none"/>
          <w:lang w:eastAsia="zh-CN"/>
        </w:rPr>
        <w:t>标</w:t>
      </w:r>
      <w:r>
        <w:rPr>
          <w:rFonts w:hint="eastAsia" w:ascii="宋体" w:hAnsi="宋体" w:eastAsia="宋体" w:cs="宋体"/>
          <w:color w:val="auto"/>
          <w:sz w:val="24"/>
          <w:szCs w:val="24"/>
          <w:highlight w:val="none"/>
        </w:rPr>
        <w:t>委员会认定的其他不予评审情形的。</w:t>
      </w:r>
    </w:p>
    <w:p w14:paraId="04478513">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p>
    <w:p w14:paraId="010DDF52">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w:t>
      </w:r>
      <w:r>
        <w:rPr>
          <w:rFonts w:hint="eastAsia" w:ascii="宋体" w:hAnsi="宋体" w:eastAsia="宋体" w:cs="宋体"/>
          <w:b/>
          <w:bCs/>
          <w:color w:val="auto"/>
          <w:sz w:val="24"/>
          <w:szCs w:val="24"/>
          <w:highlight w:val="none"/>
          <w:lang w:eastAsia="zh-CN"/>
        </w:rPr>
        <w:t>二</w:t>
      </w:r>
      <w:r>
        <w:rPr>
          <w:rFonts w:hint="eastAsia" w:ascii="宋体" w:hAnsi="宋体" w:eastAsia="宋体" w:cs="宋体"/>
          <w:b/>
          <w:bCs/>
          <w:color w:val="auto"/>
          <w:sz w:val="24"/>
          <w:szCs w:val="24"/>
          <w:highlight w:val="none"/>
        </w:rPr>
        <w:t>条 文件费开票</w:t>
      </w:r>
    </w:p>
    <w:p w14:paraId="1B397CEE">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针对需要缴纳文件费的项目或标段，投标人缴费后，等到项目开标后，由招标代理机构通过安招采平台向投标人开具文件费电子发票，投标人在安招采平台电子发票菜单中查看并下载电子发票。电子发票功能需要招标代理机构单独开通，如果招标代理机构未开通电子发票功能，投标人应按照招标文件中描述的方法获取发票。</w:t>
      </w:r>
    </w:p>
    <w:p w14:paraId="0A3F8B44">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p>
    <w:p w14:paraId="0D3AE1F8">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w:t>
      </w:r>
      <w:r>
        <w:rPr>
          <w:rFonts w:hint="eastAsia" w:ascii="宋体" w:hAnsi="宋体" w:eastAsia="宋体" w:cs="宋体"/>
          <w:b/>
          <w:bCs/>
          <w:color w:val="auto"/>
          <w:sz w:val="24"/>
          <w:szCs w:val="24"/>
          <w:highlight w:val="none"/>
          <w:lang w:eastAsia="zh-CN"/>
        </w:rPr>
        <w:t>三</w:t>
      </w:r>
      <w:r>
        <w:rPr>
          <w:rFonts w:hint="eastAsia" w:ascii="宋体" w:hAnsi="宋体" w:eastAsia="宋体" w:cs="宋体"/>
          <w:b/>
          <w:bCs/>
          <w:color w:val="auto"/>
          <w:sz w:val="24"/>
          <w:szCs w:val="24"/>
          <w:highlight w:val="none"/>
        </w:rPr>
        <w:t>条 意外情况</w:t>
      </w:r>
    </w:p>
    <w:p w14:paraId="434FD91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出现下列情形导致安招采平台无法正常运行，影响招投标过程的公平、公正和信息安全，各方当事人免责：</w:t>
      </w:r>
    </w:p>
    <w:p w14:paraId="59BDC995">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（一）网络、服务器、数据库发生故障造成无法访问或使用的；</w:t>
      </w:r>
    </w:p>
    <w:p w14:paraId="0CA21369">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（二）电力系统或云服务器供应商发生故障导致安招采平台无法运行；</w:t>
      </w:r>
    </w:p>
    <w:p w14:paraId="41CD4A63">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（三）出现网络攻击、病毒入侵以及安招采平台安全漏洞导致无法正常提供服务的；</w:t>
      </w:r>
    </w:p>
    <w:p w14:paraId="629CDEC9">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（四）其他无法保证招投标过程公平、公正和信息安全的情形。</w:t>
      </w:r>
    </w:p>
    <w:p w14:paraId="67B7CF7E">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出现上述情形，</w:t>
      </w:r>
      <w:r>
        <w:rPr>
          <w:rFonts w:hint="eastAsia" w:ascii="宋体" w:hAnsi="宋体" w:eastAsia="宋体" w:cs="宋体"/>
          <w:color w:val="auto"/>
          <w:sz w:val="24"/>
          <w:szCs w:val="24"/>
          <w:highlight w:val="none"/>
          <w:lang w:eastAsia="zh-CN"/>
        </w:rPr>
        <w:t>安徽本末数据</w:t>
      </w:r>
      <w:r>
        <w:rPr>
          <w:rFonts w:hint="eastAsia" w:ascii="宋体" w:hAnsi="宋体" w:eastAsia="宋体" w:cs="宋体"/>
          <w:color w:val="auto"/>
          <w:sz w:val="24"/>
          <w:szCs w:val="24"/>
          <w:highlight w:val="none"/>
        </w:rPr>
        <w:t>科技有限公司应及时组织相关方查明原因，排除故障。若能保证在开标前或在原开标时间后1小时内恢复系统运行的，招投标程序继续进行；若在原开标时间后1小时内无法恢复系统运行，导致开评标程序无法按时开展的，按以下程序操作：</w:t>
      </w:r>
    </w:p>
    <w:p w14:paraId="22DA2285">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项目中止，中止期限由招标人或招标代理机构根据项目具体情况确定。中止期限届满后中止情形尚未消除的，招标人或代理机构可以根据实际情况决定延长中止期限。决定延长中止期限的，应向投标人发出延长中止期限通知，并在安招采平台及安招采门户网站进行公布。</w:t>
      </w:r>
    </w:p>
    <w:p w14:paraId="3110AC1A">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（二）项目恢复，导致项目中止的情形消除后，招标人或代理机构应当尽快恢复招投标程序，向投标人发出恢复交易通知，并在安招采平台及安招采门户网站进行公布；已发出延长中止期限通知的，按通知执行。</w:t>
      </w:r>
    </w:p>
    <w:p w14:paraId="2F6C2148">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sz w:val="24"/>
          <w:szCs w:val="24"/>
          <w:highlight w:val="none"/>
        </w:rPr>
      </w:pPr>
    </w:p>
    <w:p w14:paraId="152A9335">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w:t>
      </w:r>
      <w:r>
        <w:rPr>
          <w:rFonts w:hint="eastAsia" w:ascii="宋体" w:hAnsi="宋体" w:eastAsia="宋体" w:cs="宋体"/>
          <w:b/>
          <w:bCs/>
          <w:color w:val="auto"/>
          <w:sz w:val="24"/>
          <w:szCs w:val="24"/>
          <w:highlight w:val="none"/>
          <w:lang w:eastAsia="zh-CN"/>
        </w:rPr>
        <w:t>四</w:t>
      </w:r>
      <w:r>
        <w:rPr>
          <w:rFonts w:hint="eastAsia" w:ascii="宋体" w:hAnsi="宋体" w:eastAsia="宋体" w:cs="宋体"/>
          <w:b/>
          <w:bCs/>
          <w:color w:val="auto"/>
          <w:sz w:val="24"/>
          <w:szCs w:val="24"/>
          <w:highlight w:val="none"/>
        </w:rPr>
        <w:t>条 其他说明</w:t>
      </w:r>
    </w:p>
    <w:p w14:paraId="353C2D43">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ab/>
      </w:r>
      <w:r>
        <w:rPr>
          <w:rFonts w:hint="eastAsia" w:ascii="宋体" w:hAnsi="宋体" w:eastAsia="宋体" w:cs="宋体"/>
          <w:color w:val="auto"/>
          <w:kern w:val="2"/>
          <w:sz w:val="24"/>
          <w:szCs w:val="24"/>
          <w:highlight w:val="none"/>
          <w:lang w:val="en-US" w:eastAsia="zh-CN" w:bidi="ar-SA"/>
        </w:rPr>
        <w:t>本操作规程中，非招标方式的采购项目，“招标人”按“采购人”理解，“招标文件”按“采购文件”理解；“投标人”按“供应商”理解，“投标文件”按“响应文件”理解；“开标”按“开启”理解，“投标无效”按“响应无效”理解，“评标委员会”按“谈判小组/磋商小组/询价小组/协商小组/比选小组”等理解，“中标”按“成交”理解。</w:t>
      </w:r>
    </w:p>
    <w:p w14:paraId="4E952EAF">
      <w:pPr>
        <w:keepNext w:val="0"/>
        <w:keepLines w:val="0"/>
        <w:pageBreakBefore w:val="0"/>
        <w:kinsoku/>
        <w:wordWrap w:val="0"/>
        <w:overflowPunct/>
        <w:topLinePunct w:val="0"/>
        <w:bidi w:val="0"/>
        <w:spacing w:line="360" w:lineRule="auto"/>
        <w:textAlignment w:val="auto"/>
        <w:rPr>
          <w:color w:val="auto"/>
          <w:highlight w:val="none"/>
        </w:rPr>
      </w:pPr>
    </w:p>
    <w:p w14:paraId="255308DE">
      <w:pPr>
        <w:rPr>
          <w:color w:val="auto"/>
          <w:highlight w:val="none"/>
        </w:rPr>
      </w:pPr>
    </w:p>
    <w:p w14:paraId="01BC312B">
      <w:pPr>
        <w:pStyle w:val="22"/>
        <w:rPr>
          <w:color w:val="auto"/>
          <w:highlight w:val="none"/>
        </w:rPr>
      </w:pPr>
    </w:p>
    <w:sectPr>
      <w:headerReference r:id="rId6" w:type="default"/>
      <w:footerReference r:id="rId7"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B0500000000000000"/>
    <w:charset w:val="86"/>
    <w:family w:val="modern"/>
    <w:pitch w:val="default"/>
    <w:sig w:usb0="00000000" w:usb1="00000000" w:usb2="00000016" w:usb3="00000000" w:csb0="602E0107"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微软简标宋">
    <w:altName w:val="宋体"/>
    <w:panose1 w:val="00000000000000000000"/>
    <w:charset w:val="86"/>
    <w:family w:val="auto"/>
    <w:pitch w:val="default"/>
    <w:sig w:usb0="00000000" w:usb1="00000000" w:usb2="0000001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61184">
    <w:pPr>
      <w:pStyle w:val="2"/>
      <w:widowControl w:val="0"/>
      <w:jc w:val="center"/>
      <w:rPr>
        <w:rFonts w:ascii="宋体" w:hAnsi="宋体" w:eastAsia="宋体" w:cs="@仿宋_GB2312"/>
        <w:kern w:val="2"/>
        <w:sz w:val="21"/>
        <w:szCs w:val="21"/>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9EE82">
    <w:pPr>
      <w:pStyle w:val="2"/>
      <w:widowControl w:val="0"/>
      <w:jc w:val="center"/>
      <w:rPr>
        <w:rFonts w:hint="eastAsia" w:ascii="Arial" w:hAnsi="Arial" w:eastAsia="宋体" w:cs="Arial"/>
        <w:b/>
        <w:bCs/>
        <w:kern w:val="2"/>
        <w:sz w:val="21"/>
        <w:szCs w:val="21"/>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80674"/>
      <w:docPartObj>
        <w:docPartGallery w:val="autotext"/>
      </w:docPartObj>
    </w:sdtPr>
    <w:sdtEndPr>
      <w:rPr>
        <w:rFonts w:asciiTheme="minorEastAsia" w:hAnsiTheme="minorEastAsia" w:eastAsiaTheme="minorEastAsia"/>
        <w:sz w:val="21"/>
        <w:szCs w:val="21"/>
      </w:rPr>
    </w:sdtEndPr>
    <w:sdtContent>
      <w:sdt>
        <w:sdtPr>
          <w:id w:val="-1"/>
          <w:docPartObj>
            <w:docPartGallery w:val="autotext"/>
          </w:docPartObj>
        </w:sdtPr>
        <w:sdtEndPr>
          <w:rPr>
            <w:rFonts w:asciiTheme="minorEastAsia" w:hAnsiTheme="minorEastAsia" w:eastAsiaTheme="minorEastAsia"/>
            <w:sz w:val="21"/>
            <w:szCs w:val="21"/>
          </w:rPr>
        </w:sdtEndPr>
        <w:sdtContent>
          <w:p w14:paraId="2A984AE2">
            <w:pPr>
              <w:pStyle w:val="2"/>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63</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65</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63</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7AF868">
    <w:pPr>
      <w:pStyle w:val="17"/>
      <w:widowControl w:val="0"/>
      <w:jc w:val="left"/>
      <w:rPr>
        <w:rFonts w:ascii="宋体" w:hAnsi="宋体" w:eastAsia="宋体" w:cs="@仿宋_GB2312"/>
        <w:kern w:val="2"/>
        <w:lang w:val="en-US" w:eastAsia="zh-CN" w:bidi="ar-SA"/>
      </w:rPr>
    </w:pPr>
    <w:r>
      <w:rPr>
        <w:rFonts w:hint="eastAsia" w:ascii="宋体" w:hAnsi="宋体" w:eastAsia="宋体" w:cs="@仿宋_GB2312"/>
        <w:kern w:val="2"/>
        <w:lang w:val="en-US" w:eastAsia="zh-CN" w:bidi="ar-SA"/>
      </w:rPr>
      <w:t>鼎信数智技术集团股份有限公司                                                  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E5772">
    <w:pPr>
      <w:pStyle w:val="1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AF32A4"/>
    <w:multiLevelType w:val="singleLevel"/>
    <w:tmpl w:val="FFAF32A4"/>
    <w:lvl w:ilvl="0" w:tentative="0">
      <w:start w:val="1"/>
      <w:numFmt w:val="chineseCounting"/>
      <w:suff w:val="nothing"/>
      <w:lvlText w:val="（%1）"/>
      <w:lvlJc w:val="left"/>
      <w:rPr>
        <w:rFonts w:hint="eastAsia"/>
      </w:rPr>
    </w:lvl>
  </w:abstractNum>
  <w:abstractNum w:abstractNumId="1">
    <w:nsid w:val="73FF8975"/>
    <w:multiLevelType w:val="singleLevel"/>
    <w:tmpl w:val="73FF8975"/>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lOTU0N2EzYzllMGVjODRhNzJiMjc1YjYzNjhkYTUifQ=="/>
  </w:docVars>
  <w:rsids>
    <w:rsidRoot w:val="00276BA1"/>
    <w:rsid w:val="0000043F"/>
    <w:rsid w:val="000037F9"/>
    <w:rsid w:val="000049DA"/>
    <w:rsid w:val="000056B7"/>
    <w:rsid w:val="00007D87"/>
    <w:rsid w:val="000131F7"/>
    <w:rsid w:val="00014039"/>
    <w:rsid w:val="00016B6C"/>
    <w:rsid w:val="00020B57"/>
    <w:rsid w:val="00020B6D"/>
    <w:rsid w:val="000323E2"/>
    <w:rsid w:val="00040C25"/>
    <w:rsid w:val="00042139"/>
    <w:rsid w:val="00042B14"/>
    <w:rsid w:val="00044F49"/>
    <w:rsid w:val="000450C3"/>
    <w:rsid w:val="00050A3F"/>
    <w:rsid w:val="00054AA3"/>
    <w:rsid w:val="00056ECB"/>
    <w:rsid w:val="00057B40"/>
    <w:rsid w:val="000648D2"/>
    <w:rsid w:val="00070E0E"/>
    <w:rsid w:val="0007146E"/>
    <w:rsid w:val="00076DB7"/>
    <w:rsid w:val="00080FEB"/>
    <w:rsid w:val="00094D41"/>
    <w:rsid w:val="00097CB9"/>
    <w:rsid w:val="000A0161"/>
    <w:rsid w:val="000A10A9"/>
    <w:rsid w:val="000A6693"/>
    <w:rsid w:val="000A7970"/>
    <w:rsid w:val="000A7D94"/>
    <w:rsid w:val="000B1511"/>
    <w:rsid w:val="000B6249"/>
    <w:rsid w:val="000C1DB1"/>
    <w:rsid w:val="000D3F37"/>
    <w:rsid w:val="000E3C74"/>
    <w:rsid w:val="000E3F9B"/>
    <w:rsid w:val="000E478E"/>
    <w:rsid w:val="000E5D51"/>
    <w:rsid w:val="000E668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30359"/>
    <w:rsid w:val="00130601"/>
    <w:rsid w:val="00132F4D"/>
    <w:rsid w:val="00133EA0"/>
    <w:rsid w:val="00140687"/>
    <w:rsid w:val="00146421"/>
    <w:rsid w:val="00153B20"/>
    <w:rsid w:val="00155F64"/>
    <w:rsid w:val="00157856"/>
    <w:rsid w:val="00160729"/>
    <w:rsid w:val="0016455F"/>
    <w:rsid w:val="00165398"/>
    <w:rsid w:val="00166794"/>
    <w:rsid w:val="00166ED8"/>
    <w:rsid w:val="001714C9"/>
    <w:rsid w:val="00171515"/>
    <w:rsid w:val="00172B93"/>
    <w:rsid w:val="0018119B"/>
    <w:rsid w:val="001844AB"/>
    <w:rsid w:val="001853C7"/>
    <w:rsid w:val="00192879"/>
    <w:rsid w:val="001944B8"/>
    <w:rsid w:val="00196DA3"/>
    <w:rsid w:val="001971E5"/>
    <w:rsid w:val="001A0C0F"/>
    <w:rsid w:val="001A2E05"/>
    <w:rsid w:val="001A68E5"/>
    <w:rsid w:val="001B2A54"/>
    <w:rsid w:val="001B2BA4"/>
    <w:rsid w:val="001B5014"/>
    <w:rsid w:val="001B7327"/>
    <w:rsid w:val="001D22EA"/>
    <w:rsid w:val="001D53B4"/>
    <w:rsid w:val="001D6E22"/>
    <w:rsid w:val="001E1835"/>
    <w:rsid w:val="001F28D2"/>
    <w:rsid w:val="001F2F45"/>
    <w:rsid w:val="001F3023"/>
    <w:rsid w:val="001F35F6"/>
    <w:rsid w:val="001F4AAF"/>
    <w:rsid w:val="001F74CA"/>
    <w:rsid w:val="001F7590"/>
    <w:rsid w:val="002003B6"/>
    <w:rsid w:val="0020244A"/>
    <w:rsid w:val="002049B4"/>
    <w:rsid w:val="0020520B"/>
    <w:rsid w:val="002076AD"/>
    <w:rsid w:val="00213C55"/>
    <w:rsid w:val="00223CF4"/>
    <w:rsid w:val="00224B69"/>
    <w:rsid w:val="00224C4A"/>
    <w:rsid w:val="0022684E"/>
    <w:rsid w:val="00231187"/>
    <w:rsid w:val="0023407E"/>
    <w:rsid w:val="00240B40"/>
    <w:rsid w:val="00244182"/>
    <w:rsid w:val="002544A1"/>
    <w:rsid w:val="00257ECE"/>
    <w:rsid w:val="00260382"/>
    <w:rsid w:val="00260B94"/>
    <w:rsid w:val="00262024"/>
    <w:rsid w:val="00264F2E"/>
    <w:rsid w:val="00271245"/>
    <w:rsid w:val="00273F66"/>
    <w:rsid w:val="00274A9E"/>
    <w:rsid w:val="00275B22"/>
    <w:rsid w:val="00276BA1"/>
    <w:rsid w:val="00280984"/>
    <w:rsid w:val="002832CF"/>
    <w:rsid w:val="002835E3"/>
    <w:rsid w:val="00284542"/>
    <w:rsid w:val="0028626C"/>
    <w:rsid w:val="002A14D1"/>
    <w:rsid w:val="002A1A1D"/>
    <w:rsid w:val="002A28AD"/>
    <w:rsid w:val="002B04FD"/>
    <w:rsid w:val="002B5318"/>
    <w:rsid w:val="002B6D27"/>
    <w:rsid w:val="002B7A09"/>
    <w:rsid w:val="002C060C"/>
    <w:rsid w:val="002C078A"/>
    <w:rsid w:val="002D05DD"/>
    <w:rsid w:val="002D0E4D"/>
    <w:rsid w:val="002D2965"/>
    <w:rsid w:val="002D3D02"/>
    <w:rsid w:val="002D4CB5"/>
    <w:rsid w:val="002D5900"/>
    <w:rsid w:val="002D684B"/>
    <w:rsid w:val="002E2D3A"/>
    <w:rsid w:val="002E3B26"/>
    <w:rsid w:val="002E4AB8"/>
    <w:rsid w:val="002E7FC4"/>
    <w:rsid w:val="00305571"/>
    <w:rsid w:val="00310070"/>
    <w:rsid w:val="0031081B"/>
    <w:rsid w:val="003110EC"/>
    <w:rsid w:val="00314289"/>
    <w:rsid w:val="003206A6"/>
    <w:rsid w:val="0032560D"/>
    <w:rsid w:val="00327C92"/>
    <w:rsid w:val="00333292"/>
    <w:rsid w:val="003344E7"/>
    <w:rsid w:val="0033580B"/>
    <w:rsid w:val="003365E7"/>
    <w:rsid w:val="003378D5"/>
    <w:rsid w:val="003473D7"/>
    <w:rsid w:val="00351AC8"/>
    <w:rsid w:val="00353075"/>
    <w:rsid w:val="00363E02"/>
    <w:rsid w:val="00373A96"/>
    <w:rsid w:val="003826C2"/>
    <w:rsid w:val="00383728"/>
    <w:rsid w:val="00384E57"/>
    <w:rsid w:val="003903BB"/>
    <w:rsid w:val="0039085F"/>
    <w:rsid w:val="0039195E"/>
    <w:rsid w:val="00392627"/>
    <w:rsid w:val="00394128"/>
    <w:rsid w:val="00394ADC"/>
    <w:rsid w:val="00395235"/>
    <w:rsid w:val="0039561A"/>
    <w:rsid w:val="00397C7D"/>
    <w:rsid w:val="003A004F"/>
    <w:rsid w:val="003A2158"/>
    <w:rsid w:val="003A3AC4"/>
    <w:rsid w:val="003B25A5"/>
    <w:rsid w:val="003B4130"/>
    <w:rsid w:val="003B715B"/>
    <w:rsid w:val="003C2C62"/>
    <w:rsid w:val="003C5566"/>
    <w:rsid w:val="003C577A"/>
    <w:rsid w:val="003D1D14"/>
    <w:rsid w:val="003D6C7C"/>
    <w:rsid w:val="003D6EFB"/>
    <w:rsid w:val="003D7E52"/>
    <w:rsid w:val="003E25C6"/>
    <w:rsid w:val="003F7528"/>
    <w:rsid w:val="004011AA"/>
    <w:rsid w:val="0040202C"/>
    <w:rsid w:val="00404A8F"/>
    <w:rsid w:val="00406508"/>
    <w:rsid w:val="004110F6"/>
    <w:rsid w:val="0041456E"/>
    <w:rsid w:val="004148E3"/>
    <w:rsid w:val="00414F7E"/>
    <w:rsid w:val="004164F8"/>
    <w:rsid w:val="00426F05"/>
    <w:rsid w:val="004328E1"/>
    <w:rsid w:val="004427B7"/>
    <w:rsid w:val="0044349F"/>
    <w:rsid w:val="00445F1F"/>
    <w:rsid w:val="00447862"/>
    <w:rsid w:val="0045128E"/>
    <w:rsid w:val="00451F60"/>
    <w:rsid w:val="00452BB2"/>
    <w:rsid w:val="00456054"/>
    <w:rsid w:val="0045656D"/>
    <w:rsid w:val="00462D98"/>
    <w:rsid w:val="00463E7D"/>
    <w:rsid w:val="00465522"/>
    <w:rsid w:val="00472A44"/>
    <w:rsid w:val="00473A89"/>
    <w:rsid w:val="00475899"/>
    <w:rsid w:val="00482C78"/>
    <w:rsid w:val="00483ABC"/>
    <w:rsid w:val="0048634A"/>
    <w:rsid w:val="004874AE"/>
    <w:rsid w:val="0049056F"/>
    <w:rsid w:val="00492217"/>
    <w:rsid w:val="004949D9"/>
    <w:rsid w:val="00494D24"/>
    <w:rsid w:val="004951D1"/>
    <w:rsid w:val="004960BB"/>
    <w:rsid w:val="004A1BA3"/>
    <w:rsid w:val="004A27D0"/>
    <w:rsid w:val="004A4D67"/>
    <w:rsid w:val="004B7E79"/>
    <w:rsid w:val="004C13CB"/>
    <w:rsid w:val="004C5B90"/>
    <w:rsid w:val="004D3D4B"/>
    <w:rsid w:val="004D5498"/>
    <w:rsid w:val="004D66A5"/>
    <w:rsid w:val="004D6B00"/>
    <w:rsid w:val="004E1D50"/>
    <w:rsid w:val="004E3266"/>
    <w:rsid w:val="004E38BA"/>
    <w:rsid w:val="004E50CA"/>
    <w:rsid w:val="004F27A0"/>
    <w:rsid w:val="0050027D"/>
    <w:rsid w:val="00501382"/>
    <w:rsid w:val="005048FB"/>
    <w:rsid w:val="00510798"/>
    <w:rsid w:val="005119B5"/>
    <w:rsid w:val="005125F1"/>
    <w:rsid w:val="00524A11"/>
    <w:rsid w:val="00527768"/>
    <w:rsid w:val="00530EA4"/>
    <w:rsid w:val="005327FB"/>
    <w:rsid w:val="00533251"/>
    <w:rsid w:val="00533FCA"/>
    <w:rsid w:val="005346EF"/>
    <w:rsid w:val="00537FC0"/>
    <w:rsid w:val="005470D4"/>
    <w:rsid w:val="0055705E"/>
    <w:rsid w:val="005616B5"/>
    <w:rsid w:val="00566690"/>
    <w:rsid w:val="005679A4"/>
    <w:rsid w:val="00574CE6"/>
    <w:rsid w:val="0059223D"/>
    <w:rsid w:val="0059365B"/>
    <w:rsid w:val="00593ABC"/>
    <w:rsid w:val="00597B15"/>
    <w:rsid w:val="005A044C"/>
    <w:rsid w:val="005A149F"/>
    <w:rsid w:val="005A3A32"/>
    <w:rsid w:val="005A48A5"/>
    <w:rsid w:val="005B2C9F"/>
    <w:rsid w:val="005B34C9"/>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3DE2"/>
    <w:rsid w:val="00627601"/>
    <w:rsid w:val="006300D0"/>
    <w:rsid w:val="00632012"/>
    <w:rsid w:val="00634694"/>
    <w:rsid w:val="00636517"/>
    <w:rsid w:val="00636EE7"/>
    <w:rsid w:val="00637690"/>
    <w:rsid w:val="00640E1E"/>
    <w:rsid w:val="0064389A"/>
    <w:rsid w:val="00645442"/>
    <w:rsid w:val="006525CD"/>
    <w:rsid w:val="00653F7F"/>
    <w:rsid w:val="00661E43"/>
    <w:rsid w:val="00662DCD"/>
    <w:rsid w:val="00662EE8"/>
    <w:rsid w:val="00663813"/>
    <w:rsid w:val="00664AFD"/>
    <w:rsid w:val="00667567"/>
    <w:rsid w:val="0067391A"/>
    <w:rsid w:val="00674173"/>
    <w:rsid w:val="0067534F"/>
    <w:rsid w:val="00677D87"/>
    <w:rsid w:val="00685711"/>
    <w:rsid w:val="00690DB1"/>
    <w:rsid w:val="00693404"/>
    <w:rsid w:val="006953D9"/>
    <w:rsid w:val="006A1269"/>
    <w:rsid w:val="006A5803"/>
    <w:rsid w:val="006A69C3"/>
    <w:rsid w:val="006A7C15"/>
    <w:rsid w:val="006B1242"/>
    <w:rsid w:val="006B1DBC"/>
    <w:rsid w:val="006B3712"/>
    <w:rsid w:val="006B7D9A"/>
    <w:rsid w:val="006C06D9"/>
    <w:rsid w:val="006C3E22"/>
    <w:rsid w:val="006C5716"/>
    <w:rsid w:val="006C64B2"/>
    <w:rsid w:val="006C74A9"/>
    <w:rsid w:val="006D07DE"/>
    <w:rsid w:val="006D361A"/>
    <w:rsid w:val="006D6A81"/>
    <w:rsid w:val="006E06D9"/>
    <w:rsid w:val="006E1D40"/>
    <w:rsid w:val="006E2E1F"/>
    <w:rsid w:val="006E5059"/>
    <w:rsid w:val="006F21C7"/>
    <w:rsid w:val="006F5F03"/>
    <w:rsid w:val="006F5FFF"/>
    <w:rsid w:val="006F6707"/>
    <w:rsid w:val="00710804"/>
    <w:rsid w:val="00711FC6"/>
    <w:rsid w:val="00712952"/>
    <w:rsid w:val="007130B1"/>
    <w:rsid w:val="00713487"/>
    <w:rsid w:val="00715071"/>
    <w:rsid w:val="007231E9"/>
    <w:rsid w:val="00724F0E"/>
    <w:rsid w:val="007270A6"/>
    <w:rsid w:val="00727C59"/>
    <w:rsid w:val="00733730"/>
    <w:rsid w:val="00734E5D"/>
    <w:rsid w:val="00736013"/>
    <w:rsid w:val="00737BF8"/>
    <w:rsid w:val="0074339B"/>
    <w:rsid w:val="007507BF"/>
    <w:rsid w:val="00750B60"/>
    <w:rsid w:val="00756245"/>
    <w:rsid w:val="00761662"/>
    <w:rsid w:val="00764043"/>
    <w:rsid w:val="00766A36"/>
    <w:rsid w:val="007757CF"/>
    <w:rsid w:val="007769F6"/>
    <w:rsid w:val="00780F9D"/>
    <w:rsid w:val="0078128F"/>
    <w:rsid w:val="007819D9"/>
    <w:rsid w:val="0078683C"/>
    <w:rsid w:val="00790EDB"/>
    <w:rsid w:val="00791538"/>
    <w:rsid w:val="0079326E"/>
    <w:rsid w:val="00796EDE"/>
    <w:rsid w:val="00797488"/>
    <w:rsid w:val="007A5A58"/>
    <w:rsid w:val="007A7093"/>
    <w:rsid w:val="007B1C56"/>
    <w:rsid w:val="007C1DD7"/>
    <w:rsid w:val="007C3CD5"/>
    <w:rsid w:val="007C4756"/>
    <w:rsid w:val="007C5E88"/>
    <w:rsid w:val="007C61EF"/>
    <w:rsid w:val="007D03DE"/>
    <w:rsid w:val="007D1C0D"/>
    <w:rsid w:val="007D2D23"/>
    <w:rsid w:val="007E27D6"/>
    <w:rsid w:val="007E3921"/>
    <w:rsid w:val="00801028"/>
    <w:rsid w:val="00803793"/>
    <w:rsid w:val="00804000"/>
    <w:rsid w:val="008101A2"/>
    <w:rsid w:val="00817A01"/>
    <w:rsid w:val="00820937"/>
    <w:rsid w:val="00825E35"/>
    <w:rsid w:val="00830A4E"/>
    <w:rsid w:val="008334F8"/>
    <w:rsid w:val="00835FFD"/>
    <w:rsid w:val="0084381F"/>
    <w:rsid w:val="00843E35"/>
    <w:rsid w:val="008524CE"/>
    <w:rsid w:val="00857633"/>
    <w:rsid w:val="0086120A"/>
    <w:rsid w:val="0086440C"/>
    <w:rsid w:val="008674ED"/>
    <w:rsid w:val="00874EE6"/>
    <w:rsid w:val="00876659"/>
    <w:rsid w:val="0087734C"/>
    <w:rsid w:val="00882141"/>
    <w:rsid w:val="00886BD4"/>
    <w:rsid w:val="008876EC"/>
    <w:rsid w:val="008922A8"/>
    <w:rsid w:val="00895BD5"/>
    <w:rsid w:val="00897FEA"/>
    <w:rsid w:val="008A16C4"/>
    <w:rsid w:val="008A4A27"/>
    <w:rsid w:val="008A649F"/>
    <w:rsid w:val="008A6FED"/>
    <w:rsid w:val="008B39C5"/>
    <w:rsid w:val="008B51AA"/>
    <w:rsid w:val="008C05E3"/>
    <w:rsid w:val="008C67F2"/>
    <w:rsid w:val="008D064A"/>
    <w:rsid w:val="008D2537"/>
    <w:rsid w:val="008D2B0F"/>
    <w:rsid w:val="008D633C"/>
    <w:rsid w:val="008E449E"/>
    <w:rsid w:val="008E4BDD"/>
    <w:rsid w:val="008E770C"/>
    <w:rsid w:val="008F187F"/>
    <w:rsid w:val="008F331E"/>
    <w:rsid w:val="008F402F"/>
    <w:rsid w:val="008F76E8"/>
    <w:rsid w:val="00904508"/>
    <w:rsid w:val="009078A1"/>
    <w:rsid w:val="00911E9C"/>
    <w:rsid w:val="00917405"/>
    <w:rsid w:val="00920F7C"/>
    <w:rsid w:val="00922718"/>
    <w:rsid w:val="00924743"/>
    <w:rsid w:val="00932A87"/>
    <w:rsid w:val="00934CAE"/>
    <w:rsid w:val="0093560E"/>
    <w:rsid w:val="00937331"/>
    <w:rsid w:val="0094257D"/>
    <w:rsid w:val="009443B6"/>
    <w:rsid w:val="00946F68"/>
    <w:rsid w:val="0095467C"/>
    <w:rsid w:val="00954A61"/>
    <w:rsid w:val="00955C6F"/>
    <w:rsid w:val="00966C7B"/>
    <w:rsid w:val="009701DC"/>
    <w:rsid w:val="009715D8"/>
    <w:rsid w:val="009811A8"/>
    <w:rsid w:val="00991460"/>
    <w:rsid w:val="00995BF9"/>
    <w:rsid w:val="009975CC"/>
    <w:rsid w:val="009A0CAF"/>
    <w:rsid w:val="009A2207"/>
    <w:rsid w:val="009B0EDA"/>
    <w:rsid w:val="009B6C42"/>
    <w:rsid w:val="009D0D71"/>
    <w:rsid w:val="009D2998"/>
    <w:rsid w:val="009D31F7"/>
    <w:rsid w:val="009D32C2"/>
    <w:rsid w:val="009D50DB"/>
    <w:rsid w:val="009E2932"/>
    <w:rsid w:val="009E3A0A"/>
    <w:rsid w:val="009E7691"/>
    <w:rsid w:val="009F1936"/>
    <w:rsid w:val="009F3E91"/>
    <w:rsid w:val="00A008DA"/>
    <w:rsid w:val="00A00C93"/>
    <w:rsid w:val="00A0571E"/>
    <w:rsid w:val="00A13A27"/>
    <w:rsid w:val="00A1499B"/>
    <w:rsid w:val="00A170D8"/>
    <w:rsid w:val="00A30A1B"/>
    <w:rsid w:val="00A314C2"/>
    <w:rsid w:val="00A501BF"/>
    <w:rsid w:val="00A518DD"/>
    <w:rsid w:val="00A519A0"/>
    <w:rsid w:val="00A62A2E"/>
    <w:rsid w:val="00A63E86"/>
    <w:rsid w:val="00A75185"/>
    <w:rsid w:val="00A754A0"/>
    <w:rsid w:val="00A757C3"/>
    <w:rsid w:val="00A75E5B"/>
    <w:rsid w:val="00A75F4B"/>
    <w:rsid w:val="00A7684A"/>
    <w:rsid w:val="00A83B69"/>
    <w:rsid w:val="00A86533"/>
    <w:rsid w:val="00A91CA2"/>
    <w:rsid w:val="00A92FB8"/>
    <w:rsid w:val="00A948F1"/>
    <w:rsid w:val="00AA0BE3"/>
    <w:rsid w:val="00AA18F9"/>
    <w:rsid w:val="00AA1D7D"/>
    <w:rsid w:val="00AA2790"/>
    <w:rsid w:val="00AA3806"/>
    <w:rsid w:val="00AB139D"/>
    <w:rsid w:val="00AB2A35"/>
    <w:rsid w:val="00AB2D05"/>
    <w:rsid w:val="00AB3EFB"/>
    <w:rsid w:val="00AC0B05"/>
    <w:rsid w:val="00AC1962"/>
    <w:rsid w:val="00AC7F9D"/>
    <w:rsid w:val="00AD079A"/>
    <w:rsid w:val="00AD1890"/>
    <w:rsid w:val="00AE2149"/>
    <w:rsid w:val="00AE2BF3"/>
    <w:rsid w:val="00AE33AE"/>
    <w:rsid w:val="00AE3F91"/>
    <w:rsid w:val="00AE60E9"/>
    <w:rsid w:val="00AF5B63"/>
    <w:rsid w:val="00B0053D"/>
    <w:rsid w:val="00B03121"/>
    <w:rsid w:val="00B039E3"/>
    <w:rsid w:val="00B06D36"/>
    <w:rsid w:val="00B12BC4"/>
    <w:rsid w:val="00B22838"/>
    <w:rsid w:val="00B33E8F"/>
    <w:rsid w:val="00B33E95"/>
    <w:rsid w:val="00B3720B"/>
    <w:rsid w:val="00B45D0B"/>
    <w:rsid w:val="00B5558A"/>
    <w:rsid w:val="00B56513"/>
    <w:rsid w:val="00B61B64"/>
    <w:rsid w:val="00B64376"/>
    <w:rsid w:val="00B6570C"/>
    <w:rsid w:val="00B7401F"/>
    <w:rsid w:val="00B769CF"/>
    <w:rsid w:val="00B806C3"/>
    <w:rsid w:val="00B80D6F"/>
    <w:rsid w:val="00B84FCA"/>
    <w:rsid w:val="00B9089F"/>
    <w:rsid w:val="00B91826"/>
    <w:rsid w:val="00B91AEE"/>
    <w:rsid w:val="00B95F5A"/>
    <w:rsid w:val="00B96EAD"/>
    <w:rsid w:val="00BA4B7C"/>
    <w:rsid w:val="00BA79F5"/>
    <w:rsid w:val="00BA7EA7"/>
    <w:rsid w:val="00BB3AB6"/>
    <w:rsid w:val="00BB766D"/>
    <w:rsid w:val="00BC007B"/>
    <w:rsid w:val="00BC26BA"/>
    <w:rsid w:val="00BC35F8"/>
    <w:rsid w:val="00BC481B"/>
    <w:rsid w:val="00BD08DF"/>
    <w:rsid w:val="00BD2D29"/>
    <w:rsid w:val="00BD617C"/>
    <w:rsid w:val="00BE04CF"/>
    <w:rsid w:val="00BE782C"/>
    <w:rsid w:val="00BF376F"/>
    <w:rsid w:val="00BF46A6"/>
    <w:rsid w:val="00BF6CAD"/>
    <w:rsid w:val="00BF71FB"/>
    <w:rsid w:val="00C04DBF"/>
    <w:rsid w:val="00C05E4C"/>
    <w:rsid w:val="00C06545"/>
    <w:rsid w:val="00C134AF"/>
    <w:rsid w:val="00C2079A"/>
    <w:rsid w:val="00C220FC"/>
    <w:rsid w:val="00C24DFA"/>
    <w:rsid w:val="00C24F9D"/>
    <w:rsid w:val="00C30182"/>
    <w:rsid w:val="00C31FC9"/>
    <w:rsid w:val="00C37A63"/>
    <w:rsid w:val="00C42248"/>
    <w:rsid w:val="00C46A36"/>
    <w:rsid w:val="00C46AC4"/>
    <w:rsid w:val="00C47037"/>
    <w:rsid w:val="00C509E3"/>
    <w:rsid w:val="00C53625"/>
    <w:rsid w:val="00C548BA"/>
    <w:rsid w:val="00C5679D"/>
    <w:rsid w:val="00C57784"/>
    <w:rsid w:val="00C602C1"/>
    <w:rsid w:val="00C63FC0"/>
    <w:rsid w:val="00C66392"/>
    <w:rsid w:val="00C73D09"/>
    <w:rsid w:val="00C74C5E"/>
    <w:rsid w:val="00C82558"/>
    <w:rsid w:val="00C827A2"/>
    <w:rsid w:val="00C82B69"/>
    <w:rsid w:val="00C82C8E"/>
    <w:rsid w:val="00C82CB3"/>
    <w:rsid w:val="00C91B28"/>
    <w:rsid w:val="00C91F3A"/>
    <w:rsid w:val="00C93590"/>
    <w:rsid w:val="00C957FD"/>
    <w:rsid w:val="00CA5446"/>
    <w:rsid w:val="00CB14E5"/>
    <w:rsid w:val="00CB218D"/>
    <w:rsid w:val="00CB5625"/>
    <w:rsid w:val="00CB5797"/>
    <w:rsid w:val="00CC1C17"/>
    <w:rsid w:val="00CC4F7F"/>
    <w:rsid w:val="00CD09E1"/>
    <w:rsid w:val="00CE1780"/>
    <w:rsid w:val="00CE4913"/>
    <w:rsid w:val="00CE66BD"/>
    <w:rsid w:val="00CE6DA3"/>
    <w:rsid w:val="00CF0671"/>
    <w:rsid w:val="00CF247A"/>
    <w:rsid w:val="00CF44AD"/>
    <w:rsid w:val="00CF4D7C"/>
    <w:rsid w:val="00CF4FC0"/>
    <w:rsid w:val="00CF7486"/>
    <w:rsid w:val="00D1072F"/>
    <w:rsid w:val="00D108A5"/>
    <w:rsid w:val="00D14585"/>
    <w:rsid w:val="00D153C8"/>
    <w:rsid w:val="00D20EFF"/>
    <w:rsid w:val="00D31324"/>
    <w:rsid w:val="00D41314"/>
    <w:rsid w:val="00D4386E"/>
    <w:rsid w:val="00D51432"/>
    <w:rsid w:val="00D53ED8"/>
    <w:rsid w:val="00D541A0"/>
    <w:rsid w:val="00D64857"/>
    <w:rsid w:val="00D6493A"/>
    <w:rsid w:val="00D649A5"/>
    <w:rsid w:val="00D66833"/>
    <w:rsid w:val="00D67875"/>
    <w:rsid w:val="00D71E86"/>
    <w:rsid w:val="00D731C6"/>
    <w:rsid w:val="00D745C5"/>
    <w:rsid w:val="00D75327"/>
    <w:rsid w:val="00D77D6B"/>
    <w:rsid w:val="00D80C36"/>
    <w:rsid w:val="00D81A32"/>
    <w:rsid w:val="00D86EE1"/>
    <w:rsid w:val="00D95E90"/>
    <w:rsid w:val="00D96126"/>
    <w:rsid w:val="00DA2FD5"/>
    <w:rsid w:val="00DB4B1C"/>
    <w:rsid w:val="00DB5085"/>
    <w:rsid w:val="00DB619F"/>
    <w:rsid w:val="00DB7211"/>
    <w:rsid w:val="00DB795B"/>
    <w:rsid w:val="00DC1062"/>
    <w:rsid w:val="00DC132C"/>
    <w:rsid w:val="00DC181A"/>
    <w:rsid w:val="00DC5727"/>
    <w:rsid w:val="00DD43F0"/>
    <w:rsid w:val="00DD44DE"/>
    <w:rsid w:val="00DE09AB"/>
    <w:rsid w:val="00DE352F"/>
    <w:rsid w:val="00DE4A3F"/>
    <w:rsid w:val="00DE5A99"/>
    <w:rsid w:val="00DF4367"/>
    <w:rsid w:val="00DF7291"/>
    <w:rsid w:val="00E02FF3"/>
    <w:rsid w:val="00E0574A"/>
    <w:rsid w:val="00E1243D"/>
    <w:rsid w:val="00E12742"/>
    <w:rsid w:val="00E146D4"/>
    <w:rsid w:val="00E14815"/>
    <w:rsid w:val="00E21D37"/>
    <w:rsid w:val="00E220ED"/>
    <w:rsid w:val="00E22B44"/>
    <w:rsid w:val="00E30ACD"/>
    <w:rsid w:val="00E32735"/>
    <w:rsid w:val="00E34236"/>
    <w:rsid w:val="00E40C9E"/>
    <w:rsid w:val="00E44B88"/>
    <w:rsid w:val="00E66E36"/>
    <w:rsid w:val="00E702ED"/>
    <w:rsid w:val="00E709A4"/>
    <w:rsid w:val="00E75917"/>
    <w:rsid w:val="00E772DB"/>
    <w:rsid w:val="00E86012"/>
    <w:rsid w:val="00E8604C"/>
    <w:rsid w:val="00E860CA"/>
    <w:rsid w:val="00E86BAB"/>
    <w:rsid w:val="00E92962"/>
    <w:rsid w:val="00E94E10"/>
    <w:rsid w:val="00E96743"/>
    <w:rsid w:val="00E96A42"/>
    <w:rsid w:val="00E97497"/>
    <w:rsid w:val="00EA49C5"/>
    <w:rsid w:val="00EA6279"/>
    <w:rsid w:val="00EB5027"/>
    <w:rsid w:val="00EC1836"/>
    <w:rsid w:val="00EC3990"/>
    <w:rsid w:val="00EC484B"/>
    <w:rsid w:val="00EC7E58"/>
    <w:rsid w:val="00ED15FA"/>
    <w:rsid w:val="00ED5C9F"/>
    <w:rsid w:val="00EE050C"/>
    <w:rsid w:val="00EE2113"/>
    <w:rsid w:val="00EE34C4"/>
    <w:rsid w:val="00EE5730"/>
    <w:rsid w:val="00EE6E9A"/>
    <w:rsid w:val="00EF2AC4"/>
    <w:rsid w:val="00EF397E"/>
    <w:rsid w:val="00F0340C"/>
    <w:rsid w:val="00F06F68"/>
    <w:rsid w:val="00F11241"/>
    <w:rsid w:val="00F112F3"/>
    <w:rsid w:val="00F15E9D"/>
    <w:rsid w:val="00F23FA7"/>
    <w:rsid w:val="00F24C2D"/>
    <w:rsid w:val="00F27D59"/>
    <w:rsid w:val="00F316E1"/>
    <w:rsid w:val="00F32155"/>
    <w:rsid w:val="00F32A81"/>
    <w:rsid w:val="00F40C82"/>
    <w:rsid w:val="00F4197F"/>
    <w:rsid w:val="00F42FC1"/>
    <w:rsid w:val="00F46998"/>
    <w:rsid w:val="00F5382D"/>
    <w:rsid w:val="00F53D9C"/>
    <w:rsid w:val="00F5462B"/>
    <w:rsid w:val="00F54653"/>
    <w:rsid w:val="00F569DE"/>
    <w:rsid w:val="00F57205"/>
    <w:rsid w:val="00F634AD"/>
    <w:rsid w:val="00F63677"/>
    <w:rsid w:val="00F70658"/>
    <w:rsid w:val="00F75B81"/>
    <w:rsid w:val="00F761CA"/>
    <w:rsid w:val="00F804C4"/>
    <w:rsid w:val="00F80C7E"/>
    <w:rsid w:val="00F82F83"/>
    <w:rsid w:val="00F90C64"/>
    <w:rsid w:val="00F9210C"/>
    <w:rsid w:val="00F92B30"/>
    <w:rsid w:val="00F933B9"/>
    <w:rsid w:val="00F94674"/>
    <w:rsid w:val="00F94919"/>
    <w:rsid w:val="00F94A59"/>
    <w:rsid w:val="00FA25B6"/>
    <w:rsid w:val="00FA2FAF"/>
    <w:rsid w:val="00FA54F6"/>
    <w:rsid w:val="00FA64B1"/>
    <w:rsid w:val="00FA70F3"/>
    <w:rsid w:val="00FA71CD"/>
    <w:rsid w:val="00FB0453"/>
    <w:rsid w:val="00FB0C07"/>
    <w:rsid w:val="00FB298D"/>
    <w:rsid w:val="00FB3171"/>
    <w:rsid w:val="00FB444E"/>
    <w:rsid w:val="00FC0767"/>
    <w:rsid w:val="00FC1439"/>
    <w:rsid w:val="00FC3F65"/>
    <w:rsid w:val="00FC45CD"/>
    <w:rsid w:val="00FC5007"/>
    <w:rsid w:val="00FC724B"/>
    <w:rsid w:val="00FC7910"/>
    <w:rsid w:val="00FD01E0"/>
    <w:rsid w:val="00FD50FC"/>
    <w:rsid w:val="00FE1627"/>
    <w:rsid w:val="00FE2D4E"/>
    <w:rsid w:val="00FF092F"/>
    <w:rsid w:val="00FF0DA7"/>
    <w:rsid w:val="00FF44E0"/>
    <w:rsid w:val="00FF6C72"/>
    <w:rsid w:val="010D33AD"/>
    <w:rsid w:val="01204E60"/>
    <w:rsid w:val="012C1670"/>
    <w:rsid w:val="012C1D4B"/>
    <w:rsid w:val="012D586E"/>
    <w:rsid w:val="01715040"/>
    <w:rsid w:val="019904CB"/>
    <w:rsid w:val="01FF7413"/>
    <w:rsid w:val="026915DE"/>
    <w:rsid w:val="02794EC0"/>
    <w:rsid w:val="029D7BF7"/>
    <w:rsid w:val="02D34F6D"/>
    <w:rsid w:val="030163A2"/>
    <w:rsid w:val="039D530A"/>
    <w:rsid w:val="03A819CC"/>
    <w:rsid w:val="03AB3605"/>
    <w:rsid w:val="03B21E30"/>
    <w:rsid w:val="03D9372E"/>
    <w:rsid w:val="045278F5"/>
    <w:rsid w:val="046B205C"/>
    <w:rsid w:val="047E559B"/>
    <w:rsid w:val="048706BD"/>
    <w:rsid w:val="04905AB8"/>
    <w:rsid w:val="04A34692"/>
    <w:rsid w:val="04E43B2D"/>
    <w:rsid w:val="05015581"/>
    <w:rsid w:val="0517577A"/>
    <w:rsid w:val="05384DE9"/>
    <w:rsid w:val="05DF22BB"/>
    <w:rsid w:val="06C25443"/>
    <w:rsid w:val="06F1778E"/>
    <w:rsid w:val="06FD269B"/>
    <w:rsid w:val="070913A1"/>
    <w:rsid w:val="070C14C4"/>
    <w:rsid w:val="070D76EA"/>
    <w:rsid w:val="0732799F"/>
    <w:rsid w:val="07567DAE"/>
    <w:rsid w:val="07C16F0C"/>
    <w:rsid w:val="07F83520"/>
    <w:rsid w:val="08483957"/>
    <w:rsid w:val="084D04BE"/>
    <w:rsid w:val="084D6B57"/>
    <w:rsid w:val="08604D3F"/>
    <w:rsid w:val="08621D8F"/>
    <w:rsid w:val="08786191"/>
    <w:rsid w:val="08E4597B"/>
    <w:rsid w:val="095F1F2B"/>
    <w:rsid w:val="09A813C2"/>
    <w:rsid w:val="0A192923"/>
    <w:rsid w:val="0A2171FF"/>
    <w:rsid w:val="0A374CDF"/>
    <w:rsid w:val="0A7A1A57"/>
    <w:rsid w:val="0A9E7E23"/>
    <w:rsid w:val="0AF60931"/>
    <w:rsid w:val="0AF84270"/>
    <w:rsid w:val="0AF9049F"/>
    <w:rsid w:val="0AFD74A2"/>
    <w:rsid w:val="0B7A009A"/>
    <w:rsid w:val="0BB64531"/>
    <w:rsid w:val="0BF503F6"/>
    <w:rsid w:val="0C1D5D35"/>
    <w:rsid w:val="0C1E2F3C"/>
    <w:rsid w:val="0C4919A4"/>
    <w:rsid w:val="0C6B2AE7"/>
    <w:rsid w:val="0C6C6B63"/>
    <w:rsid w:val="0C7F1316"/>
    <w:rsid w:val="0CA035B2"/>
    <w:rsid w:val="0CA923CF"/>
    <w:rsid w:val="0CB2273F"/>
    <w:rsid w:val="0CDA6210"/>
    <w:rsid w:val="0D1C5E09"/>
    <w:rsid w:val="0D226739"/>
    <w:rsid w:val="0D3219B7"/>
    <w:rsid w:val="0D3A3D6F"/>
    <w:rsid w:val="0D4A1213"/>
    <w:rsid w:val="0D5857C7"/>
    <w:rsid w:val="0D9B542C"/>
    <w:rsid w:val="0DCC5FEC"/>
    <w:rsid w:val="0DCD41F5"/>
    <w:rsid w:val="0DE3266F"/>
    <w:rsid w:val="0DE526DE"/>
    <w:rsid w:val="0DEA04A7"/>
    <w:rsid w:val="0E053D00"/>
    <w:rsid w:val="0E341E73"/>
    <w:rsid w:val="0E351412"/>
    <w:rsid w:val="0E5443D7"/>
    <w:rsid w:val="0E8E09F6"/>
    <w:rsid w:val="0EB46EC8"/>
    <w:rsid w:val="0EC814E6"/>
    <w:rsid w:val="0ED07843"/>
    <w:rsid w:val="0EE61B84"/>
    <w:rsid w:val="0F1E3A7F"/>
    <w:rsid w:val="0F1E7E75"/>
    <w:rsid w:val="0F20720E"/>
    <w:rsid w:val="0F880CAA"/>
    <w:rsid w:val="1003609C"/>
    <w:rsid w:val="10636BD4"/>
    <w:rsid w:val="10874DE5"/>
    <w:rsid w:val="10C11A4C"/>
    <w:rsid w:val="10D43399"/>
    <w:rsid w:val="1122288D"/>
    <w:rsid w:val="11473E3B"/>
    <w:rsid w:val="117B418F"/>
    <w:rsid w:val="118966C5"/>
    <w:rsid w:val="11BD0AA0"/>
    <w:rsid w:val="11BD1344"/>
    <w:rsid w:val="120B0A9D"/>
    <w:rsid w:val="122C632D"/>
    <w:rsid w:val="12346FF2"/>
    <w:rsid w:val="128D7888"/>
    <w:rsid w:val="129D0E11"/>
    <w:rsid w:val="12D80179"/>
    <w:rsid w:val="130C4C5C"/>
    <w:rsid w:val="13157C67"/>
    <w:rsid w:val="135C6593"/>
    <w:rsid w:val="137A768E"/>
    <w:rsid w:val="13BA6C1C"/>
    <w:rsid w:val="13ED2B61"/>
    <w:rsid w:val="14732500"/>
    <w:rsid w:val="148F295E"/>
    <w:rsid w:val="14F4181D"/>
    <w:rsid w:val="14FA0E52"/>
    <w:rsid w:val="15660B95"/>
    <w:rsid w:val="16495071"/>
    <w:rsid w:val="169646BB"/>
    <w:rsid w:val="16AA1E4B"/>
    <w:rsid w:val="17364017"/>
    <w:rsid w:val="17395B94"/>
    <w:rsid w:val="175B4DC9"/>
    <w:rsid w:val="1784203A"/>
    <w:rsid w:val="17D91683"/>
    <w:rsid w:val="17FC237C"/>
    <w:rsid w:val="1819491E"/>
    <w:rsid w:val="181B3957"/>
    <w:rsid w:val="18B57DD7"/>
    <w:rsid w:val="18B70C2A"/>
    <w:rsid w:val="18BF10F5"/>
    <w:rsid w:val="18D80F3D"/>
    <w:rsid w:val="19203160"/>
    <w:rsid w:val="19426D11"/>
    <w:rsid w:val="197E3EEE"/>
    <w:rsid w:val="19A50352"/>
    <w:rsid w:val="19C22180"/>
    <w:rsid w:val="19C34E03"/>
    <w:rsid w:val="19FB0DC7"/>
    <w:rsid w:val="1A814FC7"/>
    <w:rsid w:val="1A9D303F"/>
    <w:rsid w:val="1AF942BE"/>
    <w:rsid w:val="1AFF598F"/>
    <w:rsid w:val="1B06688A"/>
    <w:rsid w:val="1B8D7C25"/>
    <w:rsid w:val="1BAF4F08"/>
    <w:rsid w:val="1BBA0A3A"/>
    <w:rsid w:val="1CA84C6A"/>
    <w:rsid w:val="1D082152"/>
    <w:rsid w:val="1D0A6E3B"/>
    <w:rsid w:val="1D5053AC"/>
    <w:rsid w:val="1D551EB0"/>
    <w:rsid w:val="1DD63763"/>
    <w:rsid w:val="1E2C09DC"/>
    <w:rsid w:val="1E8308CB"/>
    <w:rsid w:val="1EA60511"/>
    <w:rsid w:val="1EBF1F09"/>
    <w:rsid w:val="1EE10C3B"/>
    <w:rsid w:val="1F056F60"/>
    <w:rsid w:val="1F251CE5"/>
    <w:rsid w:val="1F3B654D"/>
    <w:rsid w:val="1F610EF5"/>
    <w:rsid w:val="1FBA47C5"/>
    <w:rsid w:val="1FC20DDF"/>
    <w:rsid w:val="1FCE5326"/>
    <w:rsid w:val="1FD27811"/>
    <w:rsid w:val="1FD80D6D"/>
    <w:rsid w:val="1FF33BD4"/>
    <w:rsid w:val="201A20BE"/>
    <w:rsid w:val="202A7B89"/>
    <w:rsid w:val="204C665A"/>
    <w:rsid w:val="204F0648"/>
    <w:rsid w:val="2057469F"/>
    <w:rsid w:val="20BC0099"/>
    <w:rsid w:val="20EB7610"/>
    <w:rsid w:val="2132299E"/>
    <w:rsid w:val="213845A5"/>
    <w:rsid w:val="215374FA"/>
    <w:rsid w:val="216C45BD"/>
    <w:rsid w:val="2191146D"/>
    <w:rsid w:val="219437E5"/>
    <w:rsid w:val="21A87CB9"/>
    <w:rsid w:val="21B64C29"/>
    <w:rsid w:val="22155B52"/>
    <w:rsid w:val="22725EDB"/>
    <w:rsid w:val="22743C6E"/>
    <w:rsid w:val="22802F7B"/>
    <w:rsid w:val="229A0D33"/>
    <w:rsid w:val="22B81D10"/>
    <w:rsid w:val="22C43B16"/>
    <w:rsid w:val="22EE5628"/>
    <w:rsid w:val="22F8554A"/>
    <w:rsid w:val="22FC5478"/>
    <w:rsid w:val="238A4136"/>
    <w:rsid w:val="23916107"/>
    <w:rsid w:val="23AB7C89"/>
    <w:rsid w:val="23AD7EA9"/>
    <w:rsid w:val="241F3176"/>
    <w:rsid w:val="2437536F"/>
    <w:rsid w:val="248B231F"/>
    <w:rsid w:val="24913E86"/>
    <w:rsid w:val="24A612C4"/>
    <w:rsid w:val="250B768C"/>
    <w:rsid w:val="255518C5"/>
    <w:rsid w:val="255D76E7"/>
    <w:rsid w:val="255E3298"/>
    <w:rsid w:val="2567385D"/>
    <w:rsid w:val="256C7256"/>
    <w:rsid w:val="260E10F9"/>
    <w:rsid w:val="26181F60"/>
    <w:rsid w:val="2628479E"/>
    <w:rsid w:val="263266DA"/>
    <w:rsid w:val="26326B31"/>
    <w:rsid w:val="263575A8"/>
    <w:rsid w:val="26A53DF2"/>
    <w:rsid w:val="26AE4107"/>
    <w:rsid w:val="26DE18D2"/>
    <w:rsid w:val="26F56EA5"/>
    <w:rsid w:val="26FA733E"/>
    <w:rsid w:val="272A7FCB"/>
    <w:rsid w:val="27516A6F"/>
    <w:rsid w:val="278553C7"/>
    <w:rsid w:val="27DF124C"/>
    <w:rsid w:val="27E85AF1"/>
    <w:rsid w:val="28063D51"/>
    <w:rsid w:val="2838457C"/>
    <w:rsid w:val="283C4B91"/>
    <w:rsid w:val="284D3320"/>
    <w:rsid w:val="286F38A5"/>
    <w:rsid w:val="29057C91"/>
    <w:rsid w:val="29483D10"/>
    <w:rsid w:val="296F185B"/>
    <w:rsid w:val="29763EBB"/>
    <w:rsid w:val="297D4520"/>
    <w:rsid w:val="29954372"/>
    <w:rsid w:val="29BA3255"/>
    <w:rsid w:val="29D903FE"/>
    <w:rsid w:val="2A260EE5"/>
    <w:rsid w:val="2A5A5038"/>
    <w:rsid w:val="2B0A1C55"/>
    <w:rsid w:val="2B403F1C"/>
    <w:rsid w:val="2B8F1BA9"/>
    <w:rsid w:val="2BCB01EA"/>
    <w:rsid w:val="2C3C4CFD"/>
    <w:rsid w:val="2C420CA2"/>
    <w:rsid w:val="2C4F6FCA"/>
    <w:rsid w:val="2CA76EBD"/>
    <w:rsid w:val="2CD84EBC"/>
    <w:rsid w:val="2CF1521D"/>
    <w:rsid w:val="2D1633EB"/>
    <w:rsid w:val="2DC565FB"/>
    <w:rsid w:val="2DC87301"/>
    <w:rsid w:val="2E591764"/>
    <w:rsid w:val="2E6B1DE6"/>
    <w:rsid w:val="2E791E80"/>
    <w:rsid w:val="2E8009D7"/>
    <w:rsid w:val="2EBA127C"/>
    <w:rsid w:val="2ECD5581"/>
    <w:rsid w:val="2EDE1085"/>
    <w:rsid w:val="2EE4145B"/>
    <w:rsid w:val="2EED0C47"/>
    <w:rsid w:val="2EF54B82"/>
    <w:rsid w:val="2F040C21"/>
    <w:rsid w:val="2F337E68"/>
    <w:rsid w:val="2F42600C"/>
    <w:rsid w:val="2F5D55F2"/>
    <w:rsid w:val="2FBA6839"/>
    <w:rsid w:val="2FF80826"/>
    <w:rsid w:val="2FFE357F"/>
    <w:rsid w:val="30242066"/>
    <w:rsid w:val="302E7A9B"/>
    <w:rsid w:val="306D45C5"/>
    <w:rsid w:val="310E7C9B"/>
    <w:rsid w:val="31652284"/>
    <w:rsid w:val="3178679E"/>
    <w:rsid w:val="319F2994"/>
    <w:rsid w:val="31A8644E"/>
    <w:rsid w:val="31CB441C"/>
    <w:rsid w:val="31D24CF8"/>
    <w:rsid w:val="32023BD6"/>
    <w:rsid w:val="32456059"/>
    <w:rsid w:val="32520059"/>
    <w:rsid w:val="326B20A4"/>
    <w:rsid w:val="32707E5D"/>
    <w:rsid w:val="3279415D"/>
    <w:rsid w:val="32E0259E"/>
    <w:rsid w:val="33533B11"/>
    <w:rsid w:val="33622278"/>
    <w:rsid w:val="33870F6C"/>
    <w:rsid w:val="33A658B5"/>
    <w:rsid w:val="3402671F"/>
    <w:rsid w:val="34164CB8"/>
    <w:rsid w:val="34AD118C"/>
    <w:rsid w:val="34D91664"/>
    <w:rsid w:val="351B21C8"/>
    <w:rsid w:val="358126FD"/>
    <w:rsid w:val="35A36F00"/>
    <w:rsid w:val="35B8401F"/>
    <w:rsid w:val="36121B4E"/>
    <w:rsid w:val="36656B11"/>
    <w:rsid w:val="36746FCC"/>
    <w:rsid w:val="36E62B4B"/>
    <w:rsid w:val="3740275B"/>
    <w:rsid w:val="378F5889"/>
    <w:rsid w:val="37F8773A"/>
    <w:rsid w:val="37FA604C"/>
    <w:rsid w:val="38446135"/>
    <w:rsid w:val="384E744B"/>
    <w:rsid w:val="385E779A"/>
    <w:rsid w:val="38671895"/>
    <w:rsid w:val="38A40AE5"/>
    <w:rsid w:val="390E15F4"/>
    <w:rsid w:val="39226AF1"/>
    <w:rsid w:val="39461BAF"/>
    <w:rsid w:val="396038D6"/>
    <w:rsid w:val="397C56D9"/>
    <w:rsid w:val="39A76AC0"/>
    <w:rsid w:val="39B45396"/>
    <w:rsid w:val="39D077BC"/>
    <w:rsid w:val="39E15207"/>
    <w:rsid w:val="3A0B148C"/>
    <w:rsid w:val="3A28264A"/>
    <w:rsid w:val="3A615E19"/>
    <w:rsid w:val="3A736332"/>
    <w:rsid w:val="3AAA3A71"/>
    <w:rsid w:val="3AEF4AD9"/>
    <w:rsid w:val="3B2450C5"/>
    <w:rsid w:val="3B31632B"/>
    <w:rsid w:val="3B433CF6"/>
    <w:rsid w:val="3B5108C1"/>
    <w:rsid w:val="3C2F7DFB"/>
    <w:rsid w:val="3C6C75A2"/>
    <w:rsid w:val="3C796294"/>
    <w:rsid w:val="3CAE6659"/>
    <w:rsid w:val="3CCE3060"/>
    <w:rsid w:val="3CD5250D"/>
    <w:rsid w:val="3CE17FE6"/>
    <w:rsid w:val="3D1569E8"/>
    <w:rsid w:val="3D3553C5"/>
    <w:rsid w:val="3D3B25C0"/>
    <w:rsid w:val="3D564182"/>
    <w:rsid w:val="3D694291"/>
    <w:rsid w:val="3D977B87"/>
    <w:rsid w:val="3DDF5B8E"/>
    <w:rsid w:val="3E5279D1"/>
    <w:rsid w:val="3E76545E"/>
    <w:rsid w:val="3EBE4251"/>
    <w:rsid w:val="3EDF0A9E"/>
    <w:rsid w:val="3F024E1E"/>
    <w:rsid w:val="3F1E74D9"/>
    <w:rsid w:val="3F2346F3"/>
    <w:rsid w:val="3F3451E0"/>
    <w:rsid w:val="3F4A4620"/>
    <w:rsid w:val="3F510587"/>
    <w:rsid w:val="3F552210"/>
    <w:rsid w:val="3FB62CC4"/>
    <w:rsid w:val="3FCE7F64"/>
    <w:rsid w:val="40055CF9"/>
    <w:rsid w:val="401960E8"/>
    <w:rsid w:val="401B739D"/>
    <w:rsid w:val="404A4818"/>
    <w:rsid w:val="4080278C"/>
    <w:rsid w:val="4096249E"/>
    <w:rsid w:val="40A150CF"/>
    <w:rsid w:val="41224B43"/>
    <w:rsid w:val="41271F53"/>
    <w:rsid w:val="413D39CA"/>
    <w:rsid w:val="417A557D"/>
    <w:rsid w:val="41986D20"/>
    <w:rsid w:val="419B3F5E"/>
    <w:rsid w:val="419E48CC"/>
    <w:rsid w:val="41B94032"/>
    <w:rsid w:val="41F81874"/>
    <w:rsid w:val="4227503B"/>
    <w:rsid w:val="42926087"/>
    <w:rsid w:val="42F31CDF"/>
    <w:rsid w:val="43016A4D"/>
    <w:rsid w:val="430B3F6F"/>
    <w:rsid w:val="43231C85"/>
    <w:rsid w:val="43484A52"/>
    <w:rsid w:val="435A4B18"/>
    <w:rsid w:val="4382659C"/>
    <w:rsid w:val="438F1E6B"/>
    <w:rsid w:val="43DD69BB"/>
    <w:rsid w:val="43E624C1"/>
    <w:rsid w:val="44372413"/>
    <w:rsid w:val="443A4E82"/>
    <w:rsid w:val="44462CCE"/>
    <w:rsid w:val="44541DBE"/>
    <w:rsid w:val="44A2419B"/>
    <w:rsid w:val="45304109"/>
    <w:rsid w:val="459E5A8E"/>
    <w:rsid w:val="45CA13BF"/>
    <w:rsid w:val="461C36AF"/>
    <w:rsid w:val="4653005B"/>
    <w:rsid w:val="469D02AA"/>
    <w:rsid w:val="46D40BF7"/>
    <w:rsid w:val="46DC25FB"/>
    <w:rsid w:val="47095A11"/>
    <w:rsid w:val="47556B7D"/>
    <w:rsid w:val="47636DAA"/>
    <w:rsid w:val="47765BA8"/>
    <w:rsid w:val="477A02CD"/>
    <w:rsid w:val="478B08BC"/>
    <w:rsid w:val="48327BC1"/>
    <w:rsid w:val="48590953"/>
    <w:rsid w:val="485E043E"/>
    <w:rsid w:val="48867010"/>
    <w:rsid w:val="4893256B"/>
    <w:rsid w:val="48B7730F"/>
    <w:rsid w:val="48CC1EEF"/>
    <w:rsid w:val="48CE07A2"/>
    <w:rsid w:val="48F25B0E"/>
    <w:rsid w:val="49125486"/>
    <w:rsid w:val="49622C49"/>
    <w:rsid w:val="49AE75B2"/>
    <w:rsid w:val="49C10655"/>
    <w:rsid w:val="49E07403"/>
    <w:rsid w:val="4A19176C"/>
    <w:rsid w:val="4A2B47B5"/>
    <w:rsid w:val="4A4C2F3A"/>
    <w:rsid w:val="4A684B84"/>
    <w:rsid w:val="4ACA77C2"/>
    <w:rsid w:val="4AF5231A"/>
    <w:rsid w:val="4B2E0E71"/>
    <w:rsid w:val="4B3D1797"/>
    <w:rsid w:val="4BB3120E"/>
    <w:rsid w:val="4BFA4B0D"/>
    <w:rsid w:val="4BFB5526"/>
    <w:rsid w:val="4C323763"/>
    <w:rsid w:val="4C4B51D7"/>
    <w:rsid w:val="4C4F6545"/>
    <w:rsid w:val="4C543B4D"/>
    <w:rsid w:val="4CB55AB9"/>
    <w:rsid w:val="4CD4668A"/>
    <w:rsid w:val="4D501D3E"/>
    <w:rsid w:val="4D5F52EB"/>
    <w:rsid w:val="4D8D3C74"/>
    <w:rsid w:val="4DAF5B9B"/>
    <w:rsid w:val="4DC53DFF"/>
    <w:rsid w:val="4E11127F"/>
    <w:rsid w:val="4E5248C6"/>
    <w:rsid w:val="4E711361"/>
    <w:rsid w:val="4EBC7327"/>
    <w:rsid w:val="4EC751B1"/>
    <w:rsid w:val="4EE124AB"/>
    <w:rsid w:val="4EE579D4"/>
    <w:rsid w:val="4F056A5C"/>
    <w:rsid w:val="4F133B07"/>
    <w:rsid w:val="4F2E0450"/>
    <w:rsid w:val="4F5162CF"/>
    <w:rsid w:val="4F674171"/>
    <w:rsid w:val="4FA339D5"/>
    <w:rsid w:val="4FE538CA"/>
    <w:rsid w:val="5032028D"/>
    <w:rsid w:val="50670118"/>
    <w:rsid w:val="50741756"/>
    <w:rsid w:val="50760063"/>
    <w:rsid w:val="508C716F"/>
    <w:rsid w:val="50944F4E"/>
    <w:rsid w:val="509732FE"/>
    <w:rsid w:val="50A27C7F"/>
    <w:rsid w:val="50D212FE"/>
    <w:rsid w:val="511F73DD"/>
    <w:rsid w:val="51AF1B29"/>
    <w:rsid w:val="51BA045C"/>
    <w:rsid w:val="51C244FA"/>
    <w:rsid w:val="51FA155A"/>
    <w:rsid w:val="52017EB5"/>
    <w:rsid w:val="525F51CA"/>
    <w:rsid w:val="52706CD8"/>
    <w:rsid w:val="527E3699"/>
    <w:rsid w:val="52C362D4"/>
    <w:rsid w:val="531A299A"/>
    <w:rsid w:val="5327736C"/>
    <w:rsid w:val="532F1B99"/>
    <w:rsid w:val="535770A4"/>
    <w:rsid w:val="53701838"/>
    <w:rsid w:val="53760FF6"/>
    <w:rsid w:val="537821E2"/>
    <w:rsid w:val="5379563B"/>
    <w:rsid w:val="537B1726"/>
    <w:rsid w:val="53FB5BE2"/>
    <w:rsid w:val="54107D47"/>
    <w:rsid w:val="543150E0"/>
    <w:rsid w:val="54524A0D"/>
    <w:rsid w:val="54CC2C83"/>
    <w:rsid w:val="54E11231"/>
    <w:rsid w:val="54FC31FE"/>
    <w:rsid w:val="552656D1"/>
    <w:rsid w:val="5559552D"/>
    <w:rsid w:val="55944BAC"/>
    <w:rsid w:val="55C90905"/>
    <w:rsid w:val="55F80352"/>
    <w:rsid w:val="560D3AA6"/>
    <w:rsid w:val="56151E85"/>
    <w:rsid w:val="56C90E70"/>
    <w:rsid w:val="56EA0494"/>
    <w:rsid w:val="570D1FA1"/>
    <w:rsid w:val="57150B13"/>
    <w:rsid w:val="571A6F41"/>
    <w:rsid w:val="574B4E95"/>
    <w:rsid w:val="57585B77"/>
    <w:rsid w:val="5765329A"/>
    <w:rsid w:val="57A66A83"/>
    <w:rsid w:val="57B22942"/>
    <w:rsid w:val="57D32BCA"/>
    <w:rsid w:val="57F56852"/>
    <w:rsid w:val="580119A4"/>
    <w:rsid w:val="5809250B"/>
    <w:rsid w:val="585F53AE"/>
    <w:rsid w:val="586E0854"/>
    <w:rsid w:val="5871766D"/>
    <w:rsid w:val="58AF7069"/>
    <w:rsid w:val="5929493F"/>
    <w:rsid w:val="594037F6"/>
    <w:rsid w:val="59AF719C"/>
    <w:rsid w:val="59B20BD0"/>
    <w:rsid w:val="59BD04BD"/>
    <w:rsid w:val="59F62B09"/>
    <w:rsid w:val="5A0D464C"/>
    <w:rsid w:val="5A7D249A"/>
    <w:rsid w:val="5A9E302D"/>
    <w:rsid w:val="5AE24390"/>
    <w:rsid w:val="5AFF69B7"/>
    <w:rsid w:val="5B274CF8"/>
    <w:rsid w:val="5B7D7C9A"/>
    <w:rsid w:val="5B8108D9"/>
    <w:rsid w:val="5BD1057E"/>
    <w:rsid w:val="5C1A3869"/>
    <w:rsid w:val="5C2D5E2C"/>
    <w:rsid w:val="5C6F78DD"/>
    <w:rsid w:val="5D497D71"/>
    <w:rsid w:val="5D9A208B"/>
    <w:rsid w:val="5DB21AFD"/>
    <w:rsid w:val="5DCE10F8"/>
    <w:rsid w:val="5E1B017F"/>
    <w:rsid w:val="5E417635"/>
    <w:rsid w:val="5E8B509C"/>
    <w:rsid w:val="5EC54892"/>
    <w:rsid w:val="5F024D8B"/>
    <w:rsid w:val="5F092E47"/>
    <w:rsid w:val="5F8337BC"/>
    <w:rsid w:val="5FF1639A"/>
    <w:rsid w:val="5FFD540D"/>
    <w:rsid w:val="601E4214"/>
    <w:rsid w:val="60361DFE"/>
    <w:rsid w:val="604257BF"/>
    <w:rsid w:val="605E023D"/>
    <w:rsid w:val="606231EE"/>
    <w:rsid w:val="60716E02"/>
    <w:rsid w:val="607723B2"/>
    <w:rsid w:val="60AB0A9B"/>
    <w:rsid w:val="60D325A8"/>
    <w:rsid w:val="60EF0062"/>
    <w:rsid w:val="61226C33"/>
    <w:rsid w:val="619B2509"/>
    <w:rsid w:val="61A649DF"/>
    <w:rsid w:val="61C2503A"/>
    <w:rsid w:val="61D246D2"/>
    <w:rsid w:val="61ED6F04"/>
    <w:rsid w:val="62BD28EE"/>
    <w:rsid w:val="63265187"/>
    <w:rsid w:val="637278E2"/>
    <w:rsid w:val="63AA6B5A"/>
    <w:rsid w:val="63AB6B3B"/>
    <w:rsid w:val="63C669E5"/>
    <w:rsid w:val="63D374BA"/>
    <w:rsid w:val="64074E17"/>
    <w:rsid w:val="6415628F"/>
    <w:rsid w:val="64223DA5"/>
    <w:rsid w:val="64405F84"/>
    <w:rsid w:val="649661C0"/>
    <w:rsid w:val="64A368F3"/>
    <w:rsid w:val="64B56115"/>
    <w:rsid w:val="64DB6989"/>
    <w:rsid w:val="65057496"/>
    <w:rsid w:val="6527686A"/>
    <w:rsid w:val="652A70F9"/>
    <w:rsid w:val="65420B91"/>
    <w:rsid w:val="65676362"/>
    <w:rsid w:val="658574D3"/>
    <w:rsid w:val="65A9476B"/>
    <w:rsid w:val="65CD73A1"/>
    <w:rsid w:val="65D975EE"/>
    <w:rsid w:val="65E45AEB"/>
    <w:rsid w:val="661F4724"/>
    <w:rsid w:val="662A238D"/>
    <w:rsid w:val="6658483E"/>
    <w:rsid w:val="6679320F"/>
    <w:rsid w:val="66945D52"/>
    <w:rsid w:val="669C387F"/>
    <w:rsid w:val="67162A0C"/>
    <w:rsid w:val="675F1B3E"/>
    <w:rsid w:val="67792F57"/>
    <w:rsid w:val="6795137D"/>
    <w:rsid w:val="67CF7FC2"/>
    <w:rsid w:val="67E814EB"/>
    <w:rsid w:val="67F27C57"/>
    <w:rsid w:val="680A4B48"/>
    <w:rsid w:val="68281582"/>
    <w:rsid w:val="684C190E"/>
    <w:rsid w:val="68563060"/>
    <w:rsid w:val="68596271"/>
    <w:rsid w:val="68644CD5"/>
    <w:rsid w:val="68650FDD"/>
    <w:rsid w:val="688120C0"/>
    <w:rsid w:val="68C42271"/>
    <w:rsid w:val="68CD4750"/>
    <w:rsid w:val="68F16842"/>
    <w:rsid w:val="69087D08"/>
    <w:rsid w:val="69124643"/>
    <w:rsid w:val="692C67C9"/>
    <w:rsid w:val="696F7586"/>
    <w:rsid w:val="699220B3"/>
    <w:rsid w:val="69A70C5E"/>
    <w:rsid w:val="69A76D05"/>
    <w:rsid w:val="6A097AFE"/>
    <w:rsid w:val="6A1C49A0"/>
    <w:rsid w:val="6A214A4A"/>
    <w:rsid w:val="6A2A5647"/>
    <w:rsid w:val="6A310376"/>
    <w:rsid w:val="6A4F77F7"/>
    <w:rsid w:val="6A652ECB"/>
    <w:rsid w:val="6AAD7CEE"/>
    <w:rsid w:val="6AC06C1C"/>
    <w:rsid w:val="6B39173C"/>
    <w:rsid w:val="6B413C93"/>
    <w:rsid w:val="6B577807"/>
    <w:rsid w:val="6BC71033"/>
    <w:rsid w:val="6C044B3F"/>
    <w:rsid w:val="6C17586F"/>
    <w:rsid w:val="6C5B3E21"/>
    <w:rsid w:val="6C604173"/>
    <w:rsid w:val="6CAB076F"/>
    <w:rsid w:val="6CC12941"/>
    <w:rsid w:val="6CF779B9"/>
    <w:rsid w:val="6CF93B3D"/>
    <w:rsid w:val="6D315DD0"/>
    <w:rsid w:val="6D4415D6"/>
    <w:rsid w:val="6D4D01B4"/>
    <w:rsid w:val="6D5F163D"/>
    <w:rsid w:val="6DB5394B"/>
    <w:rsid w:val="6DB64E45"/>
    <w:rsid w:val="6E3B0D6E"/>
    <w:rsid w:val="6E4542E5"/>
    <w:rsid w:val="6E780095"/>
    <w:rsid w:val="6EF7F679"/>
    <w:rsid w:val="6F3F562C"/>
    <w:rsid w:val="6F544FB0"/>
    <w:rsid w:val="6F5D1188"/>
    <w:rsid w:val="6F894425"/>
    <w:rsid w:val="703313EA"/>
    <w:rsid w:val="705C45AD"/>
    <w:rsid w:val="70700F05"/>
    <w:rsid w:val="70DF2712"/>
    <w:rsid w:val="71026C99"/>
    <w:rsid w:val="711E0827"/>
    <w:rsid w:val="71405283"/>
    <w:rsid w:val="715042B1"/>
    <w:rsid w:val="7165211B"/>
    <w:rsid w:val="71727EDF"/>
    <w:rsid w:val="71DC6004"/>
    <w:rsid w:val="721D7641"/>
    <w:rsid w:val="72225CB2"/>
    <w:rsid w:val="72334B58"/>
    <w:rsid w:val="72611200"/>
    <w:rsid w:val="72804D85"/>
    <w:rsid w:val="728D0223"/>
    <w:rsid w:val="728D3481"/>
    <w:rsid w:val="72B51338"/>
    <w:rsid w:val="72F50B73"/>
    <w:rsid w:val="73041CD6"/>
    <w:rsid w:val="73264A5C"/>
    <w:rsid w:val="736F6DB0"/>
    <w:rsid w:val="738D1C6D"/>
    <w:rsid w:val="73A84D2C"/>
    <w:rsid w:val="73C0250D"/>
    <w:rsid w:val="741A2AAA"/>
    <w:rsid w:val="741A4940"/>
    <w:rsid w:val="74372EDA"/>
    <w:rsid w:val="743C3826"/>
    <w:rsid w:val="746E24FE"/>
    <w:rsid w:val="74816627"/>
    <w:rsid w:val="748809B2"/>
    <w:rsid w:val="74FC2405"/>
    <w:rsid w:val="74FE6F66"/>
    <w:rsid w:val="757B389D"/>
    <w:rsid w:val="75832D81"/>
    <w:rsid w:val="758F1799"/>
    <w:rsid w:val="76162B3C"/>
    <w:rsid w:val="76660FB3"/>
    <w:rsid w:val="766C58D6"/>
    <w:rsid w:val="768A03C1"/>
    <w:rsid w:val="76B649F5"/>
    <w:rsid w:val="76DB2F59"/>
    <w:rsid w:val="77363E42"/>
    <w:rsid w:val="776F1308"/>
    <w:rsid w:val="7775580C"/>
    <w:rsid w:val="777D4835"/>
    <w:rsid w:val="77950D33"/>
    <w:rsid w:val="77B87CE0"/>
    <w:rsid w:val="77D624AB"/>
    <w:rsid w:val="77DA3BB7"/>
    <w:rsid w:val="77FF0407"/>
    <w:rsid w:val="78171169"/>
    <w:rsid w:val="78654AC3"/>
    <w:rsid w:val="78865BF0"/>
    <w:rsid w:val="78B55C74"/>
    <w:rsid w:val="78C23F7E"/>
    <w:rsid w:val="795468B1"/>
    <w:rsid w:val="799B26EC"/>
    <w:rsid w:val="79B87F12"/>
    <w:rsid w:val="79CA3266"/>
    <w:rsid w:val="79F611E1"/>
    <w:rsid w:val="7A0E6852"/>
    <w:rsid w:val="7A7E3D3B"/>
    <w:rsid w:val="7A927505"/>
    <w:rsid w:val="7AA5191E"/>
    <w:rsid w:val="7AC32DFE"/>
    <w:rsid w:val="7ADD5A0E"/>
    <w:rsid w:val="7B0709B2"/>
    <w:rsid w:val="7B442458"/>
    <w:rsid w:val="7BAE561D"/>
    <w:rsid w:val="7BF3493D"/>
    <w:rsid w:val="7C035DC4"/>
    <w:rsid w:val="7C197C85"/>
    <w:rsid w:val="7C4118F4"/>
    <w:rsid w:val="7C681241"/>
    <w:rsid w:val="7CA6565C"/>
    <w:rsid w:val="7CFB2161"/>
    <w:rsid w:val="7D4A67C5"/>
    <w:rsid w:val="7D7659BC"/>
    <w:rsid w:val="7DBC199B"/>
    <w:rsid w:val="7DC66C04"/>
    <w:rsid w:val="7DDC2B5F"/>
    <w:rsid w:val="7DDE2B80"/>
    <w:rsid w:val="7DF127DB"/>
    <w:rsid w:val="7E6A4242"/>
    <w:rsid w:val="7EBC138C"/>
    <w:rsid w:val="7EC17375"/>
    <w:rsid w:val="7ED14C93"/>
    <w:rsid w:val="7F0C44C2"/>
    <w:rsid w:val="7F1C31EC"/>
    <w:rsid w:val="7F263C4D"/>
    <w:rsid w:val="7F5E01D4"/>
    <w:rsid w:val="7F6D6853"/>
    <w:rsid w:val="7FB42B6D"/>
    <w:rsid w:val="7FE74653"/>
    <w:rsid w:val="7FEB29EB"/>
    <w:rsid w:val="8F7D145B"/>
    <w:rsid w:val="FFF7B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3">
    <w:name w:val="heading 1"/>
    <w:basedOn w:val="1"/>
    <w:next w:val="1"/>
    <w:link w:val="48"/>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b/>
      <w:bCs/>
      <w:sz w:val="32"/>
      <w:szCs w:val="32"/>
    </w:rPr>
  </w:style>
  <w:style w:type="paragraph" w:styleId="5">
    <w:name w:val="heading 3"/>
    <w:basedOn w:val="1"/>
    <w:next w:val="1"/>
    <w:link w:val="50"/>
    <w:semiHidden/>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55"/>
    <w:qFormat/>
    <w:uiPriority w:val="0"/>
    <w:pPr>
      <w:keepNext/>
      <w:keepLines/>
      <w:spacing w:before="280" w:after="290" w:line="376" w:lineRule="auto"/>
      <w:outlineLvl w:val="3"/>
    </w:pPr>
    <w:rPr>
      <w:b/>
      <w:bCs/>
      <w:sz w:val="28"/>
      <w:szCs w:val="28"/>
    </w:rPr>
  </w:style>
  <w:style w:type="paragraph" w:styleId="7">
    <w:name w:val="heading 5"/>
    <w:basedOn w:val="1"/>
    <w:next w:val="1"/>
    <w:unhideWhenUsed/>
    <w:qFormat/>
    <w:uiPriority w:val="9"/>
    <w:pPr>
      <w:keepNext/>
      <w:keepLines/>
      <w:spacing w:before="280" w:beforeLines="0" w:beforeAutospacing="0" w:after="290" w:afterLines="0" w:afterAutospacing="0" w:line="372" w:lineRule="auto"/>
      <w:outlineLvl w:val="4"/>
    </w:pPr>
    <w:rPr>
      <w:b/>
      <w:sz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35"/>
    <w:unhideWhenUsed/>
    <w:qFormat/>
    <w:uiPriority w:val="99"/>
    <w:pPr>
      <w:tabs>
        <w:tab w:val="center" w:pos="4153"/>
        <w:tab w:val="right" w:pos="8306"/>
      </w:tabs>
      <w:snapToGrid w:val="0"/>
      <w:jc w:val="left"/>
    </w:pPr>
    <w:rPr>
      <w:sz w:val="18"/>
      <w:szCs w:val="18"/>
    </w:rPr>
  </w:style>
  <w:style w:type="paragraph" w:styleId="8">
    <w:name w:val="Normal Indent"/>
    <w:basedOn w:val="1"/>
    <w:next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9">
    <w:name w:val="annotation text"/>
    <w:basedOn w:val="1"/>
    <w:link w:val="47"/>
    <w:qFormat/>
    <w:uiPriority w:val="0"/>
    <w:pPr>
      <w:jc w:val="left"/>
    </w:pPr>
    <w:rPr>
      <w:rFonts w:ascii="Arial" w:hAnsi="Arial" w:eastAsia="黑体" w:cs="Arial"/>
    </w:rPr>
  </w:style>
  <w:style w:type="paragraph" w:styleId="10">
    <w:name w:val="Body Text"/>
    <w:basedOn w:val="1"/>
    <w:link w:val="56"/>
    <w:qFormat/>
    <w:uiPriority w:val="0"/>
    <w:pPr>
      <w:spacing w:after="120"/>
    </w:pPr>
    <w:rPr>
      <w:rFonts w:ascii="@微软简标宋" w:hAnsi="@微软简标宋" w:eastAsia="@微软简标宋" w:cs="@微软简标宋"/>
      <w:szCs w:val="24"/>
      <w:lang w:val="zh-CN"/>
    </w:rPr>
  </w:style>
  <w:style w:type="paragraph" w:styleId="11">
    <w:name w:val="Body Text Indent"/>
    <w:basedOn w:val="1"/>
    <w:qFormat/>
    <w:uiPriority w:val="0"/>
    <w:pPr>
      <w:ind w:firstLine="660"/>
    </w:pPr>
    <w:rPr>
      <w:rFonts w:ascii="宋体" w:hAnsi="宋体"/>
      <w:color w:val="000000"/>
      <w:sz w:val="24"/>
    </w:rPr>
  </w:style>
  <w:style w:type="paragraph" w:styleId="12">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13">
    <w:name w:val="Plain Text"/>
    <w:basedOn w:val="1"/>
    <w:link w:val="36"/>
    <w:qFormat/>
    <w:uiPriority w:val="99"/>
    <w:rPr>
      <w:rFonts w:ascii="宋体" w:hAnsi="Courier New" w:eastAsiaTheme="minorEastAsia" w:cstheme="minorBidi"/>
      <w:szCs w:val="22"/>
    </w:rPr>
  </w:style>
  <w:style w:type="paragraph" w:styleId="14">
    <w:name w:val="Date"/>
    <w:basedOn w:val="1"/>
    <w:next w:val="1"/>
    <w:link w:val="43"/>
    <w:qFormat/>
    <w:uiPriority w:val="0"/>
    <w:rPr>
      <w:rFonts w:ascii="Arial" w:hAnsi="Arial" w:eastAsia="宋体" w:cs="Arial"/>
      <w:b/>
      <w:sz w:val="28"/>
    </w:rPr>
  </w:style>
  <w:style w:type="paragraph" w:styleId="15">
    <w:name w:val="Balloon Text"/>
    <w:basedOn w:val="1"/>
    <w:link w:val="30"/>
    <w:semiHidden/>
    <w:unhideWhenUsed/>
    <w:qFormat/>
    <w:uiPriority w:val="99"/>
    <w:rPr>
      <w:sz w:val="18"/>
      <w:szCs w:val="18"/>
    </w:rPr>
  </w:style>
  <w:style w:type="paragraph" w:styleId="16">
    <w:name w:val="envelope return"/>
    <w:basedOn w:val="1"/>
    <w:qFormat/>
    <w:uiPriority w:val="0"/>
    <w:pPr>
      <w:snapToGrid w:val="0"/>
    </w:pPr>
    <w:rPr>
      <w:rFonts w:ascii="Arial" w:hAnsi="Arial"/>
    </w:rPr>
  </w:style>
  <w:style w:type="paragraph" w:styleId="17">
    <w:name w:val="header"/>
    <w:basedOn w:val="1"/>
    <w:link w:val="34"/>
    <w:unhideWhenUsed/>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19">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2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21">
    <w:name w:val="index 1"/>
    <w:basedOn w:val="1"/>
    <w:next w:val="1"/>
    <w:qFormat/>
    <w:uiPriority w:val="0"/>
    <w:pPr>
      <w:jc w:val="center"/>
    </w:pPr>
    <w:rPr>
      <w:rFonts w:ascii="Arial" w:hAnsi="Arial" w:eastAsia="Arial" w:cs="Arial"/>
      <w:b/>
      <w:bCs/>
      <w:sz w:val="28"/>
    </w:rPr>
  </w:style>
  <w:style w:type="paragraph" w:styleId="22">
    <w:name w:val="Body Text First Indent"/>
    <w:basedOn w:val="10"/>
    <w:unhideWhenUsed/>
    <w:qFormat/>
    <w:uiPriority w:val="0"/>
    <w:pPr>
      <w:ind w:firstLine="420" w:firstLineChars="100"/>
    </w:pPr>
  </w:style>
  <w:style w:type="paragraph" w:styleId="23">
    <w:name w:val="Body Text First Indent 2"/>
    <w:basedOn w:val="11"/>
    <w:qFormat/>
    <w:uiPriority w:val="0"/>
    <w:pPr>
      <w:ind w:firstLine="420"/>
    </w:pPr>
  </w:style>
  <w:style w:type="table" w:styleId="25">
    <w:name w:val="Table Grid"/>
    <w:basedOn w:val="24"/>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qFormat/>
    <w:uiPriority w:val="0"/>
    <w:rPr>
      <w:b/>
      <w:bCs/>
    </w:rPr>
  </w:style>
  <w:style w:type="character" w:styleId="28">
    <w:name w:val="Hyperlink"/>
    <w:basedOn w:val="26"/>
    <w:unhideWhenUsed/>
    <w:qFormat/>
    <w:uiPriority w:val="99"/>
    <w:rPr>
      <w:color w:val="0000FF" w:themeColor="hyperlink"/>
      <w:u w:val="single"/>
      <w14:textFill>
        <w14:solidFill>
          <w14:schemeClr w14:val="hlink"/>
        </w14:solidFill>
      </w14:textFill>
    </w:rPr>
  </w:style>
  <w:style w:type="character" w:styleId="29">
    <w:name w:val="HTML Sample"/>
    <w:basedOn w:val="26"/>
    <w:semiHidden/>
    <w:unhideWhenUsed/>
    <w:qFormat/>
    <w:uiPriority w:val="99"/>
    <w:rPr>
      <w:rFonts w:ascii="Courier New" w:hAnsi="Courier New"/>
    </w:rPr>
  </w:style>
  <w:style w:type="character" w:customStyle="1" w:styleId="30">
    <w:name w:val="批注框文本 Char"/>
    <w:basedOn w:val="26"/>
    <w:link w:val="15"/>
    <w:semiHidden/>
    <w:qFormat/>
    <w:uiPriority w:val="99"/>
    <w:rPr>
      <w:rFonts w:ascii="@仿宋_GB2312" w:hAnsi="@仿宋_GB2312" w:eastAsia="@仿宋_GB2312" w:cs="@仿宋_GB2312"/>
      <w:sz w:val="18"/>
      <w:szCs w:val="18"/>
    </w:rPr>
  </w:style>
  <w:style w:type="paragraph" w:customStyle="1" w:styleId="31">
    <w:name w:val="正文（缩进）"/>
    <w:basedOn w:val="1"/>
    <w:qFormat/>
    <w:uiPriority w:val="0"/>
    <w:pPr>
      <w:widowControl/>
      <w:spacing w:before="156" w:after="156"/>
      <w:ind w:firstLine="480" w:firstLineChars="200"/>
      <w:jc w:val="left"/>
    </w:pPr>
    <w:rPr>
      <w:kern w:val="0"/>
      <w:sz w:val="24"/>
      <w:szCs w:val="24"/>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 w:type="paragraph" w:customStyle="1" w:styleId="33">
    <w:name w:val="D&amp;L"/>
    <w:basedOn w:val="17"/>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4">
    <w:name w:val="页眉 Char"/>
    <w:basedOn w:val="26"/>
    <w:link w:val="17"/>
    <w:qFormat/>
    <w:uiPriority w:val="0"/>
    <w:rPr>
      <w:rFonts w:ascii="@仿宋_GB2312" w:hAnsi="@仿宋_GB2312" w:eastAsia="@仿宋_GB2312" w:cs="@仿宋_GB2312"/>
      <w:sz w:val="18"/>
      <w:szCs w:val="18"/>
    </w:rPr>
  </w:style>
  <w:style w:type="character" w:customStyle="1" w:styleId="35">
    <w:name w:val="页脚 Char"/>
    <w:basedOn w:val="26"/>
    <w:link w:val="2"/>
    <w:qFormat/>
    <w:uiPriority w:val="99"/>
    <w:rPr>
      <w:rFonts w:ascii="@仿宋_GB2312" w:hAnsi="@仿宋_GB2312" w:eastAsia="@仿宋_GB2312" w:cs="@仿宋_GB2312"/>
      <w:sz w:val="18"/>
      <w:szCs w:val="18"/>
    </w:rPr>
  </w:style>
  <w:style w:type="character" w:customStyle="1" w:styleId="36">
    <w:name w:val="纯文本 Char"/>
    <w:link w:val="13"/>
    <w:qFormat/>
    <w:uiPriority w:val="0"/>
    <w:rPr>
      <w:rFonts w:ascii="宋体" w:hAnsi="Courier New"/>
    </w:rPr>
  </w:style>
  <w:style w:type="character" w:customStyle="1" w:styleId="37">
    <w:name w:val="纯文本 字符1"/>
    <w:basedOn w:val="26"/>
    <w:semiHidden/>
    <w:qFormat/>
    <w:uiPriority w:val="99"/>
    <w:rPr>
      <w:rFonts w:hAnsi="Courier New" w:cs="Courier New" w:asciiTheme="minorEastAsia"/>
      <w:szCs w:val="20"/>
    </w:rPr>
  </w:style>
  <w:style w:type="character" w:customStyle="1" w:styleId="38">
    <w:name w:val="未处理的提及1"/>
    <w:basedOn w:val="26"/>
    <w:semiHidden/>
    <w:unhideWhenUsed/>
    <w:qFormat/>
    <w:uiPriority w:val="99"/>
    <w:rPr>
      <w:color w:val="605E5C"/>
      <w:shd w:val="clear" w:color="auto" w:fill="E1DFDD"/>
    </w:rPr>
  </w:style>
  <w:style w:type="paragraph" w:styleId="39">
    <w:name w:val="List Paragraph"/>
    <w:basedOn w:val="1"/>
    <w:qFormat/>
    <w:uiPriority w:val="34"/>
    <w:pPr>
      <w:ind w:firstLine="420" w:firstLineChars="200"/>
    </w:pPr>
  </w:style>
  <w:style w:type="paragraph" w:customStyle="1" w:styleId="40">
    <w:name w:val="Char Char Char Char Char Char Char1 Char"/>
    <w:basedOn w:val="1"/>
    <w:qFormat/>
    <w:uiPriority w:val="0"/>
    <w:rPr>
      <w:rFonts w:ascii="Arial" w:hAnsi="Arial" w:eastAsia="宋体" w:cs="Arial"/>
      <w:sz w:val="24"/>
    </w:rPr>
  </w:style>
  <w:style w:type="table" w:customStyle="1" w:styleId="41">
    <w:name w:val="网格表 1 浅色1"/>
    <w:basedOn w:val="24"/>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2">
    <w:name w:val="日期 字符"/>
    <w:basedOn w:val="26"/>
    <w:semiHidden/>
    <w:qFormat/>
    <w:uiPriority w:val="99"/>
    <w:rPr>
      <w:rFonts w:ascii="@仿宋_GB2312" w:hAnsi="@仿宋_GB2312" w:eastAsia="@仿宋_GB2312" w:cs="@仿宋_GB2312"/>
      <w:szCs w:val="20"/>
    </w:rPr>
  </w:style>
  <w:style w:type="character" w:customStyle="1" w:styleId="43">
    <w:name w:val="日期 Char"/>
    <w:link w:val="14"/>
    <w:qFormat/>
    <w:uiPriority w:val="0"/>
    <w:rPr>
      <w:rFonts w:ascii="Arial" w:hAnsi="Arial" w:eastAsia="宋体" w:cs="Arial"/>
      <w:b/>
      <w:sz w:val="28"/>
      <w:szCs w:val="20"/>
    </w:rPr>
  </w:style>
  <w:style w:type="character" w:customStyle="1" w:styleId="44">
    <w:name w:val="纯文本 Char1"/>
    <w:link w:val="45"/>
    <w:qFormat/>
    <w:locked/>
    <w:uiPriority w:val="0"/>
    <w:rPr>
      <w:rFonts w:ascii="Arial" w:hAnsi="Arial" w:eastAsia="Arial"/>
      <w:kern w:val="2"/>
      <w:sz w:val="21"/>
      <w:lang w:val="en-US" w:eastAsia="zh-CN" w:bidi="ar-SA"/>
    </w:rPr>
  </w:style>
  <w:style w:type="paragraph" w:customStyle="1" w:styleId="45">
    <w:name w:val="纯文本1"/>
    <w:basedOn w:val="1"/>
    <w:link w:val="44"/>
    <w:qFormat/>
    <w:uiPriority w:val="0"/>
    <w:rPr>
      <w:rFonts w:ascii="Arial" w:hAnsi="Arial" w:eastAsia="Arial" w:cstheme="minorBidi"/>
    </w:rPr>
  </w:style>
  <w:style w:type="character" w:customStyle="1" w:styleId="46">
    <w:name w:val="批注文字 Char"/>
    <w:basedOn w:val="26"/>
    <w:semiHidden/>
    <w:qFormat/>
    <w:uiPriority w:val="99"/>
    <w:rPr>
      <w:rFonts w:ascii="@仿宋_GB2312" w:hAnsi="@仿宋_GB2312" w:eastAsia="@仿宋_GB2312" w:cs="@仿宋_GB2312"/>
      <w:szCs w:val="20"/>
    </w:rPr>
  </w:style>
  <w:style w:type="character" w:customStyle="1" w:styleId="47">
    <w:name w:val="批注文字 Char1"/>
    <w:link w:val="9"/>
    <w:qFormat/>
    <w:uiPriority w:val="0"/>
    <w:rPr>
      <w:rFonts w:ascii="Arial" w:hAnsi="Arial" w:eastAsia="黑体" w:cs="Arial"/>
      <w:szCs w:val="20"/>
    </w:rPr>
  </w:style>
  <w:style w:type="character" w:customStyle="1" w:styleId="48">
    <w:name w:val="标题 1 Char"/>
    <w:basedOn w:val="26"/>
    <w:link w:val="3"/>
    <w:qFormat/>
    <w:uiPriority w:val="9"/>
    <w:rPr>
      <w:rFonts w:ascii="@仿宋_GB2312" w:hAnsi="@仿宋_GB2312" w:eastAsia="@仿宋_GB2312" w:cs="@仿宋_GB2312"/>
      <w:b/>
      <w:bCs/>
      <w:kern w:val="44"/>
      <w:sz w:val="44"/>
      <w:szCs w:val="44"/>
    </w:rPr>
  </w:style>
  <w:style w:type="paragraph" w:customStyle="1" w:styleId="49">
    <w:name w:val="TOC 标题1"/>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50">
    <w:name w:val="标题 3 Char"/>
    <w:basedOn w:val="26"/>
    <w:link w:val="5"/>
    <w:semiHidden/>
    <w:qFormat/>
    <w:uiPriority w:val="9"/>
    <w:rPr>
      <w:rFonts w:ascii="@仿宋_GB2312" w:hAnsi="@仿宋_GB2312" w:eastAsia="@仿宋_GB2312" w:cs="@仿宋_GB2312"/>
      <w:b/>
      <w:bCs/>
      <w:sz w:val="32"/>
      <w:szCs w:val="32"/>
    </w:rPr>
  </w:style>
  <w:style w:type="character" w:customStyle="1" w:styleId="51">
    <w:name w:val="fontstyle01"/>
    <w:basedOn w:val="26"/>
    <w:qFormat/>
    <w:uiPriority w:val="0"/>
    <w:rPr>
      <w:rFonts w:hint="eastAsia" w:ascii="宋体" w:hAnsi="宋体" w:eastAsia="宋体"/>
      <w:color w:val="000000"/>
      <w:sz w:val="22"/>
      <w:szCs w:val="22"/>
    </w:rPr>
  </w:style>
  <w:style w:type="character" w:customStyle="1" w:styleId="52">
    <w:name w:val="fontstyle21"/>
    <w:basedOn w:val="26"/>
    <w:qFormat/>
    <w:uiPriority w:val="0"/>
    <w:rPr>
      <w:rFonts w:hint="default" w:ascii="TimesNewRomanPSMT" w:hAnsi="TimesNewRomanPSMT"/>
      <w:color w:val="000000"/>
      <w:sz w:val="22"/>
      <w:szCs w:val="22"/>
    </w:rPr>
  </w:style>
  <w:style w:type="character" w:customStyle="1" w:styleId="53">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4">
    <w:name w:val="标题 4 字符"/>
    <w:basedOn w:val="26"/>
    <w:semiHidden/>
    <w:qFormat/>
    <w:uiPriority w:val="9"/>
    <w:rPr>
      <w:rFonts w:asciiTheme="majorHAnsi" w:hAnsiTheme="majorHAnsi" w:eastAsiaTheme="majorEastAsia" w:cstheme="majorBidi"/>
      <w:b/>
      <w:bCs/>
      <w:sz w:val="28"/>
      <w:szCs w:val="28"/>
    </w:rPr>
  </w:style>
  <w:style w:type="character" w:customStyle="1" w:styleId="55">
    <w:name w:val="标题 4 Char"/>
    <w:link w:val="6"/>
    <w:qFormat/>
    <w:uiPriority w:val="0"/>
    <w:rPr>
      <w:rFonts w:ascii="@仿宋_GB2312" w:hAnsi="@仿宋_GB2312" w:eastAsia="@仿宋_GB2312" w:cs="@仿宋_GB2312"/>
      <w:b/>
      <w:bCs/>
      <w:sz w:val="28"/>
      <w:szCs w:val="28"/>
    </w:rPr>
  </w:style>
  <w:style w:type="character" w:customStyle="1" w:styleId="56">
    <w:name w:val="正文文本 Char"/>
    <w:basedOn w:val="26"/>
    <w:link w:val="10"/>
    <w:qFormat/>
    <w:uiPriority w:val="0"/>
    <w:rPr>
      <w:rFonts w:ascii="@微软简标宋" w:hAnsi="@微软简标宋" w:eastAsia="@微软简标宋" w:cs="@微软简标宋"/>
      <w:szCs w:val="24"/>
      <w:lang w:val="zh-CN" w:eastAsia="zh-CN"/>
    </w:rPr>
  </w:style>
  <w:style w:type="table" w:customStyle="1" w:styleId="57">
    <w:name w:val="网格型1"/>
    <w:basedOn w:val="24"/>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8">
    <w:name w:val="Normal_1"/>
    <w:qFormat/>
    <w:uiPriority w:val="0"/>
    <w:rPr>
      <w:rFonts w:ascii="Times New Roman" w:hAnsi="Times New Roman" w:eastAsia="Times New Roman"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akoosky</Company>
  <Pages>68</Pages>
  <Words>6177</Words>
  <Characters>6864</Characters>
  <Lines>229</Lines>
  <Paragraphs>64</Paragraphs>
  <TotalTime>9</TotalTime>
  <ScaleCrop>false</ScaleCrop>
  <LinksUpToDate>false</LinksUpToDate>
  <CharactersWithSpaces>6999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2020-07-01T03:04:00Z</dcterms:created>
  <dc:creator>Anakin</dc:creator>
  <cp:lastModifiedBy>NTKO</cp:lastModifiedBy>
  <cp:lastPrinted>2019-12-08T07:20:00Z</cp:lastPrinted>
  <dcterms:modified xsi:type="dcterms:W3CDTF">2025-05-12T01:07:26Z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DE4AC96B6D7E4F7A9ABE7FACDDD0CE5C_13</vt:lpwstr>
  </property>
  <property fmtid="{D5CDD505-2E9C-101B-9397-08002B2CF9AE}" pid="4" name="KSOTemplateDocerSaveRecord">
    <vt:lpwstr>eyJoZGlkIjoiMmFkNzA5NWQxZWQ0ZGQyYTBhNzFmMzE0OWEyMzU3YzkifQ==</vt:lpwstr>
  </property>
</Properties>
</file>