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1A67A">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53485679">
      <w:pPr>
        <w:spacing w:line="360" w:lineRule="auto"/>
        <w:jc w:val="left"/>
        <w:rPr>
          <w:rFonts w:hint="eastAsia" w:ascii="宋体" w:hAnsi="宋体" w:cs="宋体"/>
          <w:b/>
          <w:sz w:val="24"/>
          <w:szCs w:val="24"/>
        </w:rPr>
      </w:pPr>
      <w:r>
        <w:rPr>
          <w:rFonts w:hint="eastAsia" w:ascii="宋体" w:hAnsi="宋体" w:cs="宋体"/>
          <w:b/>
          <w:sz w:val="24"/>
          <w:szCs w:val="24"/>
        </w:rPr>
        <w:t>前注：</w:t>
      </w:r>
    </w:p>
    <w:p w14:paraId="034C6AFA">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47A66BD6">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0175953B">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w:t>
      </w:r>
      <w:r>
        <w:rPr>
          <w:rFonts w:hint="eastAsia" w:ascii="宋体" w:hAnsi="宋体" w:cs="宋体"/>
          <w:sz w:val="24"/>
          <w:szCs w:val="24"/>
          <w:lang w:eastAsia="zh-CN"/>
        </w:rPr>
        <w:t>提供</w:t>
      </w:r>
      <w:r>
        <w:rPr>
          <w:rFonts w:hint="eastAsia" w:ascii="宋体" w:hAnsi="宋体" w:cs="宋体"/>
          <w:sz w:val="24"/>
          <w:szCs w:val="24"/>
        </w:rPr>
        <w:t>有关技术证明资料，未提供的可能导致响应无效；</w:t>
      </w:r>
    </w:p>
    <w:p w14:paraId="2BF0FE56">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3"/>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6F0B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B99AC49">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50B40D27">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374C30F7">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48AB8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27C5768">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393E817A">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28ADC653">
            <w:pPr>
              <w:spacing w:line="360" w:lineRule="auto"/>
              <w:jc w:val="left"/>
              <w:rPr>
                <w:rFonts w:hint="eastAsia" w:ascii="宋体" w:hAnsi="宋体" w:cs="宋体"/>
                <w:sz w:val="24"/>
              </w:rPr>
            </w:pPr>
            <w:r>
              <w:rPr>
                <w:rFonts w:hint="eastAsia" w:ascii="宋体" w:hAnsi="宋体" w:cs="宋体"/>
                <w:sz w:val="24"/>
                <w:lang w:val="en-US" w:eastAsia="zh-CN"/>
              </w:rPr>
              <w:t>项目验收合格后30日内，一次性支付合同款。</w:t>
            </w:r>
          </w:p>
        </w:tc>
      </w:tr>
      <w:tr w14:paraId="4B913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39592B0">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338E0FAA">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4EFC9992">
            <w:pPr>
              <w:spacing w:line="360" w:lineRule="auto"/>
              <w:jc w:val="left"/>
              <w:rPr>
                <w:rFonts w:hint="eastAsia" w:ascii="宋体" w:hAnsi="宋体" w:cs="宋体"/>
                <w:sz w:val="24"/>
              </w:rPr>
            </w:pPr>
            <w:r>
              <w:rPr>
                <w:rFonts w:hint="eastAsia" w:ascii="宋体" w:hAnsi="宋体" w:cs="宋体"/>
                <w:bCs/>
                <w:kern w:val="0"/>
                <w:sz w:val="24"/>
                <w:szCs w:val="28"/>
              </w:rPr>
              <w:t>安徽医科大学，采购人指定地点。</w:t>
            </w:r>
          </w:p>
        </w:tc>
      </w:tr>
      <w:tr w14:paraId="28D9C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4A17847">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30115537">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03B0CCD9">
            <w:pPr>
              <w:spacing w:line="360" w:lineRule="auto"/>
              <w:jc w:val="left"/>
              <w:rPr>
                <w:rFonts w:hint="eastAsia" w:ascii="宋体" w:hAnsi="宋体" w:cs="宋体"/>
                <w:sz w:val="24"/>
              </w:rPr>
            </w:pPr>
            <w:r>
              <w:rPr>
                <w:rFonts w:hint="eastAsia" w:ascii="宋体" w:hAnsi="宋体" w:cs="宋体"/>
                <w:color w:val="auto"/>
                <w:sz w:val="24"/>
                <w:szCs w:val="24"/>
                <w:lang w:val="en-US" w:eastAsia="zh-CN"/>
              </w:rPr>
              <w:t>在接到</w:t>
            </w:r>
            <w:r>
              <w:rPr>
                <w:rFonts w:hint="eastAsia" w:ascii="宋体" w:hAnsi="宋体" w:cs="宋体"/>
                <w:sz w:val="24"/>
                <w:szCs w:val="24"/>
              </w:rPr>
              <w:t>比选人</w:t>
            </w:r>
            <w:r>
              <w:rPr>
                <w:rFonts w:hint="eastAsia" w:ascii="宋体" w:hAnsi="宋体" w:cs="宋体"/>
                <w:color w:val="auto"/>
                <w:sz w:val="24"/>
                <w:szCs w:val="24"/>
                <w:lang w:val="en-US" w:eastAsia="zh-CN"/>
              </w:rPr>
              <w:t>供货通知后7日内，将采购货物送达</w:t>
            </w:r>
            <w:r>
              <w:rPr>
                <w:rFonts w:hint="eastAsia" w:ascii="宋体" w:hAnsi="宋体" w:cs="宋体"/>
                <w:sz w:val="24"/>
                <w:szCs w:val="24"/>
              </w:rPr>
              <w:t>比选人</w:t>
            </w:r>
            <w:r>
              <w:rPr>
                <w:rFonts w:hint="eastAsia" w:ascii="宋体" w:hAnsi="宋体" w:cs="宋体"/>
                <w:color w:val="auto"/>
                <w:sz w:val="24"/>
                <w:szCs w:val="24"/>
                <w:lang w:val="en-US" w:eastAsia="zh-CN"/>
              </w:rPr>
              <w:t>指定场所</w:t>
            </w:r>
          </w:p>
        </w:tc>
      </w:tr>
      <w:tr w14:paraId="26F70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4B875EE1">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1F73A750">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004E3764">
            <w:pPr>
              <w:spacing w:line="360" w:lineRule="auto"/>
              <w:jc w:val="left"/>
              <w:rPr>
                <w:rFonts w:hint="default" w:ascii="宋体" w:hAnsi="宋体" w:eastAsia="宋体" w:cs="宋体"/>
                <w:sz w:val="24"/>
                <w:lang w:val="en-US" w:eastAsia="zh-CN"/>
              </w:rPr>
            </w:pPr>
            <w:r>
              <w:rPr>
                <w:rFonts w:hint="eastAsia" w:ascii="宋体" w:hAnsi="宋体"/>
                <w:sz w:val="24"/>
                <w:szCs w:val="24"/>
                <w:lang w:val="en-US" w:eastAsia="zh-CN"/>
              </w:rPr>
              <w:t>自</w:t>
            </w:r>
            <w:r>
              <w:rPr>
                <w:rFonts w:hint="eastAsia" w:ascii="宋体" w:hAnsi="宋体"/>
                <w:sz w:val="24"/>
                <w:szCs w:val="24"/>
              </w:rPr>
              <w:t>验收合格之日起</w:t>
            </w:r>
            <w:r>
              <w:rPr>
                <w:rFonts w:hint="eastAsia" w:ascii="宋体" w:hAnsi="宋体"/>
                <w:sz w:val="24"/>
                <w:szCs w:val="24"/>
                <w:lang w:val="en-US" w:eastAsia="zh-CN"/>
              </w:rPr>
              <w:t>2</w:t>
            </w:r>
            <w:r>
              <w:rPr>
                <w:rFonts w:hint="eastAsia" w:ascii="宋体" w:hAnsi="宋体"/>
                <w:sz w:val="24"/>
                <w:szCs w:val="24"/>
              </w:rPr>
              <w:t>年</w:t>
            </w:r>
            <w:r>
              <w:rPr>
                <w:rFonts w:hint="eastAsia" w:ascii="宋体" w:hAnsi="宋体" w:cs="宋体"/>
                <w:bCs/>
                <w:kern w:val="0"/>
                <w:sz w:val="24"/>
                <w:szCs w:val="28"/>
              </w:rPr>
              <w:t>。</w:t>
            </w:r>
            <w:r>
              <w:rPr>
                <w:rFonts w:hint="eastAsia" w:ascii="宋体" w:hAnsi="宋体" w:cs="宋体"/>
                <w:b/>
                <w:bCs w:val="0"/>
                <w:kern w:val="0"/>
                <w:sz w:val="24"/>
                <w:szCs w:val="28"/>
                <w:lang w:val="en-US" w:eastAsia="zh-CN"/>
              </w:rPr>
              <w:t>货物需求中另有要求的，以采购需求为准。</w:t>
            </w:r>
          </w:p>
        </w:tc>
      </w:tr>
    </w:tbl>
    <w:p w14:paraId="51F0FE0C">
      <w:pPr>
        <w:spacing w:line="360" w:lineRule="auto"/>
        <w:ind w:firstLine="437"/>
        <w:jc w:val="left"/>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二、项目概述</w:t>
      </w:r>
    </w:p>
    <w:p w14:paraId="4071AE7E">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安徽医科大学新医科中心（新校区）在2025年将新投入学术交流中心、音乐厅两个消防控制室，按照合肥市蜀山区消防安全委员会文件要求，学术交流中心、音乐厅两个消防控制室必须新建两个微型消防站。</w:t>
      </w:r>
    </w:p>
    <w:p w14:paraId="6D335E8A">
      <w:pPr>
        <w:spacing w:line="360" w:lineRule="auto"/>
        <w:ind w:firstLine="437"/>
        <w:jc w:val="left"/>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三、建设依据</w:t>
      </w:r>
    </w:p>
    <w:p w14:paraId="6B5C2760">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《消防头盔》XF44-2015；</w:t>
      </w:r>
    </w:p>
    <w:p w14:paraId="20D884F4">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《消防员灭火防护服》XF10-2014；</w:t>
      </w:r>
    </w:p>
    <w:p w14:paraId="1079421C">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《消防员抢险救援防护服装》XF633-2006；</w:t>
      </w:r>
    </w:p>
    <w:p w14:paraId="0C075D35">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《消防手套》XF7-2004；</w:t>
      </w:r>
    </w:p>
    <w:p w14:paraId="00ADC3F0">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《消防用防坠落装备》XF494-2023；</w:t>
      </w:r>
    </w:p>
    <w:p w14:paraId="0FBE276B">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《建筑火灾逃生避难器材第6部分：逃生绳》GB21976.6-2012；</w:t>
      </w:r>
    </w:p>
    <w:p w14:paraId="30E64E27">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《消防员灭火防护靴》XF6-2004；</w:t>
      </w:r>
    </w:p>
    <w:p w14:paraId="2D831F88">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《建筑火灾逃生避难器材第7部分：过滤式消防自救呼吸器》GB21976.7-2012；</w:t>
      </w:r>
    </w:p>
    <w:p w14:paraId="02C52FC6">
      <w:pPr>
        <w:spacing w:line="360" w:lineRule="auto"/>
        <w:ind w:firstLine="437"/>
        <w:jc w:val="lef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《正压式消防空气呼吸器》XF124-2013；</w:t>
      </w:r>
    </w:p>
    <w:p w14:paraId="37D797A1">
      <w:pPr>
        <w:spacing w:line="360" w:lineRule="auto"/>
        <w:ind w:firstLine="437"/>
        <w:jc w:val="left"/>
        <w:rPr>
          <w:rFonts w:hint="eastAsia" w:ascii="宋体" w:hAnsi="宋体" w:cs="宋体"/>
          <w:b/>
          <w:sz w:val="24"/>
          <w:szCs w:val="24"/>
        </w:rPr>
      </w:pPr>
      <w:r>
        <w:rPr>
          <w:rFonts w:hint="eastAsia" w:ascii="宋体" w:hAnsi="宋体" w:cs="宋体"/>
          <w:b w:val="0"/>
          <w:bCs/>
          <w:sz w:val="24"/>
          <w:szCs w:val="24"/>
          <w:lang w:val="en-US" w:eastAsia="zh-CN"/>
        </w:rPr>
        <w:t>《关于在全区重点单位推进微型消防站建设工作的通知》蜀消安委〔2016〕2号</w:t>
      </w:r>
    </w:p>
    <w:p w14:paraId="64631C0A">
      <w:pPr>
        <w:spacing w:line="360" w:lineRule="auto"/>
        <w:ind w:firstLine="437"/>
        <w:jc w:val="left"/>
        <w:rPr>
          <w:rFonts w:hint="eastAsia" w:ascii="宋体" w:hAnsi="宋体" w:cs="宋体"/>
          <w:b/>
          <w:sz w:val="24"/>
          <w:szCs w:val="24"/>
        </w:rPr>
      </w:pPr>
      <w:r>
        <w:rPr>
          <w:rFonts w:hint="eastAsia" w:ascii="宋体" w:hAnsi="宋体" w:cs="宋体"/>
          <w:b/>
          <w:sz w:val="24"/>
          <w:szCs w:val="24"/>
          <w:lang w:val="en-US" w:eastAsia="zh-CN"/>
        </w:rPr>
        <w:t>四</w:t>
      </w:r>
      <w:r>
        <w:rPr>
          <w:rFonts w:hint="eastAsia" w:ascii="宋体" w:hAnsi="宋体" w:cs="宋体"/>
          <w:b/>
          <w:sz w:val="24"/>
          <w:szCs w:val="24"/>
        </w:rPr>
        <w:t>、货物需求</w:t>
      </w:r>
    </w:p>
    <w:p w14:paraId="1B63AFF0">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3"/>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0BAB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2B9628AC">
            <w:pPr>
              <w:spacing w:line="360" w:lineRule="auto"/>
              <w:jc w:val="center"/>
              <w:rPr>
                <w:rFonts w:ascii="宋体" w:hAnsi="宋体" w:eastAsia="宋体" w:cs="宋体"/>
                <w:b/>
                <w:sz w:val="24"/>
                <w:szCs w:val="18"/>
              </w:rPr>
            </w:pPr>
            <w:r>
              <w:rPr>
                <w:rFonts w:hint="eastAsia" w:ascii="宋体" w:hAnsi="宋体" w:eastAsia="宋体" w:cs="宋体"/>
                <w:b/>
                <w:sz w:val="24"/>
                <w:szCs w:val="18"/>
              </w:rPr>
              <w:t>标识重要性</w:t>
            </w:r>
          </w:p>
        </w:tc>
        <w:tc>
          <w:tcPr>
            <w:tcW w:w="1365" w:type="dxa"/>
            <w:noWrap w:val="0"/>
            <w:vAlign w:val="center"/>
          </w:tcPr>
          <w:p w14:paraId="2FCF846C">
            <w:pPr>
              <w:spacing w:line="360" w:lineRule="auto"/>
              <w:jc w:val="center"/>
              <w:rPr>
                <w:rFonts w:ascii="宋体" w:hAnsi="宋体" w:eastAsia="宋体" w:cs="宋体"/>
                <w:b/>
                <w:sz w:val="24"/>
                <w:szCs w:val="18"/>
              </w:rPr>
            </w:pPr>
            <w:r>
              <w:rPr>
                <w:rFonts w:hint="eastAsia" w:ascii="宋体" w:hAnsi="宋体" w:eastAsia="宋体" w:cs="宋体"/>
                <w:b/>
                <w:sz w:val="24"/>
                <w:szCs w:val="18"/>
              </w:rPr>
              <w:t>标识符号</w:t>
            </w:r>
          </w:p>
        </w:tc>
        <w:tc>
          <w:tcPr>
            <w:tcW w:w="5692" w:type="dxa"/>
            <w:noWrap w:val="0"/>
            <w:vAlign w:val="center"/>
          </w:tcPr>
          <w:p w14:paraId="3006ADB6">
            <w:pPr>
              <w:spacing w:line="360" w:lineRule="auto"/>
              <w:jc w:val="center"/>
              <w:rPr>
                <w:rFonts w:ascii="宋体" w:hAnsi="宋体" w:eastAsia="宋体" w:cs="宋体"/>
                <w:b/>
                <w:sz w:val="24"/>
                <w:szCs w:val="18"/>
              </w:rPr>
            </w:pPr>
            <w:r>
              <w:rPr>
                <w:rFonts w:hint="eastAsia" w:ascii="宋体" w:hAnsi="宋体" w:eastAsia="宋体" w:cs="宋体"/>
                <w:b/>
                <w:sz w:val="24"/>
                <w:szCs w:val="18"/>
              </w:rPr>
              <w:t>代表意思</w:t>
            </w:r>
          </w:p>
        </w:tc>
      </w:tr>
      <w:tr w14:paraId="10087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0CEAF8E0">
            <w:pPr>
              <w:spacing w:line="360" w:lineRule="auto"/>
              <w:jc w:val="center"/>
              <w:rPr>
                <w:rFonts w:ascii="宋体" w:hAnsi="宋体" w:eastAsia="宋体" w:cs="宋体"/>
                <w:b/>
                <w:bCs/>
                <w:sz w:val="24"/>
                <w:szCs w:val="18"/>
              </w:rPr>
            </w:pPr>
            <w:r>
              <w:rPr>
                <w:rFonts w:hint="eastAsia" w:ascii="宋体" w:hAnsi="宋体" w:eastAsia="宋体" w:cs="宋体"/>
                <w:b/>
                <w:bCs/>
                <w:sz w:val="24"/>
                <w:szCs w:val="18"/>
                <w:lang w:eastAsia="zh-CN"/>
              </w:rPr>
              <w:t>核心</w:t>
            </w:r>
            <w:r>
              <w:rPr>
                <w:rFonts w:hint="eastAsia" w:ascii="宋体" w:hAnsi="宋体" w:eastAsia="宋体" w:cs="宋体"/>
                <w:b/>
                <w:bCs/>
                <w:sz w:val="24"/>
                <w:szCs w:val="18"/>
              </w:rPr>
              <w:t>指标项</w:t>
            </w:r>
          </w:p>
        </w:tc>
        <w:tc>
          <w:tcPr>
            <w:tcW w:w="1365" w:type="dxa"/>
            <w:noWrap w:val="0"/>
            <w:vAlign w:val="center"/>
          </w:tcPr>
          <w:p w14:paraId="6414C968">
            <w:pPr>
              <w:spacing w:line="360" w:lineRule="auto"/>
              <w:jc w:val="center"/>
              <w:rPr>
                <w:rFonts w:ascii="宋体" w:hAnsi="宋体" w:eastAsia="宋体" w:cs="宋体"/>
                <w:b/>
                <w:bCs/>
                <w:sz w:val="24"/>
                <w:szCs w:val="18"/>
              </w:rPr>
            </w:pPr>
            <w:r>
              <w:rPr>
                <w:rFonts w:hint="eastAsia" w:ascii="仿宋" w:hAnsi="仿宋" w:eastAsia="仿宋" w:cs="仿宋"/>
                <w:i w:val="0"/>
                <w:iCs w:val="0"/>
                <w:color w:val="000000"/>
                <w:kern w:val="0"/>
                <w:sz w:val="24"/>
                <w:szCs w:val="24"/>
                <w:u w:val="none"/>
                <w:lang w:val="en-US" w:eastAsia="zh-CN" w:bidi="ar"/>
              </w:rPr>
              <w:t>●</w:t>
            </w:r>
          </w:p>
        </w:tc>
        <w:tc>
          <w:tcPr>
            <w:tcW w:w="5692" w:type="dxa"/>
            <w:noWrap w:val="0"/>
            <w:vAlign w:val="center"/>
          </w:tcPr>
          <w:p w14:paraId="414FD6B9">
            <w:pPr>
              <w:spacing w:line="360" w:lineRule="auto"/>
              <w:jc w:val="left"/>
              <w:rPr>
                <w:rFonts w:ascii="宋体" w:hAnsi="宋体" w:eastAsia="宋体" w:cs="宋体"/>
                <w:b/>
                <w:bCs/>
                <w:sz w:val="24"/>
                <w:szCs w:val="20"/>
              </w:rPr>
            </w:pPr>
            <w:r>
              <w:rPr>
                <w:rFonts w:hint="eastAsia" w:ascii="宋体" w:hAnsi="宋体" w:cs="宋体"/>
                <w:b/>
                <w:bCs/>
                <w:sz w:val="24"/>
                <w:szCs w:val="24"/>
              </w:rPr>
              <w:t>作为评分项，详见“第四章 评标方法和标准”中评分细则。</w:t>
            </w:r>
          </w:p>
        </w:tc>
      </w:tr>
      <w:tr w14:paraId="5040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4BAE1986">
            <w:pPr>
              <w:spacing w:line="360" w:lineRule="auto"/>
              <w:jc w:val="center"/>
              <w:rPr>
                <w:rFonts w:hint="default" w:ascii="宋体" w:hAnsi="宋体" w:eastAsia="宋体" w:cs="宋体"/>
                <w:b/>
                <w:bCs/>
                <w:sz w:val="24"/>
                <w:szCs w:val="18"/>
                <w:lang w:val="en-US" w:eastAsia="zh-CN"/>
              </w:rPr>
            </w:pPr>
            <w:r>
              <w:rPr>
                <w:rFonts w:hint="eastAsia" w:ascii="宋体" w:hAnsi="宋体" w:eastAsia="宋体" w:cs="宋体"/>
                <w:b/>
                <w:bCs/>
                <w:sz w:val="24"/>
                <w:szCs w:val="18"/>
                <w:lang w:val="en-US" w:eastAsia="zh-CN"/>
              </w:rPr>
              <w:t>无标识项</w:t>
            </w:r>
          </w:p>
        </w:tc>
        <w:tc>
          <w:tcPr>
            <w:tcW w:w="1365" w:type="dxa"/>
            <w:noWrap w:val="0"/>
            <w:vAlign w:val="center"/>
          </w:tcPr>
          <w:p w14:paraId="0EF5E820">
            <w:pPr>
              <w:spacing w:line="360" w:lineRule="auto"/>
              <w:jc w:val="center"/>
              <w:rPr>
                <w:rFonts w:hint="eastAsia" w:ascii="仿宋" w:hAnsi="仿宋" w:eastAsia="仿宋" w:cs="仿宋"/>
                <w:b/>
                <w:bCs/>
                <w:color w:val="000000"/>
                <w:kern w:val="0"/>
                <w:sz w:val="24"/>
                <w:lang w:bidi="ar"/>
              </w:rPr>
            </w:pPr>
          </w:p>
        </w:tc>
        <w:tc>
          <w:tcPr>
            <w:tcW w:w="5692" w:type="dxa"/>
            <w:noWrap w:val="0"/>
            <w:vAlign w:val="center"/>
          </w:tcPr>
          <w:p w14:paraId="269AFD37">
            <w:pPr>
              <w:spacing w:line="360" w:lineRule="auto"/>
              <w:jc w:val="left"/>
              <w:rPr>
                <w:rFonts w:hint="eastAsia" w:ascii="宋体" w:hAnsi="宋体" w:eastAsia="宋体" w:cs="宋体"/>
                <w:b/>
                <w:bCs/>
                <w:sz w:val="24"/>
                <w:szCs w:val="20"/>
              </w:rPr>
            </w:pPr>
            <w:r>
              <w:rPr>
                <w:rFonts w:hint="eastAsia" w:ascii="宋体" w:hAnsi="宋体" w:eastAsia="宋体" w:cs="宋体"/>
                <w:b/>
                <w:bCs/>
                <w:sz w:val="24"/>
                <w:szCs w:val="24"/>
                <w:highlight w:val="none"/>
              </w:rPr>
              <w:t>作为基础指标，</w:t>
            </w:r>
            <w:r>
              <w:rPr>
                <w:rFonts w:hint="eastAsia" w:ascii="宋体" w:hAnsi="宋体" w:eastAsia="宋体" w:cs="宋体"/>
                <w:b/>
                <w:bCs/>
                <w:sz w:val="24"/>
                <w:szCs w:val="24"/>
                <w:highlight w:val="none"/>
                <w:lang w:val="en-US" w:eastAsia="zh-CN"/>
              </w:rPr>
              <w:t>3</w:t>
            </w:r>
            <w:r>
              <w:rPr>
                <w:rFonts w:hint="eastAsia" w:ascii="宋体" w:hAnsi="宋体" w:eastAsia="宋体" w:cs="宋体"/>
                <w:b/>
                <w:bCs/>
                <w:sz w:val="24"/>
                <w:szCs w:val="24"/>
                <w:highlight w:val="none"/>
              </w:rPr>
              <w:t>项以上</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lang w:val="en-US" w:eastAsia="zh-CN"/>
              </w:rPr>
              <w:t>包含3项</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负偏离或未响应，将导致</w:t>
            </w:r>
            <w:r>
              <w:rPr>
                <w:rFonts w:hint="eastAsia" w:ascii="宋体" w:hAnsi="宋体" w:eastAsia="宋体" w:cs="宋体"/>
                <w:b/>
                <w:bCs/>
                <w:sz w:val="24"/>
                <w:szCs w:val="24"/>
                <w:highlight w:val="none"/>
                <w:lang w:val="en-US" w:eastAsia="zh-CN"/>
              </w:rPr>
              <w:t>响应</w:t>
            </w:r>
            <w:r>
              <w:rPr>
                <w:rFonts w:hint="eastAsia" w:ascii="宋体" w:hAnsi="宋体" w:eastAsia="宋体" w:cs="宋体"/>
                <w:b/>
                <w:bCs/>
                <w:sz w:val="24"/>
                <w:szCs w:val="24"/>
                <w:highlight w:val="none"/>
              </w:rPr>
              <w:t>无效（</w:t>
            </w:r>
            <w:r>
              <w:rPr>
                <w:rFonts w:hint="eastAsia" w:ascii="宋体" w:hAnsi="宋体" w:eastAsia="宋体" w:cs="宋体"/>
                <w:b/>
                <w:sz w:val="24"/>
                <w:szCs w:val="18"/>
                <w:highlight w:val="none"/>
              </w:rPr>
              <w:t>采购需求前附表规定需要响应的内容不允许偏离</w:t>
            </w:r>
            <w:r>
              <w:rPr>
                <w:rFonts w:hint="eastAsia" w:ascii="宋体" w:hAnsi="宋体" w:eastAsia="宋体" w:cs="宋体"/>
                <w:b/>
                <w:bCs/>
                <w:sz w:val="24"/>
                <w:szCs w:val="24"/>
                <w:highlight w:val="none"/>
              </w:rPr>
              <w:t>）。</w:t>
            </w:r>
          </w:p>
        </w:tc>
      </w:tr>
      <w:tr w14:paraId="111A5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44E04E86">
            <w:pPr>
              <w:spacing w:line="360" w:lineRule="auto"/>
              <w:rPr>
                <w:rFonts w:ascii="宋体" w:hAnsi="宋体" w:eastAsia="宋体" w:cs="宋体"/>
                <w:bCs/>
                <w:sz w:val="24"/>
                <w:szCs w:val="20"/>
              </w:rPr>
            </w:pPr>
            <w:r>
              <w:rPr>
                <w:rFonts w:hint="eastAsia" w:ascii="宋体" w:hAnsi="宋体" w:eastAsia="宋体" w:cs="宋体"/>
                <w:b/>
                <w:sz w:val="24"/>
                <w:szCs w:val="20"/>
              </w:rPr>
              <w:t>注：如某项标识中包含多条技术参数或要求，则该项标识所含内容均需满足或优于</w:t>
            </w:r>
            <w:r>
              <w:rPr>
                <w:rFonts w:hint="eastAsia" w:ascii="宋体" w:hAnsi="宋体" w:eastAsia="宋体" w:cs="宋体"/>
                <w:b/>
                <w:sz w:val="24"/>
                <w:szCs w:val="20"/>
                <w:lang w:val="en-US" w:eastAsia="zh-CN"/>
              </w:rPr>
              <w:t>比选</w:t>
            </w:r>
            <w:r>
              <w:rPr>
                <w:rFonts w:hint="eastAsia" w:ascii="宋体" w:hAnsi="宋体" w:eastAsia="宋体" w:cs="宋体"/>
                <w:b/>
                <w:sz w:val="24"/>
                <w:szCs w:val="20"/>
              </w:rPr>
              <w:t>文件要求，否则不予认可。</w:t>
            </w:r>
          </w:p>
        </w:tc>
      </w:tr>
    </w:tbl>
    <w:p w14:paraId="48ACADC2">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3"/>
        <w:tblW w:w="505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2"/>
        <w:gridCol w:w="1072"/>
        <w:gridCol w:w="5334"/>
        <w:gridCol w:w="704"/>
        <w:gridCol w:w="721"/>
      </w:tblGrid>
      <w:tr w14:paraId="6B3BB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A5A16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2AFA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E350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主要技术参数</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C3C4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4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3D53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0FF63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1"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E95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FDC5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消防头盔</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69D98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 44-2015《消防头盔》标准要求。用于抢险救援时头部保护，具备防尖锐物品冲击，耐热、耐穿透、耐燃烧、电绝缘、跌落、防腐蚀、防热辐射、反光、绝缘，轻便等性能。半盔式设计，有明显反光标志。面罩为浅色透明面罩。冲击吸收性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●3.参选文件中提供有效期内CCCF认证证书扫描件。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EC98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顶</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74333A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41BCC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7"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5E2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27DF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消防员灭火防火服</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2A169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1.符合XF10-2014《消防员灭火防护服》标准要求。用于身体防护，具备阻燃、防水透气、隔热、防静电和标识性强等性能，由外层、防水透气层、隔热层及舒适层构成。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●2.参选文件中提供有效期内国家消防装备质量检测检验中心的检验合格报告扫描件。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●3.参选文件中提供有效期内CCCF认证证书扫描件。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A7D1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6A45453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14:paraId="3495F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7"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D0EC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BCC7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应急救援服</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E4AD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 633-2006《抢险救援防护服装》标准规定要求。外层采用原液染色芳纶纤维外层面料，中间层为防水透气层，内层为舒适层。颜色为橘红色； 阻燃性能：续燃时间≤2s，损毁长度经、纬向≤40mm，且无熔融、滴落现象；断裂强力：经向、纬向≥820N；撕破强力：经向≥210N；外层接缝断裂强力：径向、纬向≥700N；耐洗沾色、耐水摩擦及光色牢度≥4级；防静电性能：上衣、下裤小于等于0.1uC；热稳定性能：收缩率≤1.5%，表面无明显变化。</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C637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347F59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2A543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9CAF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FF74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消防手套</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CED14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 7-2004《消防手套》标准要求。由外层、防水层、隔热层、衬里组成。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●2.参选文件中提供第三方有权机构出具的有效的检验合格报告扫描件。</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●3.参选文件中提供有效期内CCCF认证证书扫描件。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65025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189C00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569AB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2"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C2C0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C63B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消防安全腰带</w:t>
            </w:r>
          </w:p>
        </w:tc>
        <w:tc>
          <w:tcPr>
            <w:tcW w:w="309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AB7F4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494-2023《消防用防坠落装备》的标准要求。用于消防员登高作业和逃生自救用的防护装置，采用聚酰胺纤维或聚酯纤维和高强度金属件制成。安全腰带的织带为一整根结构：由织带、针扣、环扣和两个拉环等零件构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●3.参选文件中提供有效期内CCCF认证证书扫描件。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D99C2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372F3A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14:paraId="09FDB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9254D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1595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消防轻型安全绳</w:t>
            </w:r>
          </w:p>
        </w:tc>
        <w:tc>
          <w:tcPr>
            <w:tcW w:w="309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D85D2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1.符合XF494-2023《消防用防坠落装备》的标准要求；长度：20米；直径：10.0mm；破断强度&gt;10kn；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●2.参选文件中提供有效期内国家消防装备质量检测检验中心的检验合格报告。</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●3.参选文件中提供有效期内CCCF认证证书。</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74597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6DEB27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1E7B4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4"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CBAB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24D5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消防员灭火防护靴</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2BF05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 6-2004《消防员灭火防护靴》的标准要求。金属部件保护脚趾、脚掌防砸伤、刺穿。金属衬垫经腐蚀试验后无腐蚀现象。帮面材料为橡胶帮面材料为橡胶靴面、靴底材料为橡胶底。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●3.参选文件中提供有效期内CCCF认证证书扫描件。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C4923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01F6D2C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42A38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1"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DE75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6402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强光照明灯</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89D0F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1.电池额定电压：≥3.7V；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2.电池额定容量：≥1.9Ah；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3.电池电池使用寿命≥1000次；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4.LED光源额定功率：≥3W；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5.LED光源平均使用寿命：≥100000H；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6.LED光源强光连续工作时间≥5H；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7.LED光源工作光连续工作时间≥10H；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8.防护等级：IP66；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9.安装在消防头盔上使用。</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BD454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793520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 </w:t>
            </w:r>
          </w:p>
        </w:tc>
      </w:tr>
      <w:tr w14:paraId="6794A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331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87E8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消防斧</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836C2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材质：优质碳钢；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厚度：不低于1.0cm。</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0B82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371102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6589F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5A3B4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9C24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过滤式综合防毒面具</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5AAE9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1.符合GB21976.7-2012标准；佩戴质量（ｇ）：≤100g；过烟效率：&gt;95%；漏气系数：&gt;5%；油雾透过系数：&lt;5%；防氰化氢：&gt;30min；防一氧化碳：&gt;30min。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●2.参选文件中提供第三方有权机构出具的有效的检验合格报告扫描件。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●3.参选文件中提供有效期内3C认证证书扫描件。</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F74D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5CC615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r>
      <w:tr w14:paraId="1F33D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6F21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3528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手提式ABC干粉灭火器（大于4公斤）</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C09B8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规格型号:MFZ/ABC5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1.灭火级别:2A55B；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2.喷射距离（m）:≥3.5m；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3.喷射时间（s）:≥9s；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4.灭火种类:A、B、C类</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88BF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具</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4C0A21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r>
      <w:tr w14:paraId="51E9C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8E2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E0C9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铁铤</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7CB40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材质：碳钢6寸直头（大）</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2F42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2541A2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r>
      <w:tr w14:paraId="76CAD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466A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D45F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绝缘剪断钳</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93586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采用绝缘材料制成! 耐高压至少达5000V。产品质量符合国家消防行业标准。</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DB4D5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28B945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r>
      <w:tr w14:paraId="50B87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4"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6E5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DACA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对讲机</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B652A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距离：3-5公里；频道数量：≥128；静音码：CTCSS/DCS；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频率范围：400-480MHZ；背景照明：有；电源不小于2500毫安时；功率不大于5W，通讯距离远；音质清晰，续航能力强。</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9C06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3AEB4C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16 </w:t>
            </w:r>
          </w:p>
        </w:tc>
      </w:tr>
      <w:tr w14:paraId="16CE1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8"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2D6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0FAA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消防水带</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06BD1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消防水带规格：SN65型，25米。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1.内径：≥63.5mm；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2.爆破压力（Mpa）：≥2.4；</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3.直径膨胀率（%）：≤5；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4.接口在1.5倍公称压力水压下不出现可见裂缝；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5.在0.3MPa水压下，不发生泄漏；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6.操作力作/N*m：1.7；</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7.老化更换，收放到位。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●10.参选文件中提供第三方有权机构出具的有效的检验合格报告扫描件。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●11.参选文件中提供有效期内CCCF认证证书。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消防接口规格：KD65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1.执行标准： GB12514 2-20062。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2.基本尺寸：d 63.5 D 111 D1 98 D2 76 m12 3.N 5.5±0.09 L≥82.5 L1 55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消防水枪规格：：QZ3 5/7.5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1.流量（L/S)≥7.5；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2.射程（m)≥28;</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3.喷射压力(Mpa)≥0.35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4.操作力矩（N.m)≦15。</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D893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盘</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0FA1B6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12 </w:t>
            </w:r>
          </w:p>
        </w:tc>
      </w:tr>
      <w:tr w14:paraId="179B4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8903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30D9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器材放置架</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3444D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红色钢制箱体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1.规格型号：≥1.6ｍ*1.2ｍ*0.38m；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2.装备柜箱：双开门箱；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3.颜色：红色；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4.钢制；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5.钢板厚度≥1.0mm。</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FEA4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22FCF4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3522F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5"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E7C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5B6ED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正压式空气呼吸器</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67C0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1.符合XF 124-2013《正压式消防空气呼吸器》的标准要求;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2.气瓶容积：6.8L，</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3.瞬间最大供气量：500L/min，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4.使用时间:68min,报警压力:5.5±0.5Mpa,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5.气瓶瓶体上印有“压缩空气；气瓶编号；水压试验压力； 公称工作压力；重量；生产日期；检验周期；使用年限； 产品标准号等相关参数；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w:t>
            </w:r>
            <w:r>
              <w:rPr>
                <w:rFonts w:hint="eastAsia" w:ascii="宋体" w:hAnsi="宋体" w:eastAsia="宋体" w:cs="宋体"/>
                <w:b/>
                <w:bCs w:val="0"/>
                <w:sz w:val="24"/>
                <w:szCs w:val="24"/>
                <w:highlight w:val="none"/>
                <w:lang w:val="en-US" w:eastAsia="zh-CN"/>
              </w:rPr>
              <w:t>6.</w:t>
            </w:r>
            <w:r>
              <w:rPr>
                <w:rFonts w:hint="eastAsia" w:ascii="宋体" w:hAnsi="宋体" w:eastAsia="宋体" w:cs="宋体"/>
                <w:b/>
                <w:i w:val="0"/>
                <w:iCs w:val="0"/>
                <w:color w:val="000000"/>
                <w:kern w:val="0"/>
                <w:sz w:val="24"/>
                <w:szCs w:val="24"/>
                <w:u w:val="none"/>
                <w:lang w:val="en-US" w:eastAsia="zh-CN" w:bidi="ar"/>
              </w:rPr>
              <w:t>参选文件中提供第三方有权机构出具的有效的检验合格报告扫描件。</w:t>
            </w:r>
            <w:r>
              <w:rPr>
                <w:rFonts w:hint="eastAsia" w:ascii="宋体" w:hAnsi="宋体" w:eastAsia="宋体" w:cs="宋体"/>
                <w:b/>
                <w:i w:val="0"/>
                <w:iCs w:val="0"/>
                <w:color w:val="000000"/>
                <w:kern w:val="0"/>
                <w:sz w:val="24"/>
                <w:szCs w:val="24"/>
                <w:u w:val="none"/>
                <w:lang w:val="en-US" w:eastAsia="zh-CN" w:bidi="ar"/>
              </w:rPr>
              <w:br w:type="textWrapping"/>
            </w:r>
            <w:r>
              <w:rPr>
                <w:rFonts w:hint="eastAsia" w:ascii="宋体" w:hAnsi="宋体" w:eastAsia="宋体" w:cs="宋体"/>
                <w:b/>
                <w:i w:val="0"/>
                <w:iCs w:val="0"/>
                <w:color w:val="000000"/>
                <w:kern w:val="0"/>
                <w:sz w:val="24"/>
                <w:szCs w:val="24"/>
                <w:u w:val="none"/>
                <w:lang w:val="en-US" w:eastAsia="zh-CN" w:bidi="ar"/>
              </w:rPr>
              <w:t>●</w:t>
            </w:r>
            <w:r>
              <w:rPr>
                <w:rFonts w:hint="eastAsia" w:ascii="宋体" w:hAnsi="宋体" w:eastAsia="宋体" w:cs="宋体"/>
                <w:b/>
                <w:bCs w:val="0"/>
                <w:sz w:val="24"/>
                <w:szCs w:val="24"/>
                <w:highlight w:val="none"/>
                <w:lang w:val="en-US" w:eastAsia="zh-CN"/>
              </w:rPr>
              <w:t>7.</w:t>
            </w:r>
            <w:r>
              <w:rPr>
                <w:rFonts w:hint="eastAsia" w:ascii="宋体" w:hAnsi="宋体" w:eastAsia="宋体" w:cs="宋体"/>
                <w:b/>
                <w:i w:val="0"/>
                <w:iCs w:val="0"/>
                <w:color w:val="000000"/>
                <w:kern w:val="0"/>
                <w:sz w:val="24"/>
                <w:szCs w:val="24"/>
                <w:u w:val="none"/>
                <w:lang w:val="en-US" w:eastAsia="zh-CN" w:bidi="ar"/>
              </w:rPr>
              <w:t>参选文件中提供有效期内CCCF认证证书。</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60AF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418" w:type="pct"/>
            <w:tcBorders>
              <w:top w:val="single" w:color="000000" w:sz="4" w:space="0"/>
              <w:left w:val="single" w:color="000000" w:sz="4" w:space="0"/>
              <w:bottom w:val="single" w:color="000000" w:sz="4" w:space="0"/>
              <w:right w:val="single" w:color="000000" w:sz="4" w:space="0"/>
            </w:tcBorders>
            <w:noWrap/>
            <w:vAlign w:val="center"/>
          </w:tcPr>
          <w:p w14:paraId="2325107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FF0000"/>
                <w:kern w:val="0"/>
                <w:sz w:val="24"/>
                <w:szCs w:val="24"/>
                <w:u w:val="none"/>
                <w:lang w:val="en-US" w:eastAsia="zh-CN" w:bidi="ar"/>
              </w:rPr>
              <w:t>22</w:t>
            </w:r>
            <w:r>
              <w:rPr>
                <w:rFonts w:hint="eastAsia" w:ascii="宋体" w:hAnsi="宋体" w:eastAsia="宋体" w:cs="宋体"/>
                <w:i w:val="0"/>
                <w:iCs w:val="0"/>
                <w:color w:val="000000"/>
                <w:kern w:val="0"/>
                <w:sz w:val="24"/>
                <w:szCs w:val="24"/>
                <w:u w:val="none"/>
                <w:lang w:val="en-US" w:eastAsia="zh-CN" w:bidi="ar"/>
              </w:rPr>
              <w:t xml:space="preserve"> </w:t>
            </w:r>
          </w:p>
        </w:tc>
      </w:tr>
      <w:tr w14:paraId="1FBD0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4" w:hRule="atLeast"/>
          <w:jc w:val="center"/>
        </w:trPr>
        <w:tc>
          <w:tcPr>
            <w:tcW w:w="4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145A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62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BC00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微型消防站组织机构, 处置流程标牌</w:t>
            </w:r>
          </w:p>
        </w:tc>
        <w:tc>
          <w:tcPr>
            <w:tcW w:w="309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71084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尺寸：≥600mm*800mm,厚度≥5mm，铝合金边框开启式，冷裱板，哑膜。含安装上墙。</w:t>
            </w:r>
          </w:p>
        </w:tc>
        <w:tc>
          <w:tcPr>
            <w:tcW w:w="40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EF71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418" w:type="pct"/>
            <w:tcBorders>
              <w:top w:val="single" w:color="000000" w:sz="4" w:space="0"/>
              <w:left w:val="single" w:color="000000" w:sz="4" w:space="0"/>
              <w:bottom w:val="single" w:color="000000" w:sz="4" w:space="0"/>
              <w:right w:val="single" w:color="000000" w:sz="4" w:space="0"/>
            </w:tcBorders>
            <w:noWrap w:val="0"/>
            <w:vAlign w:val="center"/>
          </w:tcPr>
          <w:p w14:paraId="797D42C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16 </w:t>
            </w:r>
          </w:p>
        </w:tc>
      </w:tr>
    </w:tbl>
    <w:p w14:paraId="6382BD77">
      <w:pPr>
        <w:spacing w:line="360" w:lineRule="auto"/>
        <w:ind w:firstLine="482" w:firstLineChars="200"/>
        <w:rPr>
          <w:rFonts w:hint="default" w:ascii="宋体" w:hAnsi="宋体" w:cs="宋体"/>
          <w:b/>
          <w:bCs/>
          <w:color w:val="000000"/>
          <w:sz w:val="24"/>
          <w:szCs w:val="24"/>
          <w:lang w:val="en-US" w:eastAsia="zh-CN"/>
        </w:rPr>
      </w:pPr>
      <w:r>
        <w:rPr>
          <w:rFonts w:hint="eastAsia" w:ascii="宋体" w:hAnsi="宋体" w:cs="宋体"/>
          <w:b/>
          <w:bCs/>
          <w:color w:val="000000"/>
          <w:sz w:val="24"/>
          <w:szCs w:val="24"/>
          <w:lang w:val="en-US" w:eastAsia="zh-CN"/>
        </w:rPr>
        <w:t>注：</w:t>
      </w:r>
      <w:r>
        <w:rPr>
          <w:rFonts w:hint="eastAsia" w:ascii="宋体" w:hAnsi="宋体" w:eastAsia="宋体" w:cs="宋体"/>
          <w:b/>
          <w:bCs/>
          <w:color w:val="000000"/>
          <w:kern w:val="2"/>
          <w:sz w:val="24"/>
          <w:szCs w:val="24"/>
          <w:lang w:val="zh-CN" w:eastAsia="zh-CN" w:bidi="ar-SA"/>
        </w:rPr>
        <w:t>产品质量必须有国家消防管理部门规定认可，并达到有关标准，凡发现三无产品或以次充好、质量达不到要求的产品一律拒收、退货，责任自负。</w:t>
      </w:r>
    </w:p>
    <w:p w14:paraId="667409E6">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lang w:val="en-US" w:eastAsia="zh-CN"/>
        </w:rPr>
        <w:t>五</w:t>
      </w:r>
      <w:r>
        <w:rPr>
          <w:rFonts w:hint="eastAsia" w:ascii="宋体" w:hAnsi="宋体" w:cs="宋体"/>
          <w:b/>
          <w:bCs/>
          <w:color w:val="000000"/>
          <w:sz w:val="24"/>
          <w:szCs w:val="24"/>
        </w:rPr>
        <w:t>、报价要求</w:t>
      </w:r>
    </w:p>
    <w:p w14:paraId="0F83A51E">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C71AB8"/>
    <w:rsid w:val="39C71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宋体" w:cs="@仿宋_GB2312"/>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2025-04-27T08:52:00Z</dcterms:created>
  <dc:creator>森</dc:creator>
  <cp:lastModifiedBy>森</cp:lastModifiedBy>
  <dcterms:modified xsi:type="dcterms:W3CDTF">2025-04-27T08:52:48Z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5CFE412D12194A3DB8E7CC0FE2519AAD_11</vt:lpwstr>
  </property>
  <property fmtid="{D5CDD505-2E9C-101B-9397-08002B2CF9AE}" pid="4" name="KSOTemplateDocerSaveRecord">
    <vt:lpwstr>eyJoZGlkIjoiOTc3M2Y5NzIzMDFlZjAyY2Q4Njk5ODkyYjFjNzBiNTQiLCJ1c2VySWQiOiI0MzAwMTYzNzkifQ==</vt:lpwstr>
  </property>
</Properties>
</file>