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CA89E">
      <w:pPr>
        <w:keepNext w:val="0"/>
        <w:keepLines w:val="0"/>
        <w:pageBreakBefore w:val="0"/>
        <w:kinsoku/>
        <w:wordWrap w:val="0"/>
        <w:overflowPunct/>
        <w:topLinePunct w:val="0"/>
        <w:bidi w:val="0"/>
        <w:spacing w:line="360" w:lineRule="auto"/>
        <w:jc w:val="center"/>
        <w:textAlignment w:val="auto"/>
        <w:outlineLvl w:val="1"/>
        <w:rPr>
          <w:rFonts w:ascii="宋体" w:hAnsi="宋体" w:eastAsia="宋体"/>
          <w:b/>
          <w:sz w:val="28"/>
        </w:rPr>
      </w:pPr>
      <w:bookmarkStart w:id="0" w:name="_Toc14936"/>
      <w:r>
        <w:rPr>
          <w:rFonts w:hint="eastAsia" w:ascii="宋体" w:hAnsi="宋体" w:eastAsia="宋体"/>
          <w:b/>
          <w:sz w:val="28"/>
        </w:rPr>
        <w:t>第三章  采购需求</w:t>
      </w:r>
      <w:bookmarkEnd w:id="0"/>
    </w:p>
    <w:p w14:paraId="7936937E">
      <w:pPr>
        <w:keepNext w:val="0"/>
        <w:keepLines w:val="0"/>
        <w:pageBreakBefore w:val="0"/>
        <w:kinsoku/>
        <w:wordWrap w:val="0"/>
        <w:overflowPunct/>
        <w:topLinePunct w:val="0"/>
        <w:bidi w:val="0"/>
        <w:spacing w:line="360" w:lineRule="auto"/>
        <w:jc w:val="left"/>
        <w:textAlignment w:val="auto"/>
        <w:rPr>
          <w:rFonts w:ascii="宋体" w:hAnsi="宋体" w:eastAsia="宋体"/>
          <w:b/>
          <w:sz w:val="24"/>
        </w:rPr>
      </w:pPr>
      <w:r>
        <w:rPr>
          <w:rFonts w:hint="eastAsia" w:ascii="宋体" w:hAnsi="宋体" w:eastAsia="宋体"/>
          <w:b/>
          <w:sz w:val="24"/>
        </w:rPr>
        <w:t>前注：</w:t>
      </w:r>
    </w:p>
    <w:p w14:paraId="622CB558">
      <w:pPr>
        <w:keepNext w:val="0"/>
        <w:keepLines w:val="0"/>
        <w:pageBreakBefore w:val="0"/>
        <w:kinsoku/>
        <w:wordWrap w:val="0"/>
        <w:overflowPunct/>
        <w:topLinePunct w:val="0"/>
        <w:bidi w:val="0"/>
        <w:spacing w:line="360" w:lineRule="auto"/>
        <w:ind w:firstLine="435"/>
        <w:jc w:val="left"/>
        <w:textAlignment w:val="auto"/>
        <w:rPr>
          <w:rFonts w:ascii="宋体" w:hAnsi="宋体" w:eastAsia="宋体"/>
          <w:sz w:val="24"/>
        </w:rPr>
      </w:pPr>
      <w:r>
        <w:rPr>
          <w:rFonts w:hint="eastAsia" w:ascii="宋体" w:hAnsi="宋体" w:eastAsia="宋体"/>
          <w:sz w:val="24"/>
        </w:rPr>
        <w:t>1.</w:t>
      </w:r>
      <w:r>
        <w:rPr>
          <w:rFonts w:ascii="宋体" w:hAnsi="宋体" w:eastAsia="宋体"/>
          <w:sz w:val="24"/>
        </w:rPr>
        <w:t>本采购需求中提出的服务方案仅为参考，如无明确限制，</w:t>
      </w:r>
      <w:r>
        <w:rPr>
          <w:rFonts w:hint="eastAsia" w:ascii="宋体" w:hAnsi="宋体" w:eastAsia="宋体"/>
          <w:sz w:val="24"/>
          <w:lang w:val="en-US" w:eastAsia="zh-CN"/>
        </w:rPr>
        <w:t>供应商</w:t>
      </w:r>
      <w:r>
        <w:rPr>
          <w:rFonts w:ascii="宋体" w:hAnsi="宋体" w:eastAsia="宋体"/>
          <w:sz w:val="24"/>
        </w:rPr>
        <w:t>可以进行优化，提供满足采购人实际需要的更优（或者性能实质上不低于的）服务方案，且此方案须经</w:t>
      </w:r>
      <w:r>
        <w:rPr>
          <w:rFonts w:hint="eastAsia" w:ascii="宋体" w:hAnsi="宋体" w:eastAsia="宋体"/>
          <w:sz w:val="24"/>
          <w:lang w:val="en-US" w:eastAsia="zh-CN"/>
        </w:rPr>
        <w:t>磋商小组</w:t>
      </w:r>
      <w:r>
        <w:rPr>
          <w:rFonts w:ascii="宋体" w:hAnsi="宋体" w:eastAsia="宋体"/>
          <w:sz w:val="24"/>
        </w:rPr>
        <w:t>评审认可</w:t>
      </w:r>
      <w:r>
        <w:rPr>
          <w:rFonts w:hint="eastAsia" w:ascii="宋体" w:hAnsi="宋体" w:eastAsia="宋体"/>
          <w:sz w:val="24"/>
        </w:rPr>
        <w:t>。</w:t>
      </w:r>
    </w:p>
    <w:p w14:paraId="0047B06E">
      <w:pPr>
        <w:keepNext w:val="0"/>
        <w:keepLines w:val="0"/>
        <w:pageBreakBefore w:val="0"/>
        <w:kinsoku/>
        <w:wordWrap w:val="0"/>
        <w:overflowPunct/>
        <w:topLinePunct w:val="0"/>
        <w:bidi w:val="0"/>
        <w:spacing w:line="360" w:lineRule="auto"/>
        <w:ind w:firstLine="437"/>
        <w:jc w:val="left"/>
        <w:textAlignment w:val="auto"/>
        <w:rPr>
          <w:rFonts w:ascii="宋体" w:hAnsi="宋体" w:eastAsia="宋体"/>
          <w:b/>
          <w:sz w:val="24"/>
          <w:szCs w:val="18"/>
        </w:rPr>
      </w:pPr>
      <w:r>
        <w:rPr>
          <w:rFonts w:hint="eastAsia" w:ascii="宋体" w:hAnsi="宋体" w:eastAsia="宋体"/>
          <w:b/>
          <w:sz w:val="24"/>
          <w:szCs w:val="18"/>
        </w:rPr>
        <w:t>一、采购需求前附表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112CE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DA4EF8C">
            <w:pPr>
              <w:pStyle w:val="9"/>
              <w:keepNext w:val="0"/>
              <w:keepLines w:val="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25" w:type="dxa"/>
            <w:noWrap w:val="0"/>
            <w:vAlign w:val="center"/>
          </w:tcPr>
          <w:p w14:paraId="468CE74C">
            <w:pPr>
              <w:pStyle w:val="10"/>
              <w:keepNext w:val="0"/>
              <w:keepLines w:val="0"/>
              <w:pageBreakBefore w:val="0"/>
              <w:widowControl w:val="0"/>
              <w:kinsoku/>
              <w:wordWrap w:val="0"/>
              <w:overflowPunct/>
              <w:topLinePunct w:val="0"/>
              <w:bidi w:val="0"/>
              <w:spacing w:before="0" w:beforeAutospacing="0" w:after="0" w:afterAutospacing="0" w:line="360" w:lineRule="auto"/>
              <w:textAlignment w:val="auto"/>
              <w:rPr>
                <w:rFonts w:hint="eastAsia" w:ascii="宋体" w:hAnsi="宋体" w:eastAsia="宋体"/>
                <w:bCs w:val="0"/>
                <w:sz w:val="24"/>
              </w:rPr>
            </w:pPr>
            <w:r>
              <w:rPr>
                <w:rFonts w:hint="eastAsia" w:ascii="宋体" w:hAnsi="宋体" w:eastAsia="宋体"/>
                <w:bCs w:val="0"/>
                <w:sz w:val="24"/>
              </w:rPr>
              <w:t>内容</w:t>
            </w:r>
          </w:p>
        </w:tc>
        <w:tc>
          <w:tcPr>
            <w:tcW w:w="5466" w:type="dxa"/>
            <w:noWrap w:val="0"/>
            <w:vAlign w:val="center"/>
          </w:tcPr>
          <w:p w14:paraId="6D79F7A0">
            <w:pPr>
              <w:pStyle w:val="10"/>
              <w:keepNext w:val="0"/>
              <w:keepLines w:val="0"/>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说明与要求</w:t>
            </w:r>
          </w:p>
        </w:tc>
      </w:tr>
      <w:tr w14:paraId="36B7F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3005202">
            <w:pPr>
              <w:pStyle w:val="9"/>
              <w:keepNext w:val="0"/>
              <w:keepLines w:val="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25" w:type="dxa"/>
            <w:noWrap w:val="0"/>
            <w:vAlign w:val="center"/>
          </w:tcPr>
          <w:p w14:paraId="7E4E3496">
            <w:pPr>
              <w:pStyle w:val="10"/>
              <w:keepNext w:val="0"/>
              <w:keepLines w:val="0"/>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3F52CF1A">
            <w:pPr>
              <w:widowControl/>
              <w:adjustRightInd w:val="0"/>
              <w:snapToGrid w:val="0"/>
              <w:spacing w:before="96" w:beforeLines="40" w:after="96" w:afterLines="40" w:line="400" w:lineRule="exact"/>
              <w:rPr>
                <w:rFonts w:hint="eastAsia" w:ascii="宋体" w:hAnsi="宋体" w:eastAsia="宋体" w:cs="@仿宋_GB2312"/>
                <w:b w:val="0"/>
                <w:bCs/>
                <w:kern w:val="0"/>
                <w:sz w:val="24"/>
                <w:szCs w:val="28"/>
                <w:u w:val="single"/>
                <w:lang w:val="en-US" w:eastAsia="zh-CN" w:bidi="ar-SA"/>
              </w:rPr>
            </w:pPr>
            <w:bookmarkStart w:id="1" w:name="_Hlk160700845"/>
            <w:r>
              <w:rPr>
                <w:rFonts w:hint="eastAsia" w:ascii="宋体" w:hAnsi="宋体" w:eastAsia="宋体" w:cs="@仿宋_GB2312"/>
                <w:b w:val="0"/>
                <w:bCs/>
                <w:kern w:val="0"/>
                <w:sz w:val="24"/>
                <w:szCs w:val="28"/>
                <w:u w:val="single"/>
                <w:lang w:val="en-US" w:eastAsia="zh-CN" w:bidi="ar-SA"/>
              </w:rPr>
              <w:t>合同签订后，合同款根据采购人对成交人的考核情况，于2025年12月底一次性支付</w:t>
            </w:r>
            <w:bookmarkEnd w:id="1"/>
            <w:r>
              <w:rPr>
                <w:rFonts w:hint="eastAsia" w:ascii="宋体" w:hAnsi="宋体" w:eastAsia="宋体" w:cs="@仿宋_GB2312"/>
                <w:b w:val="0"/>
                <w:bCs/>
                <w:kern w:val="0"/>
                <w:sz w:val="24"/>
                <w:szCs w:val="28"/>
                <w:u w:val="single"/>
                <w:lang w:val="en-US" w:eastAsia="zh-CN" w:bidi="ar-SA"/>
              </w:rPr>
              <w:t xml:space="preserve">  </w:t>
            </w:r>
          </w:p>
        </w:tc>
      </w:tr>
      <w:tr w14:paraId="2490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157F592">
            <w:pPr>
              <w:pStyle w:val="9"/>
              <w:keepNext w:val="0"/>
              <w:keepLines w:val="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25" w:type="dxa"/>
            <w:noWrap w:val="0"/>
            <w:vAlign w:val="center"/>
          </w:tcPr>
          <w:p w14:paraId="18B312F8">
            <w:pPr>
              <w:pStyle w:val="10"/>
              <w:keepNext w:val="0"/>
              <w:keepLines w:val="0"/>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30B661D2">
            <w:pPr>
              <w:pStyle w:val="10"/>
              <w:keepNext w:val="0"/>
              <w:keepLines w:val="0"/>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cs="@仿宋_GB2312"/>
                <w:b w:val="0"/>
                <w:bCs/>
                <w:kern w:val="0"/>
                <w:sz w:val="24"/>
                <w:szCs w:val="28"/>
                <w:u w:val="single"/>
                <w:lang w:val="en-US" w:eastAsia="zh-CN" w:bidi="ar-SA"/>
              </w:rPr>
            </w:pPr>
            <w:r>
              <w:rPr>
                <w:rFonts w:hint="eastAsia" w:ascii="宋体" w:hAnsi="宋体" w:eastAsia="宋体" w:cs="@仿宋_GB2312"/>
                <w:b w:val="0"/>
                <w:bCs/>
                <w:kern w:val="0"/>
                <w:sz w:val="24"/>
                <w:szCs w:val="28"/>
                <w:u w:val="single"/>
                <w:lang w:val="en-US" w:eastAsia="zh-CN" w:bidi="ar-SA"/>
              </w:rPr>
              <w:t xml:space="preserve">安徽省人民代表大会常务委员会办公厅或采购人指定地点         </w:t>
            </w:r>
          </w:p>
        </w:tc>
      </w:tr>
      <w:tr w14:paraId="7D39B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962F655">
            <w:pPr>
              <w:pStyle w:val="9"/>
              <w:keepNext w:val="0"/>
              <w:keepLines w:val="0"/>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25" w:type="dxa"/>
            <w:noWrap w:val="0"/>
            <w:vAlign w:val="center"/>
          </w:tcPr>
          <w:p w14:paraId="3C6948C2">
            <w:pPr>
              <w:pStyle w:val="10"/>
              <w:keepNext w:val="0"/>
              <w:keepLines w:val="0"/>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6F7D7B89">
            <w:pPr>
              <w:pStyle w:val="10"/>
              <w:keepNext w:val="0"/>
              <w:keepLines w:val="0"/>
              <w:pageBreakBefore w:val="0"/>
              <w:widowControl w:val="0"/>
              <w:kinsoku/>
              <w:wordWrap w:val="0"/>
              <w:overflowPunct/>
              <w:topLinePunct w:val="0"/>
              <w:bidi w:val="0"/>
              <w:spacing w:before="0" w:beforeAutospacing="0" w:after="0" w:afterAutospacing="0" w:line="360" w:lineRule="auto"/>
              <w:jc w:val="left"/>
              <w:textAlignment w:val="auto"/>
              <w:rPr>
                <w:rFonts w:ascii="宋体" w:hAnsi="宋体" w:eastAsia="宋体"/>
                <w:b w:val="0"/>
                <w:sz w:val="24"/>
              </w:rPr>
            </w:pPr>
            <w:r>
              <w:rPr>
                <w:rFonts w:hint="eastAsia" w:ascii="宋体" w:hAnsi="宋体" w:eastAsia="宋体"/>
                <w:b w:val="0"/>
                <w:sz w:val="24"/>
                <w:u w:val="single"/>
                <w:lang w:val="en-US" w:eastAsia="zh-CN"/>
              </w:rPr>
              <w:t>合同签订之日起1年</w:t>
            </w:r>
          </w:p>
        </w:tc>
      </w:tr>
    </w:tbl>
    <w:p w14:paraId="4382D63F">
      <w:pPr>
        <w:keepNext w:val="0"/>
        <w:keepLines w:val="0"/>
        <w:pageBreakBefore w:val="0"/>
        <w:kinsoku/>
        <w:wordWrap w:val="0"/>
        <w:overflowPunct/>
        <w:topLinePunct w:val="0"/>
        <w:bidi w:val="0"/>
        <w:spacing w:line="360" w:lineRule="auto"/>
        <w:ind w:firstLine="437"/>
        <w:textAlignment w:val="auto"/>
        <w:rPr>
          <w:rFonts w:hint="eastAsia" w:ascii="宋体" w:hAnsi="宋体" w:eastAsia="宋体"/>
          <w:b/>
          <w:sz w:val="24"/>
          <w:szCs w:val="18"/>
          <w:lang w:val="en-US" w:eastAsia="zh-CN"/>
        </w:rPr>
      </w:pPr>
      <w:r>
        <w:rPr>
          <w:rFonts w:hint="eastAsia" w:ascii="宋体" w:hAnsi="宋体" w:eastAsia="宋体"/>
          <w:b/>
          <w:sz w:val="24"/>
          <w:szCs w:val="18"/>
        </w:rPr>
        <w:t>二、项目</w:t>
      </w:r>
      <w:r>
        <w:rPr>
          <w:rFonts w:hint="eastAsia" w:ascii="宋体" w:hAnsi="宋体" w:eastAsia="宋体"/>
          <w:b/>
          <w:sz w:val="24"/>
          <w:szCs w:val="18"/>
          <w:lang w:val="en-US" w:eastAsia="zh-CN"/>
        </w:rPr>
        <w:t>背景</w:t>
      </w:r>
    </w:p>
    <w:p w14:paraId="17C07D4D">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人大财政预算监督是人大监督的重要组成部分，是宪法和法律赋予各级人大及其常委会的一项重要职权，是代表人民管理国家和社会事务，实现人民当家作主的重要内容。</w:t>
      </w:r>
    </w:p>
    <w:p w14:paraId="3EA42B24">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数字化时代变革下，数据和系统已经成为单位的重要资产。人大把数字化应用作为重要的工作内容，完整、安全、高效的数据中台是其重要的组成部分，要把海量数据汇聚形成数据资产与数据能力中心，提供智慧、高效、易用的数据，让数据随需获取，敏捷自助；极大发挥数据价值，推动业务创新与变革。</w:t>
      </w:r>
    </w:p>
    <w:p w14:paraId="622DC9E3">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根据全国人大印发《关于印发&lt;关于推进地方人大预算联网监督工作的指导意见&gt;的通知》（全国人大常办秘字[2017]144号）有关要求，安徽省人民代表大会常务委员会办公厅于2019年完成预算联网监督系统建设，通过预算监督系统的运用，可以根据监督实际需要对数据进行关联分析，抓住重点领域重点环节，提升对政府预算监督的效率和有效性。</w:t>
      </w:r>
    </w:p>
    <w:p w14:paraId="4E8B8CD3">
      <w:pPr>
        <w:keepNext w:val="0"/>
        <w:keepLines w:val="0"/>
        <w:pageBreakBefore w:val="0"/>
        <w:kinsoku/>
        <w:wordWrap w:val="0"/>
        <w:overflowPunct/>
        <w:topLinePunct w:val="0"/>
        <w:bidi w:val="0"/>
        <w:spacing w:line="360" w:lineRule="auto"/>
        <w:ind w:firstLine="437"/>
        <w:textAlignment w:val="auto"/>
        <w:rPr>
          <w:rFonts w:ascii="宋体" w:hAnsi="宋体" w:eastAsia="宋体"/>
          <w:b/>
          <w:sz w:val="24"/>
          <w:szCs w:val="18"/>
        </w:rPr>
      </w:pPr>
      <w:r>
        <w:rPr>
          <w:rFonts w:hint="eastAsia" w:ascii="宋体" w:hAnsi="宋体" w:eastAsia="宋体"/>
          <w:b/>
          <w:sz w:val="24"/>
          <w:szCs w:val="18"/>
        </w:rPr>
        <w:t>三、服务需求</w:t>
      </w:r>
    </w:p>
    <w:p w14:paraId="5FA051AD">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1.数据采集服务</w:t>
      </w:r>
    </w:p>
    <w:p w14:paraId="05C1FC49">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财政预算采集。每年预算审查前和大会批复后财政预算编制数据的报表及预算草案报告的比对分析、清洗、转换、整理、导入、制作相应报表的工作。主要涉及：预算草案报告、全省和省本级不同口径的一般公共预算、政府性基金预算、国有资本经验预算、社会保险基金预算的上年执行和本年预算。</w:t>
      </w:r>
    </w:p>
    <w:p w14:paraId="5DE4F967">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部门预算采集。每年预算审查前和大会批复后部门预算编制数据报表的比对分析、清洗、转换、整理、导入、制作相应报表的工作。部门预算编制报表数量较多，涉及所有省直部门，超过2000张报表数据的整理、导入、制作报表。</w:t>
      </w:r>
    </w:p>
    <w:p w14:paraId="4F9170F6">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（3）预算调整采集。完成每年预算调整批复后数据报表的比对分析、清洗、转换、整理、导入、制作相应报表。主要涉及：一般公共预算、政府性基金预算的预算调整方案和预算调整说明。</w:t>
      </w:r>
    </w:p>
    <w:p w14:paraId="6D3F22B8">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（4）执行月报采集。</w:t>
      </w:r>
      <w:bookmarkStart w:id="2" w:name="_Hlk160872255"/>
      <w:r>
        <w:rPr>
          <w:rFonts w:hint="eastAsia" w:ascii="宋体" w:hAnsi="宋体" w:eastAsia="宋体"/>
          <w:sz w:val="24"/>
        </w:rPr>
        <w:t>完成每月财政执行月报数据的比对分析、清洗、转换、整理、导入、制作相应报表的工作。主要涉及财政提供的每个月的收支执行月报，分全省、省级、地市等不同口径进行统计，每月共计6张</w:t>
      </w:r>
      <w:bookmarkEnd w:id="2"/>
      <w:r>
        <w:rPr>
          <w:rFonts w:hint="eastAsia" w:ascii="宋体" w:hAnsi="宋体" w:eastAsia="宋体"/>
          <w:sz w:val="24"/>
        </w:rPr>
        <w:t>：</w:t>
      </w:r>
    </w:p>
    <w:p w14:paraId="326BAAF6">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5）财政决算采集。决算审查前和决算批准后数据报表的比对分析、清洗、转换、整理、导入、制作相应报表的工作。主要涉及：决算草案报告、全省和省本级不同口径的一般公共预算、政府性基金预算、国有资本经验预算、社会保险基金预算的收入决算和支出决算。</w:t>
      </w:r>
    </w:p>
    <w:p w14:paraId="5F95EAD5">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6）部门决算采集。每年决算审查前和决算批准后部门决算数据报表的比对分析、清洗、转换、整理、导入、制作相应报表的工作。部门预算编制报表数量较多，涉及所有省直部门，超过2500张报表数据的整理、导入、制作报表。</w:t>
      </w:r>
    </w:p>
    <w:p w14:paraId="01D640E1">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（7）全国人大数据上报。</w:t>
      </w:r>
      <w:bookmarkStart w:id="3" w:name="_Hlk160873086"/>
      <w:r>
        <w:rPr>
          <w:rFonts w:hint="eastAsia" w:ascii="宋体" w:hAnsi="宋体" w:eastAsia="宋体"/>
          <w:sz w:val="24"/>
        </w:rPr>
        <w:t>每月安徽省人大根据全国人大下发的数据报送模板，通过全国人大上下贯通数据平台按时报送每月月报数据，同时随时根据全国人大要求及时下载相应文件，反馈全国人大要求上报的除月度执行月报以外的预决算相关材料。</w:t>
      </w:r>
      <w:bookmarkEnd w:id="3"/>
    </w:p>
    <w:p w14:paraId="272492C7">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（8）债务专题数据。</w:t>
      </w:r>
      <w:bookmarkStart w:id="4" w:name="_Hlk160873102"/>
      <w:r>
        <w:rPr>
          <w:rFonts w:hint="eastAsia" w:ascii="宋体" w:hAnsi="宋体" w:eastAsia="宋体"/>
          <w:sz w:val="24"/>
        </w:rPr>
        <w:t>安徽省人大采集债务专题相应的数据后由数据应用分析团队比对分析、清洗、转换、整理、导入、制作相应报表。</w:t>
      </w:r>
      <w:bookmarkEnd w:id="4"/>
    </w:p>
    <w:p w14:paraId="403CDCE1">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（9）教育专题数据。</w:t>
      </w:r>
      <w:bookmarkStart w:id="5" w:name="_Hlk160873107"/>
      <w:r>
        <w:rPr>
          <w:rFonts w:hint="eastAsia" w:ascii="宋体" w:hAnsi="宋体" w:eastAsia="宋体"/>
          <w:sz w:val="24"/>
        </w:rPr>
        <w:t>安徽省人大采集教育专题相应的数据后由数据应用分析团队比对分析、清洗、转换、整理、导入、制作相应报表。</w:t>
      </w:r>
      <w:bookmarkEnd w:id="5"/>
    </w:p>
    <w:p w14:paraId="0624F38C">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（10）政策法规上传。</w:t>
      </w:r>
      <w:bookmarkStart w:id="6" w:name="_Hlk160873143"/>
      <w:r>
        <w:rPr>
          <w:rFonts w:hint="eastAsia" w:ascii="宋体" w:hAnsi="宋体" w:eastAsia="宋体"/>
          <w:sz w:val="24"/>
        </w:rPr>
        <w:t>用户提供政策法规文件后，由数据应用分析团队及时上传导入数据中心，开放相应菜单，提供法规文档访问。</w:t>
      </w:r>
      <w:bookmarkEnd w:id="6"/>
    </w:p>
    <w:p w14:paraId="35DC1526">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2.数据标准管理服务</w:t>
      </w:r>
    </w:p>
    <w:p w14:paraId="0878D481">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（1）数据质量管理。主要包括数据质量分析、数据评估、数据清洗、数据监控、错误预警等内容；针对数据归集来源数据质量进行要求，严格控制进入数据中心的数据内容质量。</w:t>
      </w:r>
    </w:p>
    <w:p w14:paraId="31D4F526">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数据标准库建立。不同数据源的业务数据统一比对分析、清洗、转换，按照统一数据标准进入数据湖，对不同业务间的数据关联性标签制定统一标准，为后续数据分析提供条件；对数据科目编码设置标准编码库；对基础单位信息设置单位库。</w:t>
      </w:r>
    </w:p>
    <w:p w14:paraId="2EBA3B25">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3.数据应用场景服务</w:t>
      </w:r>
    </w:p>
    <w:p w14:paraId="1DAD60FF">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（1）专题数据挖掘。根据预算联网监督实际需要，设计大数据模型，自动从海量业务数据中抓取汇聚相关转移的数据内容，形成一个个数据专题，提供查询、分析服务。</w:t>
      </w:r>
    </w:p>
    <w:p w14:paraId="192EA701">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数据大屏运用。服务于广大的人大代表，为了让不同专业定位和工作经历的用户都能使用预算联网监督数据，发挥数据价值。设计数据内容丰富，页面简洁直观的分析大屏，运用大数据模型，从数据中心的海量数据中汇聚出关键信息形成监督分析重点，通过合理的界面布局，丰富的元素设计，详略得当的图表让用户做到对大屏主题的数据情况一目了然。</w:t>
      </w:r>
    </w:p>
    <w:p w14:paraId="5010B5BF">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（3）数据备份与恢复。</w:t>
      </w:r>
      <w:bookmarkStart w:id="7" w:name="_Hlk160869366"/>
      <w:r>
        <w:rPr>
          <w:rFonts w:hint="eastAsia" w:ascii="宋体" w:hAnsi="宋体" w:eastAsia="宋体"/>
          <w:sz w:val="24"/>
        </w:rPr>
        <w:t>建立全面的数据备份和恢复计划，做到有备无患。按时检查自动备份计划任务是否正常。当服务器遭遇突发故障而导致数据中心崩溃后，确保在12小时内恢复数据。</w:t>
      </w:r>
      <w:bookmarkEnd w:id="7"/>
      <w:r>
        <w:rPr>
          <w:rFonts w:hint="eastAsia" w:ascii="宋体" w:hAnsi="宋体" w:eastAsia="宋体"/>
          <w:sz w:val="24"/>
        </w:rPr>
        <w:t xml:space="preserve"> </w:t>
      </w:r>
    </w:p>
    <w:p w14:paraId="2D662407">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4）接口数据维护。预算执行数据、三公经费数据、部门汇总执行进度、首页动态执行进度排名、首页动态支付明细数据都来源于与财政预算管理一体化系统的数据接口，定期巡检数据传输情况，对于数据传输异常、中断等情况及时识别并反馈。</w:t>
      </w:r>
    </w:p>
    <w:p w14:paraId="39598FCD">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4.数据智能分析服务</w:t>
      </w:r>
    </w:p>
    <w:p w14:paraId="34D1A069">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（1）季度分析报告。</w:t>
      </w:r>
      <w:bookmarkStart w:id="8" w:name="_Hlk160879846"/>
      <w:r>
        <w:rPr>
          <w:rFonts w:hint="eastAsia" w:ascii="宋体" w:hAnsi="宋体" w:eastAsia="宋体"/>
          <w:sz w:val="24"/>
        </w:rPr>
        <w:t>根据数据中心的预算执行数据提取相应主题的元数据形成分析结果，定期产出季度分析与报告等相关工作。</w:t>
      </w:r>
      <w:bookmarkEnd w:id="8"/>
    </w:p>
    <w:p w14:paraId="2722A078">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（2）专项分析报告。</w:t>
      </w:r>
      <w:bookmarkStart w:id="9" w:name="_Hlk160879854"/>
      <w:r>
        <w:rPr>
          <w:rFonts w:hint="eastAsia" w:ascii="宋体" w:hAnsi="宋体" w:eastAsia="宋体"/>
          <w:sz w:val="24"/>
        </w:rPr>
        <w:t>每年预决算审查期间根据数据中心内总预算、部门预算、预算执行、总决算、部门决算数据提取相应数据形成分析内容，定期产出预决算分析与报告等相关工作。</w:t>
      </w:r>
      <w:bookmarkEnd w:id="9"/>
    </w:p>
    <w:p w14:paraId="3C46E73B">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（3）部门分析报告。</w:t>
      </w:r>
      <w:bookmarkStart w:id="10" w:name="_Hlk160879861"/>
      <w:r>
        <w:rPr>
          <w:rFonts w:hint="eastAsia" w:ascii="宋体" w:hAnsi="宋体" w:eastAsia="宋体"/>
          <w:sz w:val="24"/>
        </w:rPr>
        <w:t>每年针对所有省直部门，自动抓取部门多年度预算、执行、决算数据，从单位概况、项目情况、预算安排情况等维度形成部门的画像和报告。每个部门每年单独生成一份分析简报。</w:t>
      </w:r>
      <w:bookmarkEnd w:id="10"/>
    </w:p>
    <w:p w14:paraId="39F65485">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（4）专题分析报告。</w:t>
      </w:r>
      <w:bookmarkStart w:id="11" w:name="_Hlk160879869"/>
      <w:r>
        <w:rPr>
          <w:rFonts w:hint="eastAsia" w:ascii="宋体" w:hAnsi="宋体" w:eastAsia="宋体"/>
          <w:sz w:val="24"/>
        </w:rPr>
        <w:t>根据实际使用的需要，对已有专题的数据内容进行数据分析，形成相应的专题分析报告。</w:t>
      </w:r>
      <w:bookmarkEnd w:id="11"/>
    </w:p>
    <w:p w14:paraId="4534E98A">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5）数据关联性分析。出于数据分析的需要，上报的数据中需带有数据编码，而实际的数据采集过程中往往业务部门提供的数据不带数据编码或者数据编码不完整，导致数据之间关联性较弱，由数据应用分析团队分析数据关联方式并补充数据分析所需要的项目编码，主要涉及财政执行月报、财政预决算、部门预决算数据。</w:t>
      </w:r>
    </w:p>
    <w:p w14:paraId="78480DB9">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6）外部接口数据分析。预算执行数据、三公经费数据、部门汇总执行进度、首页动态执行进度排名、首页动态支付明细数据都来源于与财政预算管理一体化系统的数据接口，定期巡检数据传输情况，对于数据传输异常、中断等情况及时识别并反馈。</w:t>
      </w:r>
    </w:p>
    <w:p w14:paraId="69177EB7">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5.系统日常运维服务</w:t>
      </w:r>
    </w:p>
    <w:p w14:paraId="6AF3E89A">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（1）系统运行维护服务。主要服务内容包括技术支持、系统配置实施与维护、系统运行监控、应急故障处理、系统性能调整、每月定期巡检等多项，以全方位的运维服务保障系统的长期稳定运行。</w:t>
      </w:r>
    </w:p>
    <w:p w14:paraId="1B0F1D43">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（2）系统使用支持服务</w:t>
      </w:r>
    </w:p>
    <w:p w14:paraId="55B397DD">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bookmarkStart w:id="12" w:name="_Hlk160876811"/>
      <w:r>
        <w:rPr>
          <w:rFonts w:hint="eastAsia" w:ascii="宋体" w:hAnsi="宋体" w:eastAsia="宋体"/>
          <w:sz w:val="24"/>
        </w:rPr>
        <w:t>为用户提供系统各功能模块的日常使用支持和指导，包括远程支持指导和现场支持指导。</w:t>
      </w:r>
      <w:bookmarkEnd w:id="12"/>
    </w:p>
    <w:p w14:paraId="506DE3A2">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（3）与全国人大数据纵向贯通支持服务</w:t>
      </w:r>
    </w:p>
    <w:p w14:paraId="0D3222E6">
      <w:pPr>
        <w:keepNext w:val="0"/>
        <w:keepLines w:val="0"/>
        <w:pageBreakBefore w:val="0"/>
        <w:kinsoku/>
        <w:wordWrap w:val="0"/>
        <w:overflowPunct/>
        <w:topLinePunct w:val="0"/>
        <w:bidi w:val="0"/>
        <w:spacing w:line="360" w:lineRule="auto"/>
        <w:ind w:firstLine="435"/>
        <w:jc w:val="left"/>
        <w:textAlignment w:val="auto"/>
        <w:rPr>
          <w:rFonts w:hint="default" w:ascii="宋体" w:hAnsi="宋体" w:eastAsia="宋体"/>
          <w:b/>
          <w:sz w:val="24"/>
          <w:szCs w:val="18"/>
          <w:lang w:val="en-US" w:eastAsia="zh-CN"/>
        </w:rPr>
      </w:pPr>
      <w:bookmarkStart w:id="13" w:name="_Hlk161048856"/>
      <w:bookmarkStart w:id="14" w:name="_Hlk160876904"/>
      <w:r>
        <w:rPr>
          <w:rFonts w:hint="eastAsia" w:ascii="宋体" w:hAnsi="宋体" w:eastAsia="宋体"/>
          <w:sz w:val="24"/>
        </w:rPr>
        <w:t>每月定期检查报送全国人大相关数据完整性和准确性，确保通过纵向贯通平台传输到全国人大的数据及时、有效，符合全国人大要求。</w:t>
      </w:r>
      <w:bookmarkEnd w:id="13"/>
      <w:bookmarkEnd w:id="14"/>
    </w:p>
    <w:p w14:paraId="2A032990">
      <w:pPr>
        <w:keepNext w:val="0"/>
        <w:keepLines w:val="0"/>
        <w:pageBreakBefore w:val="0"/>
        <w:kinsoku/>
        <w:wordWrap w:val="0"/>
        <w:overflowPunct/>
        <w:topLinePunct w:val="0"/>
        <w:bidi w:val="0"/>
        <w:spacing w:line="360" w:lineRule="auto"/>
        <w:ind w:firstLine="437"/>
        <w:textAlignment w:val="auto"/>
        <w:rPr>
          <w:rFonts w:hint="default" w:ascii="宋体" w:hAnsi="宋体" w:eastAsia="宋体"/>
          <w:b/>
          <w:sz w:val="24"/>
          <w:szCs w:val="18"/>
          <w:lang w:val="en-US" w:eastAsia="zh-CN"/>
        </w:rPr>
      </w:pPr>
      <w:r>
        <w:rPr>
          <w:rFonts w:hint="eastAsia" w:ascii="宋体" w:hAnsi="宋体" w:eastAsia="宋体"/>
          <w:b/>
          <w:sz w:val="24"/>
          <w:szCs w:val="18"/>
          <w:lang w:val="en-US" w:eastAsia="zh-CN"/>
        </w:rPr>
        <w:t>四、培训服务</w:t>
      </w:r>
    </w:p>
    <w:p w14:paraId="306727CA">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根据省人大和系统管理员的需要，可提供给相关工作人员的培训内容为业务操作类培训。其中包括用户操作培训、业务变更培训</w:t>
      </w:r>
    </w:p>
    <w:p w14:paraId="3E5814EC">
      <w:pPr>
        <w:keepNext w:val="0"/>
        <w:keepLines w:val="0"/>
        <w:pageBreakBefore w:val="0"/>
        <w:kinsoku/>
        <w:wordWrap w:val="0"/>
        <w:overflowPunct/>
        <w:topLinePunct w:val="0"/>
        <w:bidi w:val="0"/>
        <w:spacing w:line="360" w:lineRule="auto"/>
        <w:ind w:firstLine="437"/>
        <w:textAlignment w:val="auto"/>
        <w:rPr>
          <w:rFonts w:ascii="宋体" w:hAnsi="宋体" w:eastAsia="宋体"/>
          <w:b/>
          <w:sz w:val="24"/>
          <w:szCs w:val="18"/>
        </w:rPr>
      </w:pPr>
      <w:r>
        <w:rPr>
          <w:rFonts w:hint="eastAsia" w:ascii="宋体" w:hAnsi="宋体" w:eastAsia="宋体"/>
          <w:b/>
          <w:sz w:val="24"/>
          <w:szCs w:val="18"/>
          <w:lang w:val="en-US" w:eastAsia="zh-CN"/>
        </w:rPr>
        <w:t>五</w:t>
      </w:r>
      <w:r>
        <w:rPr>
          <w:rFonts w:hint="eastAsia" w:ascii="宋体" w:hAnsi="宋体" w:eastAsia="宋体"/>
          <w:b/>
          <w:sz w:val="24"/>
          <w:szCs w:val="18"/>
        </w:rPr>
        <w:t>、报价要求</w:t>
      </w:r>
    </w:p>
    <w:p w14:paraId="6338C521">
      <w:pPr>
        <w:keepNext w:val="0"/>
        <w:keepLines w:val="0"/>
        <w:pageBreakBefore w:val="0"/>
        <w:kinsoku/>
        <w:wordWrap w:val="0"/>
        <w:overflowPunct/>
        <w:topLinePunct w:val="0"/>
        <w:bidi w:val="0"/>
        <w:spacing w:line="360" w:lineRule="auto"/>
        <w:ind w:firstLine="435"/>
        <w:jc w:val="left"/>
        <w:textAlignment w:val="auto"/>
        <w:rPr>
          <w:rFonts w:hint="eastAsia" w:ascii="宋体" w:hAnsi="宋体" w:eastAsia="宋体"/>
          <w:sz w:val="24"/>
        </w:rPr>
      </w:pPr>
      <w:r>
        <w:rPr>
          <w:rFonts w:hint="eastAsia" w:ascii="宋体" w:hAnsi="宋体" w:eastAsia="宋体"/>
          <w:sz w:val="24"/>
        </w:rPr>
        <w:t>本项目报总价，总价包含人工、材料、机械、措施、税金、一定范围内风险费等完成本项目服务内容的全部费用，总价作为本项目评审的依据。供应商自行考虑报价风险。</w:t>
      </w:r>
    </w:p>
    <w:p w14:paraId="63F501E0">
      <w:pPr>
        <w:keepNext w:val="0"/>
        <w:keepLines w:val="0"/>
        <w:pageBreakBefore w:val="0"/>
        <w:kinsoku/>
        <w:wordWrap w:val="0"/>
        <w:overflowPunct/>
        <w:topLinePunct w:val="0"/>
        <w:bidi w:val="0"/>
        <w:spacing w:line="360" w:lineRule="auto"/>
        <w:ind w:firstLine="437"/>
        <w:textAlignment w:val="auto"/>
        <w:rPr>
          <w:rFonts w:ascii="宋体" w:hAnsi="宋体" w:eastAsia="宋体"/>
          <w:b/>
          <w:sz w:val="24"/>
          <w:szCs w:val="18"/>
        </w:rPr>
      </w:pPr>
      <w:r>
        <w:rPr>
          <w:rFonts w:hint="eastAsia" w:ascii="宋体" w:hAnsi="宋体" w:eastAsia="宋体"/>
          <w:b/>
          <w:sz w:val="24"/>
          <w:szCs w:val="18"/>
          <w:lang w:val="en-US" w:eastAsia="zh-CN"/>
        </w:rPr>
        <w:t>六</w:t>
      </w:r>
      <w:r>
        <w:rPr>
          <w:rFonts w:hint="eastAsia" w:ascii="宋体" w:hAnsi="宋体" w:eastAsia="宋体"/>
          <w:b/>
          <w:sz w:val="24"/>
          <w:szCs w:val="18"/>
        </w:rPr>
        <w:t>、其他要求</w:t>
      </w:r>
    </w:p>
    <w:p w14:paraId="23F919D2">
      <w:r>
        <w:rPr>
          <w:rFonts w:hint="eastAsia" w:ascii="宋体" w:hAnsi="宋体" w:eastAsia="宋体"/>
          <w:sz w:val="24"/>
        </w:rPr>
        <w:t>系统运维及数据应用分析驻点服务人员为2人，</w:t>
      </w:r>
      <w:bookmarkStart w:id="15" w:name="_Hlk160877123"/>
      <w:r>
        <w:rPr>
          <w:rFonts w:hint="eastAsia" w:ascii="宋体" w:hAnsi="宋体" w:eastAsia="宋体"/>
          <w:sz w:val="24"/>
        </w:rPr>
        <w:t>针对驻点服务人员，每天需要有考勤签到表，每年重点保障预算审查、决算审查、常委会、人代会期间的数据应用和应用，提供数据上报、查询服务，产出专门的分析报告。</w:t>
      </w:r>
      <w:bookmarkEnd w:id="15"/>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445EA"/>
    <w:rsid w:val="4C544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szCs w:val="20"/>
    </w:rPr>
  </w:style>
  <w:style w:type="paragraph" w:styleId="4">
    <w:name w:val="envelope return"/>
    <w:basedOn w:val="1"/>
    <w:qFormat/>
    <w:uiPriority w:val="99"/>
    <w:pPr>
      <w:snapToGrid w:val="0"/>
    </w:pPr>
    <w:rPr>
      <w:rFonts w:ascii="Arial" w:hAnsi="Arial" w:cs="Arial"/>
    </w:rPr>
  </w:style>
  <w:style w:type="paragraph" w:styleId="5">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6">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customStyle="1" w:styleId="9">
    <w:name w:val="D&amp;L"/>
    <w:basedOn w:val="6"/>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0">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2025-04-27T08:42:00Z</dcterms:created>
  <dc:creator>森</dc:creator>
  <cp:lastModifiedBy>森</cp:lastModifiedBy>
  <dcterms:modified xsi:type="dcterms:W3CDTF">2025-04-27T08:42:34Z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68A85613CC6F424E8EF37EDCADBE4ECF_11</vt:lpwstr>
  </property>
  <property fmtid="{D5CDD505-2E9C-101B-9397-08002B2CF9AE}" pid="4" name="KSOTemplateDocerSaveRecord">
    <vt:lpwstr>eyJoZGlkIjoiOTc3M2Y5NzIzMDFlZjAyY2Q4Njk5ODkyYjFjNzBiNTQiLCJ1c2VySWQiOiI0MzAwMTYzNzkifQ==</vt:lpwstr>
  </property>
</Properties>
</file>