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573CC7">
      <w:pPr>
        <w:wordWrap w:val="0"/>
        <w:spacing w:line="360" w:lineRule="auto"/>
        <w:jc w:val="center"/>
        <w:outlineLvl w:val="1"/>
        <w:rPr>
          <w:rFonts w:ascii="华文中宋" w:hAnsi="华文中宋" w:eastAsia="华文中宋" w:cs="Times New Roman"/>
          <w:b/>
          <w:bCs/>
          <w:kern w:val="44"/>
          <w:sz w:val="44"/>
          <w:szCs w:val="44"/>
          <w:highlight w:val="none"/>
        </w:rPr>
      </w:pPr>
      <w:bookmarkStart w:id="0" w:name="_Toc18843"/>
      <w:bookmarkStart w:id="1" w:name="_Toc17676"/>
      <w:r>
        <w:rPr>
          <w:rFonts w:hint="eastAsia" w:ascii="华文中宋" w:hAnsi="华文中宋" w:eastAsia="华文中宋" w:cs="Times New Roman"/>
          <w:b/>
          <w:bCs/>
          <w:kern w:val="44"/>
          <w:sz w:val="44"/>
          <w:szCs w:val="44"/>
          <w:highlight w:val="none"/>
        </w:rPr>
        <w:t>采购需求</w:t>
      </w:r>
      <w:bookmarkEnd w:id="0"/>
      <w:bookmarkEnd w:id="1"/>
    </w:p>
    <w:p w14:paraId="581EFE37">
      <w:pPr>
        <w:wordWrap w:val="0"/>
        <w:spacing w:line="440" w:lineRule="exact"/>
        <w:rPr>
          <w:rFonts w:ascii="宋体" w:hAnsi="宋体" w:eastAsia="宋体" w:cs="宋体"/>
          <w:b/>
          <w:sz w:val="24"/>
          <w:highlight w:val="none"/>
        </w:rPr>
      </w:pPr>
      <w:r>
        <w:rPr>
          <w:rFonts w:hint="eastAsia" w:ascii="宋体" w:hAnsi="宋体" w:eastAsia="宋体" w:cs="宋体"/>
          <w:b/>
          <w:sz w:val="24"/>
          <w:highlight w:val="none"/>
        </w:rPr>
        <w:t>前注：</w:t>
      </w:r>
    </w:p>
    <w:p w14:paraId="4A7AA413">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rPr>
        <w:t>1、本采购需求中提出的方案仅为参考，如无明确限制，投标人可以进行适当优化，提供满足采购人实际需要的更优（或者性能实质上不低于的）方案或者配置，且此方案或配置须经评标委员会评审认可。</w:t>
      </w:r>
    </w:p>
    <w:p w14:paraId="5B91A0F0">
      <w:pPr>
        <w:wordWrap w:val="0"/>
        <w:spacing w:line="440" w:lineRule="exact"/>
        <w:ind w:firstLine="435"/>
        <w:rPr>
          <w:rFonts w:ascii="宋体" w:hAnsi="宋体" w:eastAsia="宋体" w:cs="宋体"/>
          <w:sz w:val="24"/>
          <w:highlight w:val="none"/>
        </w:rPr>
      </w:pPr>
      <w:r>
        <w:rPr>
          <w:rFonts w:hint="eastAsia" w:ascii="宋体" w:hAnsi="宋体" w:eastAsia="宋体" w:cs="宋体"/>
          <w:sz w:val="24"/>
          <w:highlight w:val="none"/>
          <w:lang w:val="en-US" w:eastAsia="zh-CN"/>
        </w:rPr>
        <w:t>2</w:t>
      </w:r>
      <w:r>
        <w:rPr>
          <w:rFonts w:hint="eastAsia" w:ascii="宋体" w:hAnsi="宋体" w:eastAsia="宋体" w:cs="宋体"/>
          <w:sz w:val="24"/>
          <w:highlight w:val="none"/>
        </w:rPr>
        <w:t>、投标人应自行踏勘项目现场，并在投标文件中列出完成本项目并通过验收所需的各项服务的费用。如投标人因未及时踏勘现场而导致的报价缺项漏项或中标后无法完工，投标人自行承担一切后果；中标人必须确保整体通过采购人及有关部门验收，所发生的验收费用由中标人承担。</w:t>
      </w:r>
    </w:p>
    <w:p w14:paraId="1EC0F23A">
      <w:pPr>
        <w:wordWrap w:val="0"/>
        <w:spacing w:line="440" w:lineRule="exact"/>
        <w:ind w:firstLine="435"/>
        <w:rPr>
          <w:rFonts w:ascii="宋体" w:hAnsi="宋体" w:eastAsia="宋体" w:cs="宋体"/>
          <w:sz w:val="24"/>
          <w:highlight w:val="none"/>
        </w:rPr>
      </w:pPr>
    </w:p>
    <w:p w14:paraId="4A40909B">
      <w:pPr>
        <w:wordWrap w:val="0"/>
        <w:spacing w:line="360" w:lineRule="auto"/>
        <w:jc w:val="center"/>
        <w:outlineLvl w:val="2"/>
        <w:rPr>
          <w:rFonts w:ascii="Arial" w:hAnsi="Arial" w:eastAsia="宋体" w:cs="Arial"/>
          <w:b/>
          <w:bCs/>
          <w:sz w:val="28"/>
          <w:szCs w:val="28"/>
          <w:highlight w:val="none"/>
        </w:rPr>
      </w:pPr>
      <w:r>
        <w:rPr>
          <w:rFonts w:ascii="Arial" w:hAnsi="Arial" w:eastAsia="宋体" w:cs="Arial"/>
          <w:b/>
          <w:bCs/>
          <w:sz w:val="28"/>
          <w:szCs w:val="28"/>
          <w:highlight w:val="none"/>
        </w:rPr>
        <w:t>采购需求前附表</w:t>
      </w:r>
    </w:p>
    <w:tbl>
      <w:tblPr>
        <w:tblStyle w:val="26"/>
        <w:tblW w:w="92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2214"/>
        <w:gridCol w:w="5976"/>
      </w:tblGrid>
      <w:tr w14:paraId="51DF2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098" w:type="dxa"/>
            <w:vAlign w:val="center"/>
          </w:tcPr>
          <w:p w14:paraId="5071C054">
            <w:pPr>
              <w:pStyle w:val="34"/>
              <w:pBdr>
                <w:bottom w:val="none" w:color="auto" w:sz="0" w:space="0"/>
              </w:pBdr>
              <w:tabs>
                <w:tab w:val="clear" w:pos="4153"/>
                <w:tab w:val="clear" w:pos="8306"/>
              </w:tabs>
              <w:wordWrap w:val="0"/>
              <w:adjustRightInd/>
              <w:spacing w:line="440" w:lineRule="exact"/>
              <w:textAlignment w:val="auto"/>
              <w:rPr>
                <w:rFonts w:ascii="宋体" w:hAnsi="宋体" w:eastAsia="宋体"/>
                <w:b/>
                <w:kern w:val="2"/>
                <w:highlight w:val="none"/>
              </w:rPr>
            </w:pPr>
            <w:r>
              <w:rPr>
                <w:rFonts w:hint="eastAsia" w:ascii="宋体" w:hAnsi="宋体" w:eastAsia="宋体"/>
                <w:b/>
                <w:kern w:val="2"/>
                <w:highlight w:val="none"/>
              </w:rPr>
              <w:t>序号</w:t>
            </w:r>
          </w:p>
        </w:tc>
        <w:tc>
          <w:tcPr>
            <w:tcW w:w="2214" w:type="dxa"/>
            <w:vAlign w:val="center"/>
          </w:tcPr>
          <w:p w14:paraId="546EA1BA">
            <w:pPr>
              <w:pStyle w:val="33"/>
              <w:widowControl w:val="0"/>
              <w:wordWrap w:val="0"/>
              <w:spacing w:before="0" w:beforeAutospacing="0" w:after="0" w:afterAutospacing="0" w:line="440" w:lineRule="exact"/>
              <w:rPr>
                <w:rFonts w:ascii="宋体" w:hAnsi="宋体" w:eastAsia="宋体"/>
                <w:bCs w:val="0"/>
                <w:sz w:val="24"/>
                <w:highlight w:val="none"/>
              </w:rPr>
            </w:pPr>
            <w:r>
              <w:rPr>
                <w:rFonts w:hint="eastAsia" w:ascii="宋体" w:hAnsi="宋体" w:eastAsia="宋体"/>
                <w:bCs w:val="0"/>
                <w:sz w:val="24"/>
                <w:highlight w:val="none"/>
              </w:rPr>
              <w:t>条款名称</w:t>
            </w:r>
          </w:p>
        </w:tc>
        <w:tc>
          <w:tcPr>
            <w:tcW w:w="5976" w:type="dxa"/>
            <w:vAlign w:val="center"/>
          </w:tcPr>
          <w:p w14:paraId="4A157C3C">
            <w:pPr>
              <w:pStyle w:val="33"/>
              <w:widowControl w:val="0"/>
              <w:wordWrap w:val="0"/>
              <w:spacing w:before="0" w:beforeAutospacing="0" w:after="0" w:afterAutospacing="0" w:line="440" w:lineRule="exact"/>
              <w:rPr>
                <w:rFonts w:ascii="宋体" w:hAnsi="宋体" w:eastAsia="宋体"/>
                <w:bCs w:val="0"/>
                <w:sz w:val="24"/>
                <w:highlight w:val="none"/>
              </w:rPr>
            </w:pPr>
            <w:r>
              <w:rPr>
                <w:rFonts w:hint="eastAsia" w:ascii="宋体" w:hAnsi="宋体" w:eastAsia="宋体"/>
                <w:bCs w:val="0"/>
                <w:sz w:val="24"/>
                <w:highlight w:val="none"/>
              </w:rPr>
              <w:t>内容、说明与要求</w:t>
            </w:r>
          </w:p>
        </w:tc>
      </w:tr>
      <w:tr w14:paraId="1B537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jc w:val="center"/>
        </w:trPr>
        <w:tc>
          <w:tcPr>
            <w:tcW w:w="1098" w:type="dxa"/>
            <w:vAlign w:val="center"/>
          </w:tcPr>
          <w:p w14:paraId="55387FDD">
            <w:pPr>
              <w:pStyle w:val="34"/>
              <w:pBdr>
                <w:bottom w:val="none" w:color="auto" w:sz="0" w:space="0"/>
              </w:pBdr>
              <w:tabs>
                <w:tab w:val="clear" w:pos="4153"/>
                <w:tab w:val="clear" w:pos="8306"/>
              </w:tabs>
              <w:wordWrap w:val="0"/>
              <w:adjustRightInd/>
              <w:spacing w:line="440" w:lineRule="exact"/>
              <w:textAlignment w:val="auto"/>
              <w:rPr>
                <w:rFonts w:ascii="宋体" w:hAnsi="宋体" w:eastAsia="宋体"/>
                <w:bCs/>
                <w:kern w:val="2"/>
                <w:highlight w:val="none"/>
              </w:rPr>
            </w:pPr>
            <w:r>
              <w:rPr>
                <w:rFonts w:hint="eastAsia" w:ascii="宋体" w:hAnsi="宋体" w:eastAsia="宋体"/>
                <w:bCs/>
                <w:kern w:val="2"/>
                <w:highlight w:val="none"/>
              </w:rPr>
              <w:t>1</w:t>
            </w:r>
          </w:p>
        </w:tc>
        <w:tc>
          <w:tcPr>
            <w:tcW w:w="2214" w:type="dxa"/>
            <w:vAlign w:val="center"/>
          </w:tcPr>
          <w:p w14:paraId="28250168">
            <w:pPr>
              <w:pStyle w:val="33"/>
              <w:widowControl w:val="0"/>
              <w:wordWrap w:val="0"/>
              <w:spacing w:before="0" w:beforeAutospacing="0" w:after="0" w:afterAutospacing="0" w:line="440" w:lineRule="exact"/>
              <w:rPr>
                <w:rFonts w:ascii="宋体" w:hAnsi="宋体" w:eastAsia="宋体"/>
                <w:b w:val="0"/>
                <w:sz w:val="24"/>
                <w:highlight w:val="none"/>
              </w:rPr>
            </w:pPr>
            <w:r>
              <w:rPr>
                <w:rFonts w:hint="eastAsia" w:ascii="宋体" w:hAnsi="宋体" w:eastAsia="宋体"/>
                <w:b w:val="0"/>
                <w:sz w:val="24"/>
                <w:highlight w:val="none"/>
              </w:rPr>
              <w:t>付款方式</w:t>
            </w:r>
          </w:p>
        </w:tc>
        <w:tc>
          <w:tcPr>
            <w:tcW w:w="5976" w:type="dxa"/>
            <w:vAlign w:val="center"/>
          </w:tcPr>
          <w:p w14:paraId="261F626A">
            <w:pPr>
              <w:pStyle w:val="33"/>
              <w:keepNext w:val="0"/>
              <w:keepLines w:val="0"/>
              <w:pageBreakBefore w:val="0"/>
              <w:widowControl/>
              <w:kinsoku/>
              <w:wordWrap/>
              <w:overflowPunct/>
              <w:topLinePunct w:val="0"/>
              <w:autoSpaceDE/>
              <w:autoSpaceDN/>
              <w:bidi w:val="0"/>
              <w:adjustRightInd/>
              <w:snapToGrid/>
              <w:spacing w:before="0" w:beforeAutospacing="0" w:after="0" w:afterAutospacing="0"/>
              <w:ind w:firstLine="480" w:firstLineChars="200"/>
              <w:jc w:val="both"/>
              <w:textAlignment w:val="auto"/>
              <w:rPr>
                <w:rFonts w:hint="eastAsia" w:ascii="宋体" w:hAnsi="宋体" w:eastAsia="宋体" w:cs="宋体"/>
                <w:b w:val="0"/>
                <w:sz w:val="24"/>
                <w:highlight w:val="none"/>
                <w:lang w:val="en-US" w:eastAsia="zh-CN"/>
              </w:rPr>
            </w:pPr>
            <w:r>
              <w:rPr>
                <w:rFonts w:hint="eastAsia" w:ascii="宋体" w:hAnsi="宋体" w:eastAsia="宋体" w:cs="宋体"/>
                <w:b w:val="0"/>
                <w:sz w:val="24"/>
                <w:highlight w:val="none"/>
                <w:lang w:val="en-US" w:eastAsia="zh-CN"/>
              </w:rPr>
              <w:t>每半年度支付一次。根据中标人实际服务时间、服务面积和服务内容，以及每半年考核分数确定应支付的物业服务费。</w:t>
            </w:r>
          </w:p>
          <w:p w14:paraId="0E0A4610">
            <w:pPr>
              <w:pStyle w:val="33"/>
              <w:keepNext w:val="0"/>
              <w:keepLines w:val="0"/>
              <w:pageBreakBefore w:val="0"/>
              <w:widowControl/>
              <w:kinsoku/>
              <w:wordWrap/>
              <w:overflowPunct/>
              <w:topLinePunct w:val="0"/>
              <w:autoSpaceDE/>
              <w:autoSpaceDN/>
              <w:bidi w:val="0"/>
              <w:adjustRightInd/>
              <w:snapToGrid/>
              <w:spacing w:before="0" w:beforeAutospacing="0" w:after="0" w:afterAutospacing="0"/>
              <w:ind w:firstLine="480" w:firstLineChars="200"/>
              <w:jc w:val="both"/>
              <w:textAlignment w:val="auto"/>
              <w:rPr>
                <w:rFonts w:ascii="宋体" w:hAnsi="宋体" w:eastAsia="宋体"/>
                <w:b w:val="0"/>
                <w:sz w:val="24"/>
                <w:highlight w:val="none"/>
                <w:u w:val="single"/>
              </w:rPr>
            </w:pPr>
            <w:r>
              <w:rPr>
                <w:rFonts w:hint="eastAsia" w:ascii="宋体" w:hAnsi="宋体" w:eastAsia="宋体" w:cs="宋体"/>
                <w:b w:val="0"/>
                <w:sz w:val="24"/>
                <w:highlight w:val="none"/>
              </w:rPr>
              <w:t>备注：</w:t>
            </w:r>
            <w:r>
              <w:rPr>
                <w:rFonts w:hint="eastAsia" w:ascii="宋体" w:hAnsi="宋体" w:eastAsia="宋体" w:cs="宋体"/>
                <w:b w:val="0"/>
                <w:sz w:val="24"/>
                <w:highlight w:val="none"/>
                <w:lang w:val="en-US" w:eastAsia="zh-CN"/>
              </w:rPr>
              <w:t>付款前，中标人须提供相应金额的正规增值税发票、半年度工作总结。</w:t>
            </w:r>
          </w:p>
        </w:tc>
      </w:tr>
      <w:tr w14:paraId="61E79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1098" w:type="dxa"/>
            <w:vAlign w:val="center"/>
          </w:tcPr>
          <w:p w14:paraId="3FE242CD">
            <w:pPr>
              <w:pStyle w:val="34"/>
              <w:pBdr>
                <w:bottom w:val="none" w:color="auto" w:sz="0" w:space="0"/>
              </w:pBdr>
              <w:tabs>
                <w:tab w:val="clear" w:pos="4153"/>
                <w:tab w:val="clear" w:pos="8306"/>
              </w:tabs>
              <w:wordWrap w:val="0"/>
              <w:adjustRightInd/>
              <w:spacing w:line="440" w:lineRule="exact"/>
              <w:textAlignment w:val="auto"/>
              <w:rPr>
                <w:rFonts w:ascii="宋体" w:hAnsi="宋体" w:eastAsia="宋体"/>
                <w:bCs/>
                <w:kern w:val="2"/>
                <w:highlight w:val="none"/>
              </w:rPr>
            </w:pPr>
            <w:r>
              <w:rPr>
                <w:rFonts w:hint="eastAsia" w:ascii="宋体" w:hAnsi="宋体" w:eastAsia="宋体"/>
                <w:bCs/>
                <w:kern w:val="2"/>
                <w:highlight w:val="none"/>
              </w:rPr>
              <w:t>2</w:t>
            </w:r>
          </w:p>
        </w:tc>
        <w:tc>
          <w:tcPr>
            <w:tcW w:w="2214" w:type="dxa"/>
            <w:vAlign w:val="center"/>
          </w:tcPr>
          <w:p w14:paraId="42FD2A50">
            <w:pPr>
              <w:pStyle w:val="33"/>
              <w:widowControl w:val="0"/>
              <w:wordWrap w:val="0"/>
              <w:spacing w:before="0" w:beforeAutospacing="0" w:after="0" w:afterAutospacing="0" w:line="440" w:lineRule="exact"/>
              <w:rPr>
                <w:rFonts w:hint="eastAsia" w:ascii="宋体" w:hAnsi="宋体" w:eastAsia="宋体"/>
                <w:b w:val="0"/>
                <w:sz w:val="24"/>
                <w:highlight w:val="none"/>
                <w:lang w:eastAsia="zh-CN"/>
              </w:rPr>
            </w:pPr>
            <w:r>
              <w:rPr>
                <w:rFonts w:hint="eastAsia" w:ascii="宋体" w:hAnsi="宋体" w:eastAsia="宋体"/>
                <w:b w:val="0"/>
                <w:sz w:val="24"/>
                <w:highlight w:val="none"/>
                <w:lang w:eastAsia="zh-CN"/>
              </w:rPr>
              <w:t>服务地点</w:t>
            </w:r>
          </w:p>
        </w:tc>
        <w:tc>
          <w:tcPr>
            <w:tcW w:w="5976" w:type="dxa"/>
            <w:vAlign w:val="center"/>
          </w:tcPr>
          <w:p w14:paraId="1CC606A1">
            <w:pPr>
              <w:pStyle w:val="33"/>
              <w:widowControl w:val="0"/>
              <w:spacing w:before="0" w:beforeAutospacing="0" w:after="0" w:afterAutospacing="0"/>
              <w:ind w:firstLine="480" w:firstLineChars="200"/>
              <w:jc w:val="both"/>
              <w:rPr>
                <w:rFonts w:ascii="宋体" w:hAnsi="宋体" w:eastAsia="宋体"/>
                <w:b w:val="0"/>
                <w:sz w:val="24"/>
                <w:highlight w:val="none"/>
              </w:rPr>
            </w:pPr>
            <w:r>
              <w:rPr>
                <w:rFonts w:hint="eastAsia" w:ascii="宋体" w:hAnsi="宋体" w:eastAsia="宋体" w:cs="宋体"/>
                <w:b w:val="0"/>
                <w:sz w:val="24"/>
                <w:highlight w:val="none"/>
              </w:rPr>
              <w:t>合肥市蜀山区</w:t>
            </w:r>
            <w:r>
              <w:rPr>
                <w:rFonts w:hint="eastAsia" w:ascii="宋体" w:hAnsi="宋体" w:eastAsia="宋体" w:cs="宋体"/>
                <w:b w:val="0"/>
                <w:sz w:val="24"/>
                <w:highlight w:val="none"/>
                <w:lang w:eastAsia="zh-CN"/>
              </w:rPr>
              <w:t>“</w:t>
            </w:r>
            <w:r>
              <w:rPr>
                <w:rFonts w:hint="eastAsia" w:ascii="宋体" w:hAnsi="宋体" w:eastAsia="宋体" w:cs="宋体"/>
                <w:b w:val="0"/>
                <w:sz w:val="24"/>
                <w:highlight w:val="none"/>
              </w:rPr>
              <w:t>中国科学技术大学控股大厦</w:t>
            </w:r>
            <w:r>
              <w:rPr>
                <w:rFonts w:hint="eastAsia" w:ascii="宋体" w:hAnsi="宋体" w:eastAsia="宋体" w:cs="宋体"/>
                <w:b w:val="0"/>
                <w:sz w:val="24"/>
                <w:highlight w:val="none"/>
                <w:lang w:eastAsia="zh-CN"/>
              </w:rPr>
              <w:t>”</w:t>
            </w:r>
            <w:r>
              <w:rPr>
                <w:rFonts w:hint="eastAsia" w:ascii="宋体" w:hAnsi="宋体" w:eastAsia="宋体" w:cs="宋体"/>
                <w:b w:val="0"/>
                <w:sz w:val="24"/>
                <w:highlight w:val="none"/>
              </w:rPr>
              <w:t>内，具体位置由采购人指定。</w:t>
            </w:r>
          </w:p>
        </w:tc>
      </w:tr>
      <w:tr w14:paraId="043775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atLeast"/>
          <w:jc w:val="center"/>
        </w:trPr>
        <w:tc>
          <w:tcPr>
            <w:tcW w:w="1098" w:type="dxa"/>
            <w:vAlign w:val="center"/>
          </w:tcPr>
          <w:p w14:paraId="05EF5A03">
            <w:pPr>
              <w:pStyle w:val="34"/>
              <w:pBdr>
                <w:bottom w:val="none" w:color="auto" w:sz="0" w:space="0"/>
              </w:pBdr>
              <w:tabs>
                <w:tab w:val="clear" w:pos="4153"/>
                <w:tab w:val="clear" w:pos="8306"/>
              </w:tabs>
              <w:wordWrap w:val="0"/>
              <w:adjustRightInd/>
              <w:spacing w:line="440" w:lineRule="exact"/>
              <w:textAlignment w:val="auto"/>
              <w:rPr>
                <w:rFonts w:ascii="宋体" w:hAnsi="宋体" w:eastAsia="宋体"/>
                <w:bCs/>
                <w:kern w:val="2"/>
                <w:highlight w:val="none"/>
              </w:rPr>
            </w:pPr>
            <w:r>
              <w:rPr>
                <w:rFonts w:hint="eastAsia" w:ascii="宋体" w:hAnsi="宋体" w:eastAsia="宋体"/>
                <w:bCs/>
                <w:kern w:val="2"/>
                <w:highlight w:val="none"/>
              </w:rPr>
              <w:t>3</w:t>
            </w:r>
          </w:p>
        </w:tc>
        <w:tc>
          <w:tcPr>
            <w:tcW w:w="2214" w:type="dxa"/>
            <w:vAlign w:val="center"/>
          </w:tcPr>
          <w:p w14:paraId="16D6E1A8">
            <w:pPr>
              <w:pStyle w:val="33"/>
              <w:widowControl w:val="0"/>
              <w:wordWrap w:val="0"/>
              <w:spacing w:before="0" w:beforeAutospacing="0" w:after="0" w:afterAutospacing="0" w:line="440" w:lineRule="exact"/>
              <w:rPr>
                <w:rFonts w:hint="eastAsia" w:ascii="宋体" w:hAnsi="宋体" w:eastAsia="宋体"/>
                <w:b w:val="0"/>
                <w:sz w:val="24"/>
                <w:highlight w:val="none"/>
                <w:lang w:eastAsia="zh-CN"/>
              </w:rPr>
            </w:pPr>
            <w:r>
              <w:rPr>
                <w:rFonts w:hint="eastAsia" w:ascii="宋体" w:hAnsi="宋体" w:eastAsia="宋体"/>
                <w:b w:val="0"/>
                <w:sz w:val="24"/>
                <w:highlight w:val="none"/>
                <w:lang w:eastAsia="zh-CN"/>
              </w:rPr>
              <w:t>服务期限</w:t>
            </w:r>
          </w:p>
        </w:tc>
        <w:tc>
          <w:tcPr>
            <w:tcW w:w="5976" w:type="dxa"/>
            <w:vAlign w:val="center"/>
          </w:tcPr>
          <w:p w14:paraId="3F115284">
            <w:pPr>
              <w:pStyle w:val="33"/>
              <w:widowControl w:val="0"/>
              <w:spacing w:before="0" w:beforeAutospacing="0" w:after="0" w:afterAutospacing="0"/>
              <w:ind w:firstLine="480" w:firstLineChars="200"/>
              <w:jc w:val="both"/>
              <w:rPr>
                <w:rFonts w:hint="eastAsia" w:ascii="宋体" w:hAnsi="宋体" w:eastAsia="宋体" w:cs="宋体"/>
                <w:b w:val="0"/>
                <w:sz w:val="24"/>
                <w:highlight w:val="none"/>
                <w:lang w:eastAsia="zh-CN"/>
              </w:rPr>
            </w:pPr>
            <w:r>
              <w:rPr>
                <w:rFonts w:hint="eastAsia" w:ascii="宋体" w:hAnsi="宋体" w:eastAsia="宋体" w:cs="宋体"/>
                <w:b w:val="0"/>
                <w:sz w:val="24"/>
                <w:highlight w:val="none"/>
              </w:rPr>
              <w:t>自合同签订后实际交接、进驻服务之日起12个月</w:t>
            </w:r>
            <w:r>
              <w:rPr>
                <w:rFonts w:hint="eastAsia" w:ascii="宋体" w:hAnsi="宋体" w:eastAsia="宋体" w:cs="宋体"/>
                <w:b w:val="0"/>
                <w:sz w:val="24"/>
                <w:highlight w:val="none"/>
                <w:lang w:eastAsia="zh-CN"/>
              </w:rPr>
              <w:t>。</w:t>
            </w:r>
          </w:p>
          <w:p w14:paraId="24788A44">
            <w:pPr>
              <w:pStyle w:val="33"/>
              <w:widowControl w:val="0"/>
              <w:spacing w:before="0" w:beforeAutospacing="0" w:after="0" w:afterAutospacing="0"/>
              <w:ind w:firstLine="480" w:firstLineChars="200"/>
              <w:jc w:val="both"/>
              <w:rPr>
                <w:rFonts w:ascii="宋体" w:hAnsi="宋体" w:eastAsia="宋体"/>
                <w:b w:val="0"/>
                <w:sz w:val="24"/>
                <w:highlight w:val="none"/>
              </w:rPr>
            </w:pPr>
            <w:r>
              <w:rPr>
                <w:rFonts w:hint="eastAsia" w:ascii="宋体" w:hAnsi="宋体" w:eastAsia="宋体" w:cs="宋体"/>
                <w:b w:val="0"/>
                <w:sz w:val="24"/>
                <w:highlight w:val="none"/>
              </w:rPr>
              <w:t>备注：投标人应充分考虑到项目实施过程中的各种风险因素，并视为已含在投标总报价中，中标后不再因此另行增加费用。</w:t>
            </w:r>
          </w:p>
        </w:tc>
      </w:tr>
    </w:tbl>
    <w:p w14:paraId="34613970">
      <w:pPr>
        <w:wordWrap w:val="0"/>
        <w:spacing w:line="360" w:lineRule="auto"/>
        <w:ind w:firstLine="482" w:firstLineChars="200"/>
        <w:rPr>
          <w:rFonts w:ascii="Arial" w:hAnsi="Arial" w:eastAsia="宋体" w:cs="Arial"/>
          <w:b/>
          <w:sz w:val="24"/>
          <w:szCs w:val="18"/>
          <w:highlight w:val="none"/>
        </w:rPr>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pPr>
    </w:p>
    <w:p w14:paraId="1AC5CB6F">
      <w:pPr>
        <w:pStyle w:val="3"/>
        <w:spacing w:before="360" w:after="120" w:line="240" w:lineRule="auto"/>
        <w:jc w:val="center"/>
        <w:rPr>
          <w:rFonts w:hint="eastAsia" w:ascii="宋体" w:hAnsi="宋体" w:eastAsia="宋体" w:cs="宋体"/>
          <w:sz w:val="28"/>
          <w:szCs w:val="28"/>
          <w:highlight w:val="none"/>
        </w:rPr>
      </w:pPr>
      <w:r>
        <w:rPr>
          <w:rFonts w:hint="eastAsia" w:ascii="宋体" w:hAnsi="宋体" w:eastAsia="宋体" w:cs="宋体"/>
          <w:sz w:val="28"/>
          <w:szCs w:val="28"/>
          <w:highlight w:val="none"/>
        </w:rPr>
        <w:t>第一部分 项目基本概况</w:t>
      </w:r>
    </w:p>
    <w:p w14:paraId="7A7D36EC">
      <w:pPr>
        <w:spacing w:line="360"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中国科学技术大学控股大厦位于合肥市蜀山区东至路与光明路交汇处路东北侧，为单体独栋建筑（含地下车库），主要用途为科研办公。大厦地面22层，地下2层（主要为停车场），建筑面积19032㎡。楼宇主出入口为一楼大厅，地下车库目前有一个出入口\电梯6部。楼宇周边附带广场和绿化带。</w:t>
      </w:r>
    </w:p>
    <w:p w14:paraId="57320287">
      <w:pPr>
        <w:pStyle w:val="19"/>
        <w:jc w:val="center"/>
        <w:rPr>
          <w:rFonts w:hint="eastAsia" w:ascii="宋体" w:hAnsi="宋体" w:eastAsia="宋体" w:cs="宋体"/>
          <w:highlight w:val="none"/>
        </w:rPr>
      </w:pPr>
      <w:r>
        <w:rPr>
          <w:highlight w:val="none"/>
        </w:rPr>
        <w:drawing>
          <wp:inline distT="0" distB="0" distL="114300" distR="114300">
            <wp:extent cx="1978025" cy="2348230"/>
            <wp:effectExtent l="0" t="0" r="3175" b="139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7"/>
                    <a:stretch>
                      <a:fillRect/>
                    </a:stretch>
                  </pic:blipFill>
                  <pic:spPr>
                    <a:xfrm>
                      <a:off x="0" y="0"/>
                      <a:ext cx="1978025" cy="2348230"/>
                    </a:xfrm>
                    <a:prstGeom prst="rect">
                      <a:avLst/>
                    </a:prstGeom>
                    <a:noFill/>
                    <a:ln>
                      <a:noFill/>
                    </a:ln>
                  </pic:spPr>
                </pic:pic>
              </a:graphicData>
            </a:graphic>
          </wp:inline>
        </w:drawing>
      </w:r>
    </w:p>
    <w:p w14:paraId="3B13D1A3">
      <w:pPr>
        <w:pStyle w:val="25"/>
        <w:spacing w:after="0" w:line="360" w:lineRule="auto"/>
        <w:ind w:left="0" w:leftChars="0" w:firstLine="0" w:firstLineChars="0"/>
        <w:jc w:val="center"/>
        <w:rPr>
          <w:rFonts w:hint="eastAsia" w:ascii="宋体" w:hAnsi="宋体" w:eastAsia="宋体" w:cs="宋体"/>
          <w:sz w:val="24"/>
          <w:highlight w:val="none"/>
        </w:rPr>
      </w:pPr>
      <w:r>
        <w:rPr>
          <w:rFonts w:hint="eastAsia" w:ascii="宋体" w:hAnsi="宋体" w:eastAsia="宋体" w:cs="宋体"/>
          <w:b/>
          <w:sz w:val="24"/>
          <w:highlight w:val="none"/>
        </w:rPr>
        <w:t>特别提醒：</w:t>
      </w:r>
      <w:r>
        <w:rPr>
          <w:rFonts w:hint="eastAsia" w:ascii="宋体" w:hAnsi="宋体" w:eastAsia="宋体" w:cs="宋体"/>
          <w:b/>
          <w:bCs/>
          <w:sz w:val="24"/>
          <w:highlight w:val="none"/>
        </w:rPr>
        <w:t>大厦已竣工，目前是毛坯</w:t>
      </w:r>
      <w:r>
        <w:rPr>
          <w:rFonts w:hint="eastAsia" w:ascii="宋体" w:hAnsi="宋体" w:eastAsia="宋体" w:cs="宋体"/>
          <w:b/>
          <w:bCs/>
          <w:sz w:val="24"/>
          <w:highlight w:val="none"/>
          <w:lang w:eastAsia="zh-CN"/>
        </w:rPr>
        <w:t>、</w:t>
      </w:r>
      <w:r>
        <w:rPr>
          <w:rFonts w:hint="eastAsia" w:ascii="宋体" w:hAnsi="宋体" w:eastAsia="宋体" w:cs="宋体"/>
          <w:b/>
          <w:bCs/>
          <w:sz w:val="24"/>
          <w:highlight w:val="none"/>
          <w:lang w:val="en-US" w:eastAsia="zh-CN"/>
        </w:rPr>
        <w:t>二次装修改造</w:t>
      </w:r>
      <w:r>
        <w:rPr>
          <w:rFonts w:hint="eastAsia" w:ascii="宋体" w:hAnsi="宋体" w:eastAsia="宋体" w:cs="宋体"/>
          <w:b/>
          <w:bCs/>
          <w:sz w:val="24"/>
          <w:highlight w:val="none"/>
        </w:rPr>
        <w:t>状态</w:t>
      </w:r>
      <w:r>
        <w:rPr>
          <w:rFonts w:hint="eastAsia" w:ascii="宋体" w:hAnsi="宋体" w:eastAsia="宋体" w:cs="宋体"/>
          <w:b/>
          <w:bCs/>
          <w:sz w:val="24"/>
          <w:highlight w:val="none"/>
          <w:lang w:eastAsia="zh-CN"/>
        </w:rPr>
        <w:t>。</w:t>
      </w:r>
    </w:p>
    <w:p w14:paraId="33712975">
      <w:pPr>
        <w:pStyle w:val="3"/>
        <w:spacing w:before="360" w:after="120" w:line="240" w:lineRule="auto"/>
        <w:jc w:val="center"/>
        <w:rPr>
          <w:rFonts w:hint="eastAsia" w:ascii="宋体" w:hAnsi="宋体" w:eastAsia="宋体" w:cs="宋体"/>
          <w:sz w:val="28"/>
          <w:szCs w:val="28"/>
          <w:highlight w:val="none"/>
        </w:rPr>
      </w:pPr>
      <w:bookmarkStart w:id="2" w:name="_物业服务内容和要求"/>
      <w:bookmarkEnd w:id="2"/>
      <w:r>
        <w:rPr>
          <w:rFonts w:hint="eastAsia" w:ascii="宋体" w:hAnsi="宋体" w:eastAsia="宋体" w:cs="宋体"/>
          <w:sz w:val="28"/>
          <w:szCs w:val="28"/>
          <w:highlight w:val="none"/>
        </w:rPr>
        <w:t>第二部分 物业服务内容和要求</w:t>
      </w:r>
    </w:p>
    <w:p w14:paraId="7BE1992D">
      <w:pPr>
        <w:keepNext w:val="0"/>
        <w:keepLines w:val="0"/>
        <w:pageBreakBefore w:val="0"/>
        <w:widowControl w:val="0"/>
        <w:kinsoku/>
        <w:wordWrap/>
        <w:overflowPunct/>
        <w:topLinePunct w:val="0"/>
        <w:autoSpaceDE/>
        <w:autoSpaceDN/>
        <w:bidi w:val="0"/>
        <w:adjustRightInd/>
        <w:snapToGrid/>
        <w:spacing w:line="240" w:lineRule="auto"/>
        <w:ind w:firstLine="482" w:firstLineChars="200"/>
        <w:textAlignment w:val="auto"/>
        <w:rPr>
          <w:rFonts w:hint="eastAsia" w:ascii="宋体" w:hAnsi="宋体" w:eastAsia="宋体" w:cs="宋体"/>
          <w:spacing w:val="10"/>
          <w:sz w:val="24"/>
          <w:highlight w:val="none"/>
        </w:rPr>
      </w:pPr>
      <w:r>
        <w:rPr>
          <w:rFonts w:hint="eastAsia" w:ascii="宋体" w:hAnsi="宋体" w:eastAsia="宋体" w:cs="宋体"/>
          <w:b/>
          <w:bCs/>
          <w:sz w:val="24"/>
          <w:highlight w:val="none"/>
        </w:rPr>
        <w:t>中国科学技术大学控股大厦物业服务内容包括但不仅限于以下内容：</w:t>
      </w:r>
      <w:r>
        <w:rPr>
          <w:rFonts w:hint="eastAsia" w:ascii="宋体" w:hAnsi="宋体" w:eastAsia="宋体" w:cs="宋体"/>
          <w:color w:val="000000"/>
          <w:spacing w:val="9"/>
          <w:kern w:val="0"/>
          <w:sz w:val="24"/>
          <w:highlight w:val="none"/>
          <w:lang w:bidi="ar"/>
        </w:rPr>
        <w:t>日常物业管理服务：秩序维护与巡查（包括楼</w:t>
      </w:r>
      <w:r>
        <w:rPr>
          <w:rFonts w:hint="eastAsia" w:ascii="宋体" w:hAnsi="宋体" w:eastAsia="宋体" w:cs="宋体"/>
          <w:color w:val="000000"/>
          <w:spacing w:val="6"/>
          <w:kern w:val="0"/>
          <w:sz w:val="24"/>
          <w:highlight w:val="none"/>
          <w:lang w:bidi="ar"/>
        </w:rPr>
        <w:t>宇及周边</w:t>
      </w:r>
      <w:r>
        <w:rPr>
          <w:rFonts w:hint="eastAsia" w:ascii="宋体" w:hAnsi="宋体" w:eastAsia="宋体" w:cs="宋体"/>
          <w:color w:val="000000"/>
          <w:spacing w:val="4"/>
          <w:kern w:val="0"/>
          <w:sz w:val="24"/>
          <w:highlight w:val="none"/>
          <w:lang w:bidi="ar"/>
        </w:rPr>
        <w:t>的</w:t>
      </w:r>
      <w:r>
        <w:rPr>
          <w:rFonts w:hint="eastAsia" w:ascii="宋体" w:hAnsi="宋体" w:eastAsia="宋体" w:cs="宋体"/>
          <w:color w:val="000000"/>
          <w:spacing w:val="3"/>
          <w:kern w:val="0"/>
          <w:sz w:val="24"/>
          <w:highlight w:val="none"/>
          <w:lang w:bidi="ar"/>
        </w:rPr>
        <w:t>秩序维护</w:t>
      </w:r>
      <w:r>
        <w:rPr>
          <w:rFonts w:hint="eastAsia" w:ascii="宋体" w:hAnsi="宋体" w:eastAsia="宋体" w:cs="宋体"/>
          <w:color w:val="000000"/>
          <w:spacing w:val="3"/>
          <w:kern w:val="0"/>
          <w:sz w:val="24"/>
          <w:highlight w:val="none"/>
          <w:lang w:eastAsia="zh-CN" w:bidi="ar"/>
        </w:rPr>
        <w:t>、</w:t>
      </w:r>
      <w:r>
        <w:rPr>
          <w:rFonts w:hint="eastAsia" w:ascii="宋体" w:hAnsi="宋体" w:eastAsia="宋体" w:cs="宋体"/>
          <w:b w:val="0"/>
          <w:bCs w:val="0"/>
          <w:color w:val="000000"/>
          <w:spacing w:val="3"/>
          <w:kern w:val="0"/>
          <w:sz w:val="24"/>
          <w:szCs w:val="22"/>
          <w:highlight w:val="none"/>
          <w:lang w:val="en-US" w:eastAsia="zh-CN" w:bidi="ar"/>
        </w:rPr>
        <w:t>楼内施工监管</w:t>
      </w:r>
      <w:r>
        <w:rPr>
          <w:rFonts w:hint="eastAsia" w:ascii="宋体" w:hAnsi="宋体" w:eastAsia="宋体" w:cs="宋体"/>
          <w:color w:val="000000"/>
          <w:spacing w:val="3"/>
          <w:kern w:val="0"/>
          <w:sz w:val="24"/>
          <w:highlight w:val="none"/>
          <w:lang w:bidi="ar"/>
        </w:rPr>
        <w:t>）、消防管理与巡查、</w:t>
      </w:r>
      <w:r>
        <w:rPr>
          <w:rFonts w:hint="eastAsia" w:ascii="宋体" w:hAnsi="宋体" w:eastAsia="宋体" w:cs="宋体"/>
          <w:color w:val="000000"/>
          <w:spacing w:val="14"/>
          <w:kern w:val="0"/>
          <w:sz w:val="24"/>
          <w:highlight w:val="none"/>
          <w:lang w:bidi="ar"/>
        </w:rPr>
        <w:t>公用设施设备运行管理</w:t>
      </w:r>
      <w:r>
        <w:rPr>
          <w:rFonts w:hint="eastAsia" w:ascii="宋体" w:hAnsi="宋体" w:eastAsia="宋体" w:cs="宋体"/>
          <w:color w:val="000000"/>
          <w:kern w:val="0"/>
          <w:sz w:val="24"/>
          <w:highlight w:val="none"/>
          <w:lang w:bidi="ar"/>
        </w:rPr>
        <w:t>（空调、电梯、供配电、给排水等运行管理和楼内装修改造监管）、综合</w:t>
      </w:r>
      <w:r>
        <w:rPr>
          <w:rFonts w:hint="eastAsia" w:ascii="宋体" w:hAnsi="宋体" w:eastAsia="宋体" w:cs="宋体"/>
          <w:color w:val="000000"/>
          <w:spacing w:val="20"/>
          <w:kern w:val="0"/>
          <w:sz w:val="24"/>
          <w:highlight w:val="none"/>
          <w:lang w:bidi="ar"/>
        </w:rPr>
        <w:t>支撑</w:t>
      </w:r>
      <w:r>
        <w:rPr>
          <w:rFonts w:hint="eastAsia" w:ascii="宋体" w:hAnsi="宋体" w:eastAsia="宋体" w:cs="宋体"/>
          <w:color w:val="000000"/>
          <w:spacing w:val="13"/>
          <w:kern w:val="0"/>
          <w:sz w:val="24"/>
          <w:highlight w:val="none"/>
          <w:lang w:bidi="ar"/>
        </w:rPr>
        <w:t>服</w:t>
      </w:r>
      <w:r>
        <w:rPr>
          <w:rFonts w:hint="eastAsia" w:ascii="宋体" w:hAnsi="宋体" w:eastAsia="宋体" w:cs="宋体"/>
          <w:color w:val="000000"/>
          <w:spacing w:val="10"/>
          <w:kern w:val="0"/>
          <w:sz w:val="24"/>
          <w:highlight w:val="none"/>
          <w:lang w:bidi="ar"/>
        </w:rPr>
        <w:t>务等。</w:t>
      </w:r>
    </w:p>
    <w:p w14:paraId="43A312EB">
      <w:pPr>
        <w:pStyle w:val="3"/>
        <w:widowControl/>
        <w:spacing w:before="240" w:after="120" w:line="240" w:lineRule="auto"/>
        <w:rPr>
          <w:rFonts w:hint="eastAsia" w:ascii="宋体" w:hAnsi="宋体" w:eastAsia="宋体" w:cs="宋体"/>
          <w:sz w:val="24"/>
          <w:szCs w:val="24"/>
          <w:highlight w:val="none"/>
        </w:rPr>
      </w:pPr>
      <w:r>
        <w:rPr>
          <w:rFonts w:hint="eastAsia" w:ascii="宋体" w:hAnsi="宋体" w:eastAsia="宋体" w:cs="宋体"/>
          <w:sz w:val="24"/>
          <w:szCs w:val="24"/>
          <w:highlight w:val="none"/>
        </w:rPr>
        <w:t>一、</w:t>
      </w:r>
      <w:r>
        <w:rPr>
          <w:rFonts w:hint="eastAsia" w:ascii="宋体" w:hAnsi="宋体" w:eastAsia="宋体" w:cs="宋体"/>
          <w:sz w:val="24"/>
          <w:szCs w:val="24"/>
          <w:highlight w:val="none"/>
          <w:lang w:val="zh-CN"/>
        </w:rPr>
        <w:t>承接查验</w:t>
      </w:r>
    </w:p>
    <w:p w14:paraId="5A053560">
      <w:pPr>
        <w:snapToGrid w:val="0"/>
        <w:ind w:firstLine="480" w:firstLineChars="200"/>
        <w:rPr>
          <w:rFonts w:hint="eastAsia" w:ascii="宋体" w:hAnsi="宋体" w:eastAsia="宋体" w:cs="宋体"/>
          <w:highlight w:val="none"/>
        </w:rPr>
      </w:pPr>
      <w:r>
        <w:rPr>
          <w:rFonts w:hint="eastAsia" w:ascii="宋体" w:hAnsi="宋体" w:eastAsia="宋体" w:cs="宋体"/>
          <w:color w:val="000000"/>
          <w:kern w:val="0"/>
          <w:sz w:val="24"/>
          <w:szCs w:val="21"/>
          <w:highlight w:val="none"/>
          <w:lang w:bidi="ar"/>
        </w:rPr>
        <w:t>中标人需对大厦建筑结构、供配电系统、照明系统、给排水系统、暖通系统、电梯系统</w:t>
      </w:r>
      <w:r>
        <w:rPr>
          <w:rFonts w:hint="eastAsia" w:ascii="宋体" w:hAnsi="宋体" w:eastAsia="宋体" w:cs="宋体"/>
          <w:kern w:val="0"/>
          <w:sz w:val="24"/>
          <w:szCs w:val="21"/>
          <w:highlight w:val="none"/>
          <w:lang w:bidi="ar"/>
        </w:rPr>
        <w:t>、弱电智能化系统、消防系统等各项设施设备进行查验核对，建立档案和使用规范；</w:t>
      </w:r>
    </w:p>
    <w:p w14:paraId="3B93FFE1">
      <w:pPr>
        <w:snapToGrid w:val="0"/>
        <w:ind w:firstLine="480" w:firstLineChars="200"/>
        <w:rPr>
          <w:rFonts w:hint="eastAsia" w:ascii="宋体" w:hAnsi="宋体" w:eastAsia="宋体" w:cs="宋体"/>
          <w:kern w:val="0"/>
          <w:sz w:val="24"/>
          <w:szCs w:val="21"/>
          <w:highlight w:val="none"/>
          <w:lang w:bidi="ar"/>
        </w:rPr>
      </w:pPr>
      <w:r>
        <w:rPr>
          <w:rFonts w:hint="eastAsia" w:ascii="宋体" w:hAnsi="宋体" w:eastAsia="宋体" w:cs="宋体"/>
          <w:kern w:val="0"/>
          <w:sz w:val="24"/>
          <w:szCs w:val="21"/>
          <w:highlight w:val="none"/>
          <w:lang w:bidi="ar"/>
        </w:rPr>
        <w:t>在装修改造过程中中标人对施工进行跟进监管，保护大厦中已完成建设且不在改造范围内的采购人资产不受损；</w:t>
      </w:r>
    </w:p>
    <w:p w14:paraId="7B910198">
      <w:pPr>
        <w:snapToGrid w:val="0"/>
        <w:ind w:firstLine="480" w:firstLineChars="200"/>
        <w:rPr>
          <w:rFonts w:hint="eastAsia" w:ascii="宋体" w:hAnsi="宋体" w:eastAsia="宋体" w:cs="宋体"/>
          <w:highlight w:val="none"/>
        </w:rPr>
      </w:pPr>
      <w:r>
        <w:rPr>
          <w:rFonts w:hint="eastAsia" w:ascii="宋体" w:hAnsi="宋体" w:eastAsia="宋体" w:cs="宋体"/>
          <w:kern w:val="0"/>
          <w:sz w:val="24"/>
          <w:szCs w:val="21"/>
          <w:highlight w:val="none"/>
          <w:lang w:bidi="ar"/>
        </w:rPr>
        <w:t>改造竣工后中标人需进行物业承接查验，对接建设单位和施工单位，保证物业功能安全、稳定、规范运行和使用，完善档案和使用规范，保证今后物业管理服务工作的顺畅。</w:t>
      </w:r>
    </w:p>
    <w:p w14:paraId="5B33A342">
      <w:pPr>
        <w:pStyle w:val="3"/>
        <w:widowControl/>
        <w:spacing w:before="240" w:after="120" w:line="300" w:lineRule="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rPr>
        <w:t>二、</w:t>
      </w:r>
      <w:r>
        <w:rPr>
          <w:rFonts w:hint="eastAsia" w:ascii="宋体" w:hAnsi="宋体" w:eastAsia="宋体" w:cs="宋体"/>
          <w:sz w:val="24"/>
          <w:szCs w:val="24"/>
          <w:highlight w:val="none"/>
          <w:lang w:val="zh-CN"/>
        </w:rPr>
        <w:t>秩序维护与巡查</w:t>
      </w:r>
    </w:p>
    <w:p w14:paraId="003D265B">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按照《中国科学技术大学校园治安管理规定》</w:t>
      </w:r>
      <w:r>
        <w:rPr>
          <w:rFonts w:hint="eastAsia" w:ascii="宋体" w:hAnsi="宋体" w:eastAsia="宋体" w:cs="宋体"/>
          <w:sz w:val="24"/>
          <w:highlight w:val="none"/>
          <w:lang w:eastAsia="zh-CN"/>
        </w:rPr>
        <w:t>、</w:t>
      </w:r>
      <w:r>
        <w:rPr>
          <w:rFonts w:hint="eastAsia" w:ascii="宋体" w:hAnsi="宋体" w:eastAsia="宋体" w:cs="宋体"/>
          <w:sz w:val="24"/>
          <w:highlight w:val="none"/>
        </w:rPr>
        <w:t>《中国科学技术大学消防安全管理规定》</w:t>
      </w:r>
      <w:r>
        <w:rPr>
          <w:rFonts w:hint="eastAsia" w:ascii="宋体" w:hAnsi="宋体" w:eastAsia="宋体" w:cs="宋体"/>
          <w:sz w:val="24"/>
          <w:highlight w:val="none"/>
          <w:lang w:eastAsia="zh-CN"/>
        </w:rPr>
        <w:t>、</w:t>
      </w:r>
      <w:r>
        <w:rPr>
          <w:rFonts w:hint="eastAsia" w:ascii="宋体" w:hAnsi="宋体" w:eastAsia="宋体" w:cs="宋体"/>
          <w:sz w:val="24"/>
          <w:highlight w:val="none"/>
        </w:rPr>
        <w:t>《中国科学技术大学校园交通管理规定》等相关制度，建立完善的安全管理服务方案，做好安全防范及秩序维护工作，采取人防、技防相结合，做好“四防”（防火、防盗、防破坏、防自然灾害）。</w:t>
      </w:r>
    </w:p>
    <w:p w14:paraId="26AE2C5A">
      <w:pPr>
        <w:widowControl/>
        <w:numPr>
          <w:ilvl w:val="0"/>
          <w:numId w:val="1"/>
        </w:numPr>
        <w:shd w:val="clear" w:color="auto" w:fill="FFFFFF"/>
        <w:spacing w:line="300" w:lineRule="auto"/>
        <w:ind w:left="0" w:firstLine="480" w:firstLineChars="200"/>
        <w:jc w:val="left"/>
        <w:rPr>
          <w:rFonts w:hint="eastAsia" w:ascii="宋体" w:hAnsi="宋体" w:eastAsia="宋体" w:cs="宋体"/>
          <w:sz w:val="24"/>
          <w:highlight w:val="none"/>
        </w:rPr>
      </w:pPr>
      <w:r>
        <w:rPr>
          <w:rFonts w:hint="eastAsia" w:ascii="宋体" w:hAnsi="宋体" w:eastAsia="宋体" w:cs="宋体"/>
          <w:sz w:val="24"/>
          <w:highlight w:val="none"/>
        </w:rPr>
        <w:t>负责建筑物内部的24小时门岗值班、公共秩序维护和安全管理等。门岗配置防暴盾牌、防刺服、防暴头盔、防割手套、防暴钢叉、防暴橡胶棍、强光手电、对讲机。按时开关大门，确保出入口通畅；对来访人员实行核实登记制度，谢绝各类无关人员进入，对外来人员进行询问和劝离；核实登记携带大件物品出楼宇情况，严禁易燃、易爆、易腐蚀的危险物品进入管理服务区域。</w:t>
      </w:r>
    </w:p>
    <w:p w14:paraId="34E1CE2F">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有效地维护楼宇内及周边正常的秩序，严禁大厦范围内举办广场舞、社会闲杂人员聚集、进楼拾荒等现象，保证楼宇内人员及财产安全，维护学校良好形象。</w:t>
      </w:r>
    </w:p>
    <w:p w14:paraId="4A874D08">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做好各楼层24小时执勤安全巡视，每两小时巡逻一次，重点部位及重要设备机房等每小时须巡查一次，发现异常立即查明情况，及时报告并按规定程序处理，注意异常声响、气味，及时消除安全隐患；夜间巡视检查关闭门窗、检查水电无异常情况。</w:t>
      </w:r>
    </w:p>
    <w:p w14:paraId="2DD34E0B">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落实《中国科大物业服务企业施工监督管理办法（暂行）》，监督受托项目内装修改造，对施工现场进行巡视监管，监督施工单位保护学校的设施设备，发现破坏及时报告学校；监督受托项目内装修改造的消防相关工作。</w:t>
      </w:r>
    </w:p>
    <w:p w14:paraId="20D38992">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禁止未经批准的施工，禁止施工人员占用楼内空置房间，禁止施工人员在楼内开展生火做饭、使用大功率生活电器等有失火风险、与装修改造无关的活动。</w:t>
      </w:r>
    </w:p>
    <w:p w14:paraId="7D13307C">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遇雨雪、大风、高温等恶劣天气时，应立即对所辖项目进行安全检查，重点巡查公共设施及公共部位，如有异常情况须及时采取有效措施并上报相关部门。</w:t>
      </w:r>
    </w:p>
    <w:p w14:paraId="71182DD6">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做好受托项目内视频监控等安防系统的值守看护，每周一次检查，发现故障及时报修，保证系统正常运行。</w:t>
      </w:r>
    </w:p>
    <w:p w14:paraId="2AA11A76">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禁止扰乱公共安全秩序的行为，防止发生偷盗、斗殴及人为破坏等事件。发现影响教学工作生活秩序的行为应立即劝阻，劝阻无效的立即报告学校。</w:t>
      </w:r>
    </w:p>
    <w:p w14:paraId="1F81EDA5">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针对火灾、治安、公共卫生等突发事件制定应急处置预案，并落实到位，组织员工和业主进行演练，培养有效预防和对应的意识，减少紧急情况下造成的各类伤害和损失。校内发生突发事件后，立即对同类易出问题的设施和场所进行排查，做好预防工作。</w:t>
      </w:r>
    </w:p>
    <w:p w14:paraId="51622797">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负责疏散通道、安全出口、消防车通道和消防云梯车登高场地（面）的管理。</w:t>
      </w:r>
    </w:p>
    <w:p w14:paraId="405FE8BB">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严禁电动车进楼、进入载人电梯，严禁私拉电线和插座充电，做好安全提示和教育工作。</w:t>
      </w:r>
    </w:p>
    <w:p w14:paraId="038FE53C">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负责楼宇周边道路交通管理、机动车和非机动车停放管理、服务区域内道路及环境秩序管理，巡查楼宇周边停车点，确保各类车辆停放有序、摆放整齐。</w:t>
      </w:r>
    </w:p>
    <w:p w14:paraId="2AC1A12F">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负责地下停车场日常停车秩序管理、上下班高峰时车辆疏导管理和日常维护。</w:t>
      </w:r>
    </w:p>
    <w:p w14:paraId="6A480B39">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配合学校做好重大来访接待、大型交流等活动保障服务。</w:t>
      </w:r>
    </w:p>
    <w:p w14:paraId="583A907D">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在岗时精神饱满，着装整齐，语言文明，手势规范，站姿端正；严禁脱岗、空岗、睡岗，严禁在岗位上做与岗位无关的事情。</w:t>
      </w:r>
    </w:p>
    <w:p w14:paraId="133EB541">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遇110、119、120等警情险情，及时跟进了解和协助，向物业管理办公室通报并做好记录。</w:t>
      </w:r>
    </w:p>
    <w:p w14:paraId="2843FAB3">
      <w:pPr>
        <w:numPr>
          <w:ilvl w:val="0"/>
          <w:numId w:val="1"/>
        </w:numPr>
        <w:spacing w:line="300" w:lineRule="auto"/>
        <w:ind w:left="0" w:firstLine="480" w:firstLineChars="200"/>
        <w:rPr>
          <w:rFonts w:hint="eastAsia" w:ascii="宋体" w:hAnsi="宋体" w:eastAsia="宋体" w:cs="宋体"/>
          <w:sz w:val="24"/>
          <w:highlight w:val="none"/>
        </w:rPr>
      </w:pPr>
      <w:r>
        <w:rPr>
          <w:rFonts w:hint="eastAsia" w:ascii="宋体" w:hAnsi="宋体" w:eastAsia="宋体" w:cs="宋体"/>
          <w:sz w:val="24"/>
          <w:highlight w:val="none"/>
        </w:rPr>
        <w:t>做好中央空调、公共分体空调、电梯、风机等公共设备故障报修和维保巡检情况记录。</w:t>
      </w:r>
    </w:p>
    <w:p w14:paraId="4F180283">
      <w:pPr>
        <w:pStyle w:val="3"/>
        <w:widowControl/>
        <w:spacing w:before="240" w:after="120" w:line="240" w:lineRule="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rPr>
        <w:t>三、</w:t>
      </w:r>
      <w:r>
        <w:rPr>
          <w:rFonts w:hint="eastAsia" w:ascii="宋体" w:hAnsi="宋体" w:eastAsia="宋体" w:cs="宋体"/>
          <w:sz w:val="24"/>
          <w:szCs w:val="24"/>
          <w:highlight w:val="none"/>
          <w:lang w:val="zh-CN"/>
        </w:rPr>
        <w:t>消防管理</w:t>
      </w:r>
    </w:p>
    <w:p w14:paraId="675F117A">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须对物业管理服务人员每年提供2次消防教育培训，总培训不低于12学时，熟悉楼宇内外各类消防系统及设施，知悉各消防设备及其电气控制箱安装位置，各类模块，末端试水及试验消火栓位置，熟练掌握使用方法。</w:t>
      </w:r>
    </w:p>
    <w:p w14:paraId="1D0FD090">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对物业管理服务人员（特别是秩序维护员）进行消防安全教育和应急处置能力的培训，认真落实安全教育和组织应急疏散演练的具体工作。</w:t>
      </w:r>
    </w:p>
    <w:p w14:paraId="0EFA47DA">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须对楼宇内消防设施的供电电路、信号线路、水路及阀门位置熟悉。</w:t>
      </w:r>
    </w:p>
    <w:p w14:paraId="2B6B6E0E">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负责每日防火巡查、每月消防检查和每季度消防检查，对楼宇公共部位的灭火器、消火栓、安全出口指示灯、应急照明等消防设施进行检查，认真如实填写巡查检查记录表，检查出的消防隐患须落实到责任人，及时消除火灾隐患</w:t>
      </w:r>
      <w:r>
        <w:rPr>
          <w:rFonts w:hint="eastAsia" w:ascii="宋体" w:hAnsi="宋体" w:eastAsia="宋体" w:cs="宋体"/>
          <w:sz w:val="24"/>
          <w:highlight w:val="none"/>
          <w:lang w:eastAsia="zh-CN"/>
        </w:rPr>
        <w:t>；</w:t>
      </w:r>
      <w:r>
        <w:rPr>
          <w:rFonts w:hint="eastAsia" w:ascii="宋体" w:hAnsi="宋体" w:eastAsia="宋体" w:cs="宋体"/>
          <w:sz w:val="24"/>
          <w:highlight w:val="none"/>
        </w:rPr>
        <w:t>不能及时消除的，应当及时报告用户单位和保卫与校园管理处等相关部门。</w:t>
      </w:r>
    </w:p>
    <w:p w14:paraId="450A7B50">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每逢法定节假日、寒暑假等学校师生普遍离校时期，中标人要在假期开始日前三天完成消防安全检查、消防隐患整改，检查结果和整改结果书面报告物业管理办公室和消防管理办公室；每年5月中旬组织开展防高温暑热消防安全检查、消防隐患整改，检查结果和整改结果书面报告物业管理办公室和消防管理办公室。</w:t>
      </w:r>
    </w:p>
    <w:p w14:paraId="33433558">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根据《中国科学技术大学消防安全管理规定》，配合用户单位开展消防演练。火灾发生后应立即启动灭火和应急疏散预案，疏散建筑内所有人员，实施初期火灾扑救，并报火警。</w:t>
      </w:r>
    </w:p>
    <w:p w14:paraId="5DAD40E1">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保持室内消防设施和安全标识牌洁净，保证消火栓箱、灭火器箱、灭火器及电气控制柜无积灰、无杂物。在冬季，尤其是极寒低温天气，应当提前做好室外消火栓及室外管道的保温防护措施。消防设施设备器材遗失的，由中标人按不低于原设备品牌、规格、型号的标准进行赔付，修复后的设备性能不得低于原设备性能。</w:t>
      </w:r>
    </w:p>
    <w:p w14:paraId="47F2D9D7">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保持楼宇内配电室、管道井、空调机房、弱电间、强电间、监控室等重点部位洁净、无积灰，严禁堆放无关杂物，物品与工具排放整齐。严禁在消防通道、楼宇内停放电动车，严禁私拉电线和插座给电动车充电。因客观条件无法设置集中停放、充电场所的，应当加强楼宇电动车停放的日常管理，做好安全提示。</w:t>
      </w:r>
    </w:p>
    <w:p w14:paraId="5DE7C055">
      <w:pPr>
        <w:pStyle w:val="64"/>
        <w:numPr>
          <w:ilvl w:val="0"/>
          <w:numId w:val="2"/>
        </w:numPr>
        <w:spacing w:line="300" w:lineRule="auto"/>
        <w:ind w:left="0" w:firstLine="480"/>
        <w:rPr>
          <w:rFonts w:hint="eastAsia" w:ascii="宋体" w:hAnsi="宋体" w:eastAsia="宋体" w:cs="宋体"/>
          <w:sz w:val="24"/>
          <w:highlight w:val="none"/>
        </w:rPr>
      </w:pPr>
      <w:r>
        <w:rPr>
          <w:rFonts w:hint="eastAsia" w:ascii="宋体" w:hAnsi="宋体" w:eastAsia="宋体" w:cs="宋体"/>
          <w:sz w:val="24"/>
          <w:highlight w:val="none"/>
        </w:rPr>
        <w:t>对占用、堵塞、封闭疏散通道、安全出口、消防车通道和消防车登高场地的不规范行为，应当予以劝阻、制止，对不听劝阻、制止的，应当及时报告大楼业主和保卫与校园管理处等相关部门。</w:t>
      </w:r>
    </w:p>
    <w:p w14:paraId="01CF4745">
      <w:pPr>
        <w:pStyle w:val="3"/>
        <w:widowControl/>
        <w:spacing w:before="240" w:after="120" w:line="240" w:lineRule="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rPr>
        <w:t>四、</w:t>
      </w:r>
      <w:r>
        <w:rPr>
          <w:rFonts w:hint="eastAsia" w:ascii="宋体" w:hAnsi="宋体" w:eastAsia="宋体" w:cs="宋体"/>
          <w:sz w:val="24"/>
          <w:szCs w:val="24"/>
          <w:highlight w:val="none"/>
          <w:lang w:val="zh-CN"/>
        </w:rPr>
        <w:t>公用设施设备运行管理</w:t>
      </w:r>
    </w:p>
    <w:p w14:paraId="69DF60A5">
      <w:pPr>
        <w:spacing w:line="276"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中标人须监管原施工单位或生产厂家做好质保期内的维修工作。对发现的问题及时通知原施工单位或质保单位前来处理，持续跟进监管维修情况，直至问题得以解决。</w:t>
      </w:r>
    </w:p>
    <w:p w14:paraId="7F42B051">
      <w:pPr>
        <w:spacing w:line="276" w:lineRule="auto"/>
        <w:ind w:firstLine="480" w:firstLineChars="200"/>
        <w:rPr>
          <w:rFonts w:hint="eastAsia" w:ascii="宋体" w:hAnsi="宋体" w:eastAsia="宋体" w:cs="宋体"/>
          <w:sz w:val="24"/>
          <w:highlight w:val="none"/>
        </w:rPr>
      </w:pPr>
      <w:r>
        <w:rPr>
          <w:rFonts w:hint="eastAsia" w:ascii="宋体" w:hAnsi="宋体" w:eastAsia="宋体" w:cs="宋体"/>
          <w:sz w:val="24"/>
          <w:highlight w:val="none"/>
        </w:rPr>
        <w:t>房屋构筑物结构：检查建筑物、构筑物等设施设备的完好情况，发现损坏或故障等及时向学校有关部门报修，确保建筑物、构筑物等设施设备的完好。</w:t>
      </w:r>
    </w:p>
    <w:tbl>
      <w:tblPr>
        <w:tblStyle w:val="2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9"/>
        <w:gridCol w:w="6823"/>
      </w:tblGrid>
      <w:tr w14:paraId="11863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1C1BB43E">
            <w:pPr>
              <w:jc w:val="center"/>
              <w:rPr>
                <w:rFonts w:hint="eastAsia" w:ascii="宋体" w:hAnsi="宋体" w:eastAsia="宋体" w:cs="宋体"/>
                <w:szCs w:val="21"/>
                <w:highlight w:val="none"/>
              </w:rPr>
            </w:pPr>
            <w:r>
              <w:rPr>
                <w:rFonts w:hint="eastAsia" w:ascii="宋体" w:hAnsi="宋体" w:eastAsia="宋体" w:cs="宋体"/>
                <w:szCs w:val="21"/>
                <w:highlight w:val="none"/>
              </w:rPr>
              <w:t>项目</w:t>
            </w:r>
          </w:p>
        </w:tc>
        <w:tc>
          <w:tcPr>
            <w:tcW w:w="4003" w:type="pct"/>
            <w:noWrap w:val="0"/>
            <w:vAlign w:val="center"/>
          </w:tcPr>
          <w:p w14:paraId="2AEB7234">
            <w:pPr>
              <w:jc w:val="center"/>
              <w:rPr>
                <w:rFonts w:hint="eastAsia" w:ascii="宋体" w:hAnsi="宋体" w:eastAsia="宋体" w:cs="宋体"/>
                <w:szCs w:val="21"/>
                <w:highlight w:val="none"/>
              </w:rPr>
            </w:pPr>
            <w:r>
              <w:rPr>
                <w:rFonts w:hint="eastAsia" w:ascii="宋体" w:hAnsi="宋体" w:eastAsia="宋体" w:cs="宋体"/>
                <w:szCs w:val="21"/>
                <w:highlight w:val="none"/>
              </w:rPr>
              <w:t>内容和具体要求</w:t>
            </w:r>
          </w:p>
        </w:tc>
      </w:tr>
      <w:tr w14:paraId="07AD0A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0CF2917B">
            <w:pPr>
              <w:jc w:val="center"/>
              <w:rPr>
                <w:rFonts w:hint="eastAsia" w:ascii="宋体" w:hAnsi="宋体" w:eastAsia="宋体" w:cs="宋体"/>
                <w:szCs w:val="21"/>
                <w:highlight w:val="none"/>
              </w:rPr>
            </w:pPr>
            <w:r>
              <w:rPr>
                <w:rFonts w:hint="eastAsia" w:ascii="宋体" w:hAnsi="宋体" w:eastAsia="宋体" w:cs="宋体"/>
                <w:szCs w:val="21"/>
                <w:highlight w:val="none"/>
              </w:rPr>
              <w:t>地基基础</w:t>
            </w:r>
          </w:p>
        </w:tc>
        <w:tc>
          <w:tcPr>
            <w:tcW w:w="4003" w:type="pct"/>
            <w:noWrap w:val="0"/>
            <w:vAlign w:val="center"/>
          </w:tcPr>
          <w:p w14:paraId="528C5216">
            <w:pPr>
              <w:rPr>
                <w:rFonts w:hint="eastAsia" w:ascii="宋体" w:hAnsi="宋体" w:eastAsia="宋体" w:cs="宋体"/>
                <w:szCs w:val="21"/>
                <w:highlight w:val="none"/>
              </w:rPr>
            </w:pPr>
            <w:r>
              <w:rPr>
                <w:rFonts w:hint="eastAsia" w:ascii="宋体" w:hAnsi="宋体" w:eastAsia="宋体" w:cs="宋体"/>
                <w:szCs w:val="21"/>
                <w:highlight w:val="none"/>
              </w:rPr>
              <w:t>观测房屋无倾斜、地基无明显沉降、移位，墙体无严重裂缝等。</w:t>
            </w:r>
          </w:p>
        </w:tc>
      </w:tr>
      <w:tr w14:paraId="11FAD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428FABD4">
            <w:pPr>
              <w:jc w:val="center"/>
              <w:rPr>
                <w:rFonts w:hint="eastAsia" w:ascii="宋体" w:hAnsi="宋体" w:eastAsia="宋体" w:cs="宋体"/>
                <w:szCs w:val="21"/>
                <w:highlight w:val="none"/>
              </w:rPr>
            </w:pPr>
            <w:r>
              <w:rPr>
                <w:rFonts w:hint="eastAsia" w:ascii="宋体" w:hAnsi="宋体" w:eastAsia="宋体" w:cs="宋体"/>
                <w:szCs w:val="21"/>
                <w:highlight w:val="none"/>
              </w:rPr>
              <w:t>顶棚</w:t>
            </w:r>
          </w:p>
        </w:tc>
        <w:tc>
          <w:tcPr>
            <w:tcW w:w="4003" w:type="pct"/>
            <w:noWrap w:val="0"/>
            <w:vAlign w:val="center"/>
          </w:tcPr>
          <w:p w14:paraId="2AD4CBB6">
            <w:pPr>
              <w:rPr>
                <w:rFonts w:hint="eastAsia" w:ascii="宋体" w:hAnsi="宋体" w:eastAsia="宋体" w:cs="宋体"/>
                <w:szCs w:val="21"/>
                <w:highlight w:val="none"/>
              </w:rPr>
            </w:pPr>
            <w:r>
              <w:rPr>
                <w:rFonts w:hint="eastAsia" w:ascii="宋体" w:hAnsi="宋体" w:eastAsia="宋体" w:cs="宋体"/>
                <w:szCs w:val="21"/>
                <w:highlight w:val="none"/>
              </w:rPr>
              <w:t>抹灰层牢固，无面层剥落和明显裂缝。</w:t>
            </w:r>
          </w:p>
        </w:tc>
      </w:tr>
      <w:tr w14:paraId="3E2EC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441ED8BD">
            <w:pPr>
              <w:jc w:val="center"/>
              <w:rPr>
                <w:rFonts w:hint="eastAsia" w:ascii="宋体" w:hAnsi="宋体" w:eastAsia="宋体" w:cs="宋体"/>
                <w:szCs w:val="21"/>
                <w:highlight w:val="none"/>
              </w:rPr>
            </w:pPr>
            <w:r>
              <w:rPr>
                <w:rFonts w:hint="eastAsia" w:ascii="宋体" w:hAnsi="宋体" w:eastAsia="宋体" w:cs="宋体"/>
                <w:szCs w:val="21"/>
                <w:highlight w:val="none"/>
              </w:rPr>
              <w:t>屋面</w:t>
            </w:r>
          </w:p>
        </w:tc>
        <w:tc>
          <w:tcPr>
            <w:tcW w:w="4003" w:type="pct"/>
            <w:noWrap w:val="0"/>
            <w:vAlign w:val="center"/>
          </w:tcPr>
          <w:p w14:paraId="136AC910">
            <w:pPr>
              <w:rPr>
                <w:rFonts w:hint="eastAsia" w:ascii="宋体" w:hAnsi="宋体" w:eastAsia="宋体" w:cs="宋体"/>
                <w:szCs w:val="21"/>
                <w:highlight w:val="none"/>
              </w:rPr>
            </w:pPr>
            <w:r>
              <w:rPr>
                <w:rFonts w:hint="eastAsia" w:ascii="宋体" w:hAnsi="宋体" w:eastAsia="宋体" w:cs="宋体"/>
                <w:szCs w:val="21"/>
                <w:highlight w:val="none"/>
              </w:rPr>
              <w:t>屋面防水层无老化、拉裂、开裂、轴裂、龟裂现象，板端缝、伸缩缝油膏紧贴，天沟、落水管、落水口畅通，不积水，屋面出入口完好，隔热层完整。</w:t>
            </w:r>
          </w:p>
        </w:tc>
      </w:tr>
      <w:tr w14:paraId="62B2BE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7C5CB61B">
            <w:pPr>
              <w:jc w:val="center"/>
              <w:rPr>
                <w:rFonts w:hint="eastAsia" w:ascii="宋体" w:hAnsi="宋体" w:eastAsia="宋体" w:cs="宋体"/>
                <w:szCs w:val="21"/>
                <w:highlight w:val="none"/>
              </w:rPr>
            </w:pPr>
            <w:r>
              <w:rPr>
                <w:rFonts w:hint="eastAsia" w:ascii="宋体" w:hAnsi="宋体" w:eastAsia="宋体" w:cs="宋体"/>
                <w:szCs w:val="21"/>
                <w:highlight w:val="none"/>
              </w:rPr>
              <w:t>公共门窗</w:t>
            </w:r>
          </w:p>
        </w:tc>
        <w:tc>
          <w:tcPr>
            <w:tcW w:w="4003" w:type="pct"/>
            <w:noWrap w:val="0"/>
            <w:vAlign w:val="center"/>
          </w:tcPr>
          <w:p w14:paraId="627E480E">
            <w:pPr>
              <w:rPr>
                <w:rFonts w:hint="eastAsia" w:ascii="宋体" w:hAnsi="宋体" w:eastAsia="宋体" w:cs="宋体"/>
                <w:szCs w:val="21"/>
                <w:highlight w:val="none"/>
              </w:rPr>
            </w:pPr>
            <w:r>
              <w:rPr>
                <w:rFonts w:hint="eastAsia" w:ascii="宋体" w:hAnsi="宋体" w:eastAsia="宋体" w:cs="宋体"/>
                <w:szCs w:val="21"/>
                <w:highlight w:val="none"/>
              </w:rPr>
              <w:t>牢固、平整、美观、无锈蚀、开关灵活、接缝严密，不松动，门窗及门窗配件齐全。</w:t>
            </w:r>
          </w:p>
        </w:tc>
      </w:tr>
      <w:tr w14:paraId="49685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3B43E136">
            <w:pPr>
              <w:jc w:val="center"/>
              <w:rPr>
                <w:rFonts w:hint="eastAsia" w:ascii="宋体" w:hAnsi="宋体" w:eastAsia="宋体" w:cs="宋体"/>
                <w:szCs w:val="21"/>
                <w:highlight w:val="none"/>
              </w:rPr>
            </w:pPr>
            <w:r>
              <w:rPr>
                <w:rFonts w:hint="eastAsia" w:ascii="宋体" w:hAnsi="宋体" w:eastAsia="宋体" w:cs="宋体"/>
                <w:szCs w:val="21"/>
                <w:highlight w:val="none"/>
              </w:rPr>
              <w:t>散水坡、雨檐台、连廊</w:t>
            </w:r>
          </w:p>
        </w:tc>
        <w:tc>
          <w:tcPr>
            <w:tcW w:w="4003" w:type="pct"/>
            <w:noWrap w:val="0"/>
            <w:vAlign w:val="center"/>
          </w:tcPr>
          <w:p w14:paraId="0C0F910E">
            <w:pPr>
              <w:rPr>
                <w:rFonts w:hint="eastAsia" w:ascii="宋体" w:hAnsi="宋体" w:eastAsia="宋体" w:cs="宋体"/>
                <w:szCs w:val="21"/>
                <w:highlight w:val="none"/>
              </w:rPr>
            </w:pPr>
            <w:r>
              <w:rPr>
                <w:rFonts w:hint="eastAsia" w:ascii="宋体" w:hAnsi="宋体" w:eastAsia="宋体" w:cs="宋体"/>
                <w:szCs w:val="21"/>
                <w:highlight w:val="none"/>
              </w:rPr>
              <w:t>与建筑物连接完好，无脱离开缝现象，无排水不畅现象。</w:t>
            </w:r>
          </w:p>
        </w:tc>
      </w:tr>
      <w:tr w14:paraId="2ECF8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4CC00FF7">
            <w:pPr>
              <w:jc w:val="center"/>
              <w:rPr>
                <w:rFonts w:hint="eastAsia" w:ascii="宋体" w:hAnsi="宋体" w:eastAsia="宋体" w:cs="宋体"/>
                <w:szCs w:val="21"/>
                <w:highlight w:val="none"/>
              </w:rPr>
            </w:pPr>
            <w:r>
              <w:rPr>
                <w:rFonts w:hint="eastAsia" w:ascii="宋体" w:hAnsi="宋体" w:eastAsia="宋体" w:cs="宋体"/>
                <w:szCs w:val="21"/>
                <w:highlight w:val="none"/>
              </w:rPr>
              <w:t>设备房（水泵房、配电房、电梯房）</w:t>
            </w:r>
          </w:p>
        </w:tc>
        <w:tc>
          <w:tcPr>
            <w:tcW w:w="4003" w:type="pct"/>
            <w:noWrap w:val="0"/>
            <w:vAlign w:val="center"/>
          </w:tcPr>
          <w:p w14:paraId="15AACE56">
            <w:pPr>
              <w:rPr>
                <w:rFonts w:hint="eastAsia" w:ascii="宋体" w:hAnsi="宋体" w:eastAsia="宋体" w:cs="宋体"/>
                <w:szCs w:val="21"/>
                <w:highlight w:val="none"/>
              </w:rPr>
            </w:pPr>
            <w:r>
              <w:rPr>
                <w:rFonts w:hint="eastAsia" w:ascii="宋体" w:hAnsi="宋体" w:eastAsia="宋体" w:cs="宋体"/>
                <w:szCs w:val="21"/>
                <w:highlight w:val="none"/>
              </w:rPr>
              <w:t>通风良好，无渗、漏水、漏电现象，绝缘胶地板无损，管理制度齐全，标识清楚，有足够的照明应急灯、消防灭火器，配电房、电梯房的地面和墙面（距地1米高）要求刷漆，水泵房部分位置、墙面、地面刷防水漆。</w:t>
            </w:r>
          </w:p>
        </w:tc>
      </w:tr>
      <w:tr w14:paraId="4791C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5A887ADF">
            <w:pPr>
              <w:jc w:val="center"/>
              <w:rPr>
                <w:rFonts w:hint="eastAsia" w:ascii="宋体" w:hAnsi="宋体" w:eastAsia="宋体" w:cs="宋体"/>
                <w:szCs w:val="21"/>
                <w:highlight w:val="none"/>
              </w:rPr>
            </w:pPr>
            <w:r>
              <w:rPr>
                <w:rFonts w:hint="eastAsia" w:ascii="宋体" w:hAnsi="宋体" w:eastAsia="宋体" w:cs="宋体"/>
                <w:szCs w:val="21"/>
                <w:highlight w:val="none"/>
              </w:rPr>
              <w:t>楼梯、扶手</w:t>
            </w:r>
          </w:p>
        </w:tc>
        <w:tc>
          <w:tcPr>
            <w:tcW w:w="4003" w:type="pct"/>
            <w:noWrap w:val="0"/>
            <w:vAlign w:val="center"/>
          </w:tcPr>
          <w:p w14:paraId="4AF4DD15">
            <w:pPr>
              <w:rPr>
                <w:rFonts w:hint="eastAsia" w:ascii="宋体" w:hAnsi="宋体" w:eastAsia="宋体" w:cs="宋体"/>
                <w:szCs w:val="21"/>
                <w:highlight w:val="none"/>
              </w:rPr>
            </w:pPr>
            <w:r>
              <w:rPr>
                <w:rFonts w:hint="eastAsia" w:ascii="宋体" w:hAnsi="宋体" w:eastAsia="宋体" w:cs="宋体"/>
                <w:szCs w:val="21"/>
                <w:highlight w:val="none"/>
              </w:rPr>
              <w:t>木扶手表面无明显龟裂的漆层脱落。</w:t>
            </w:r>
          </w:p>
        </w:tc>
      </w:tr>
      <w:tr w14:paraId="09293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1D457480">
            <w:pPr>
              <w:jc w:val="center"/>
              <w:rPr>
                <w:rFonts w:hint="eastAsia" w:ascii="宋体" w:hAnsi="宋体" w:eastAsia="宋体" w:cs="宋体"/>
                <w:szCs w:val="21"/>
                <w:highlight w:val="none"/>
              </w:rPr>
            </w:pPr>
            <w:r>
              <w:rPr>
                <w:rFonts w:hint="eastAsia" w:ascii="宋体" w:hAnsi="宋体" w:eastAsia="宋体" w:cs="宋体"/>
                <w:szCs w:val="21"/>
                <w:highlight w:val="none"/>
              </w:rPr>
              <w:t>水箱、水池</w:t>
            </w:r>
          </w:p>
        </w:tc>
        <w:tc>
          <w:tcPr>
            <w:tcW w:w="4003" w:type="pct"/>
            <w:noWrap w:val="0"/>
            <w:vAlign w:val="center"/>
          </w:tcPr>
          <w:p w14:paraId="6E86E814">
            <w:pPr>
              <w:rPr>
                <w:rFonts w:hint="eastAsia" w:ascii="宋体" w:hAnsi="宋体" w:eastAsia="宋体" w:cs="宋体"/>
                <w:szCs w:val="21"/>
                <w:highlight w:val="none"/>
              </w:rPr>
            </w:pPr>
            <w:r>
              <w:rPr>
                <w:rFonts w:hint="eastAsia" w:ascii="宋体" w:hAnsi="宋体" w:eastAsia="宋体" w:cs="宋体"/>
                <w:szCs w:val="21"/>
                <w:highlight w:val="none"/>
              </w:rPr>
              <w:t>完好、无渗、滴水现象，内外爬梯无锈蚀现象，各检查口有盖且密封上锁，溢水口有不锈钢纱网或塑料纱网密封。</w:t>
            </w:r>
          </w:p>
        </w:tc>
      </w:tr>
      <w:tr w14:paraId="1C458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3E2C09F3">
            <w:pPr>
              <w:jc w:val="center"/>
              <w:rPr>
                <w:rFonts w:hint="eastAsia" w:ascii="宋体" w:hAnsi="宋体" w:eastAsia="宋体" w:cs="宋体"/>
                <w:szCs w:val="21"/>
                <w:highlight w:val="none"/>
              </w:rPr>
            </w:pPr>
            <w:r>
              <w:rPr>
                <w:rFonts w:hint="eastAsia" w:ascii="宋体" w:hAnsi="宋体" w:eastAsia="宋体" w:cs="宋体"/>
                <w:szCs w:val="21"/>
                <w:highlight w:val="none"/>
              </w:rPr>
              <w:t>天面扶栏、避雷带</w:t>
            </w:r>
          </w:p>
        </w:tc>
        <w:tc>
          <w:tcPr>
            <w:tcW w:w="4003" w:type="pct"/>
            <w:noWrap w:val="0"/>
            <w:vAlign w:val="center"/>
          </w:tcPr>
          <w:p w14:paraId="18BFD215">
            <w:pPr>
              <w:rPr>
                <w:rFonts w:hint="eastAsia" w:ascii="宋体" w:hAnsi="宋体" w:eastAsia="宋体" w:cs="宋体"/>
                <w:szCs w:val="21"/>
                <w:highlight w:val="none"/>
              </w:rPr>
            </w:pPr>
            <w:r>
              <w:rPr>
                <w:rFonts w:hint="eastAsia" w:ascii="宋体" w:hAnsi="宋体" w:eastAsia="宋体" w:cs="宋体"/>
                <w:szCs w:val="21"/>
                <w:highlight w:val="none"/>
              </w:rPr>
              <w:t>无破损、无变形、无明显锈蚀。</w:t>
            </w:r>
          </w:p>
        </w:tc>
      </w:tr>
      <w:tr w14:paraId="2D5B6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3FBD50B2">
            <w:pPr>
              <w:jc w:val="center"/>
              <w:rPr>
                <w:rFonts w:hint="eastAsia" w:ascii="宋体" w:hAnsi="宋体" w:eastAsia="宋体" w:cs="宋体"/>
                <w:szCs w:val="21"/>
                <w:highlight w:val="none"/>
              </w:rPr>
            </w:pPr>
            <w:r>
              <w:rPr>
                <w:rFonts w:hint="eastAsia" w:ascii="宋体" w:hAnsi="宋体" w:eastAsia="宋体" w:cs="宋体"/>
                <w:szCs w:val="21"/>
                <w:highlight w:val="none"/>
              </w:rPr>
              <w:t>公共电器</w:t>
            </w:r>
          </w:p>
        </w:tc>
        <w:tc>
          <w:tcPr>
            <w:tcW w:w="4003" w:type="pct"/>
            <w:noWrap w:val="0"/>
            <w:vAlign w:val="center"/>
          </w:tcPr>
          <w:p w14:paraId="05E8C036">
            <w:pPr>
              <w:rPr>
                <w:rFonts w:hint="eastAsia" w:ascii="宋体" w:hAnsi="宋体" w:eastAsia="宋体" w:cs="宋体"/>
                <w:szCs w:val="21"/>
                <w:highlight w:val="none"/>
              </w:rPr>
            </w:pPr>
            <w:r>
              <w:rPr>
                <w:rFonts w:hint="eastAsia" w:ascii="宋体" w:hAnsi="宋体" w:eastAsia="宋体" w:cs="宋体"/>
                <w:szCs w:val="21"/>
                <w:highlight w:val="none"/>
              </w:rPr>
              <w:t>楼梯灯完好，灯开关正常，电话箱、开关箱有线电视主分接器盖板完好，无不安全现象。</w:t>
            </w:r>
          </w:p>
        </w:tc>
      </w:tr>
      <w:tr w14:paraId="6C5EF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7097AEE5">
            <w:pPr>
              <w:jc w:val="center"/>
              <w:rPr>
                <w:rFonts w:hint="eastAsia" w:ascii="宋体" w:hAnsi="宋体" w:eastAsia="宋体" w:cs="宋体"/>
                <w:szCs w:val="21"/>
                <w:highlight w:val="none"/>
              </w:rPr>
            </w:pPr>
            <w:r>
              <w:rPr>
                <w:rFonts w:hint="eastAsia" w:ascii="宋体" w:hAnsi="宋体" w:eastAsia="宋体" w:cs="宋体"/>
                <w:szCs w:val="21"/>
                <w:highlight w:val="none"/>
              </w:rPr>
              <w:t>楼板、地面砖</w:t>
            </w:r>
          </w:p>
        </w:tc>
        <w:tc>
          <w:tcPr>
            <w:tcW w:w="4003" w:type="pct"/>
            <w:noWrap w:val="0"/>
            <w:vAlign w:val="center"/>
          </w:tcPr>
          <w:p w14:paraId="71C96F52">
            <w:pPr>
              <w:rPr>
                <w:rFonts w:hint="eastAsia" w:ascii="宋体" w:hAnsi="宋体" w:eastAsia="宋体" w:cs="宋体"/>
                <w:szCs w:val="21"/>
                <w:highlight w:val="none"/>
              </w:rPr>
            </w:pPr>
            <w:r>
              <w:rPr>
                <w:rFonts w:hint="eastAsia" w:ascii="宋体" w:hAnsi="宋体" w:eastAsia="宋体" w:cs="宋体"/>
                <w:szCs w:val="21"/>
                <w:highlight w:val="none"/>
              </w:rPr>
              <w:t>无裂缝、起壳、空鼓、下陷、表面平整，无破损、楼板、地面砖上无水泥渣。</w:t>
            </w:r>
          </w:p>
        </w:tc>
      </w:tr>
      <w:tr w14:paraId="51607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33D0E857">
            <w:pPr>
              <w:jc w:val="center"/>
              <w:rPr>
                <w:rFonts w:hint="eastAsia" w:ascii="宋体" w:hAnsi="宋体" w:eastAsia="宋体" w:cs="宋体"/>
                <w:szCs w:val="21"/>
                <w:highlight w:val="none"/>
              </w:rPr>
            </w:pPr>
            <w:r>
              <w:rPr>
                <w:rFonts w:hint="eastAsia" w:ascii="宋体" w:hAnsi="宋体" w:eastAsia="宋体" w:cs="宋体"/>
                <w:szCs w:val="21"/>
                <w:highlight w:val="none"/>
              </w:rPr>
              <w:t>通风口</w:t>
            </w:r>
          </w:p>
        </w:tc>
        <w:tc>
          <w:tcPr>
            <w:tcW w:w="4003" w:type="pct"/>
            <w:noWrap w:val="0"/>
            <w:vAlign w:val="center"/>
          </w:tcPr>
          <w:p w14:paraId="77B93F52">
            <w:pPr>
              <w:rPr>
                <w:rFonts w:hint="eastAsia" w:ascii="宋体" w:hAnsi="宋体" w:eastAsia="宋体" w:cs="宋体"/>
                <w:szCs w:val="21"/>
                <w:highlight w:val="none"/>
              </w:rPr>
            </w:pPr>
            <w:r>
              <w:rPr>
                <w:rFonts w:hint="eastAsia" w:ascii="宋体" w:hAnsi="宋体" w:eastAsia="宋体" w:cs="宋体"/>
                <w:szCs w:val="21"/>
                <w:highlight w:val="none"/>
              </w:rPr>
              <w:t>无裂缝、破损、堵塞、锈蚀情况。</w:t>
            </w:r>
          </w:p>
        </w:tc>
      </w:tr>
      <w:tr w14:paraId="1EFCB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1128BE02">
            <w:pPr>
              <w:jc w:val="center"/>
              <w:rPr>
                <w:rFonts w:hint="eastAsia" w:ascii="宋体" w:hAnsi="宋体" w:eastAsia="宋体" w:cs="宋体"/>
                <w:szCs w:val="21"/>
                <w:highlight w:val="none"/>
              </w:rPr>
            </w:pPr>
            <w:r>
              <w:rPr>
                <w:rFonts w:hint="eastAsia" w:ascii="宋体" w:hAnsi="宋体" w:eastAsia="宋体" w:cs="宋体"/>
                <w:szCs w:val="21"/>
                <w:highlight w:val="none"/>
              </w:rPr>
              <w:t>上、下雨污水管</w:t>
            </w:r>
          </w:p>
        </w:tc>
        <w:tc>
          <w:tcPr>
            <w:tcW w:w="4003" w:type="pct"/>
            <w:noWrap w:val="0"/>
            <w:vAlign w:val="center"/>
          </w:tcPr>
          <w:p w14:paraId="16FB25FB">
            <w:pPr>
              <w:rPr>
                <w:rFonts w:hint="eastAsia" w:ascii="宋体" w:hAnsi="宋体" w:eastAsia="宋体" w:cs="宋体"/>
                <w:szCs w:val="21"/>
                <w:highlight w:val="none"/>
              </w:rPr>
            </w:pPr>
            <w:r>
              <w:rPr>
                <w:rFonts w:hint="eastAsia" w:ascii="宋体" w:hAnsi="宋体" w:eastAsia="宋体" w:cs="宋体"/>
                <w:szCs w:val="21"/>
                <w:highlight w:val="none"/>
              </w:rPr>
              <w:t>无堵塞、漏水或渗水，流水通畅，管道接口完好，无裂缝、破洞。</w:t>
            </w:r>
          </w:p>
        </w:tc>
      </w:tr>
      <w:tr w14:paraId="7FF32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326907C4">
            <w:pPr>
              <w:jc w:val="center"/>
              <w:rPr>
                <w:rFonts w:hint="eastAsia" w:ascii="宋体" w:hAnsi="宋体" w:eastAsia="宋体" w:cs="宋体"/>
                <w:szCs w:val="21"/>
                <w:highlight w:val="none"/>
              </w:rPr>
            </w:pPr>
            <w:r>
              <w:rPr>
                <w:rFonts w:hint="eastAsia" w:ascii="宋体" w:hAnsi="宋体" w:eastAsia="宋体" w:cs="宋体"/>
                <w:szCs w:val="21"/>
                <w:highlight w:val="none"/>
              </w:rPr>
              <w:t>室外建筑小品、标识牌</w:t>
            </w:r>
          </w:p>
        </w:tc>
        <w:tc>
          <w:tcPr>
            <w:tcW w:w="4003" w:type="pct"/>
            <w:noWrap w:val="0"/>
            <w:vAlign w:val="center"/>
          </w:tcPr>
          <w:p w14:paraId="0BDB0671">
            <w:pPr>
              <w:rPr>
                <w:rFonts w:hint="eastAsia" w:ascii="宋体" w:hAnsi="宋体" w:eastAsia="宋体" w:cs="宋体"/>
                <w:szCs w:val="21"/>
                <w:highlight w:val="none"/>
              </w:rPr>
            </w:pPr>
            <w:r>
              <w:rPr>
                <w:rFonts w:hint="eastAsia" w:ascii="宋体" w:hAnsi="宋体" w:eastAsia="宋体" w:cs="宋体"/>
                <w:szCs w:val="21"/>
                <w:highlight w:val="none"/>
              </w:rPr>
              <w:t>完好率100%，符合安全要求，标识牌齐全醒目。</w:t>
            </w:r>
          </w:p>
        </w:tc>
      </w:tr>
      <w:tr w14:paraId="5007D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463A0144">
            <w:pPr>
              <w:jc w:val="center"/>
              <w:rPr>
                <w:rFonts w:hint="eastAsia" w:ascii="宋体" w:hAnsi="宋体" w:eastAsia="宋体" w:cs="宋体"/>
                <w:szCs w:val="21"/>
                <w:highlight w:val="none"/>
              </w:rPr>
            </w:pPr>
            <w:r>
              <w:rPr>
                <w:rFonts w:hint="eastAsia" w:ascii="宋体" w:hAnsi="宋体" w:eastAsia="宋体" w:cs="宋体"/>
                <w:szCs w:val="21"/>
                <w:highlight w:val="none"/>
              </w:rPr>
              <w:t>路灯</w:t>
            </w:r>
          </w:p>
        </w:tc>
        <w:tc>
          <w:tcPr>
            <w:tcW w:w="4003" w:type="pct"/>
            <w:noWrap w:val="0"/>
            <w:vAlign w:val="center"/>
          </w:tcPr>
          <w:p w14:paraId="06D89E0B">
            <w:pPr>
              <w:rPr>
                <w:rFonts w:hint="eastAsia" w:ascii="宋体" w:hAnsi="宋体" w:eastAsia="宋体" w:cs="宋体"/>
                <w:szCs w:val="21"/>
                <w:highlight w:val="none"/>
              </w:rPr>
            </w:pPr>
            <w:r>
              <w:rPr>
                <w:rFonts w:hint="eastAsia" w:ascii="宋体" w:hAnsi="宋体" w:eastAsia="宋体" w:cs="宋体"/>
                <w:szCs w:val="21"/>
                <w:highlight w:val="none"/>
              </w:rPr>
              <w:t>灯座箱、灯柱、灯罩、灯泡等设施完好。</w:t>
            </w:r>
          </w:p>
        </w:tc>
      </w:tr>
      <w:tr w14:paraId="1C535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26F0A836">
            <w:pPr>
              <w:jc w:val="center"/>
              <w:rPr>
                <w:rFonts w:hint="eastAsia" w:ascii="宋体" w:hAnsi="宋体" w:eastAsia="宋体" w:cs="宋体"/>
                <w:szCs w:val="21"/>
                <w:highlight w:val="none"/>
              </w:rPr>
            </w:pPr>
            <w:r>
              <w:rPr>
                <w:rFonts w:hint="eastAsia" w:ascii="宋体" w:hAnsi="宋体" w:eastAsia="宋体" w:cs="宋体"/>
                <w:szCs w:val="21"/>
                <w:highlight w:val="none"/>
              </w:rPr>
              <w:t>垃圾屋、池、中转站、垃圾车、垃圾桶（箱）</w:t>
            </w:r>
          </w:p>
        </w:tc>
        <w:tc>
          <w:tcPr>
            <w:tcW w:w="4003" w:type="pct"/>
            <w:noWrap w:val="0"/>
            <w:vAlign w:val="center"/>
          </w:tcPr>
          <w:p w14:paraId="48699C06">
            <w:pPr>
              <w:rPr>
                <w:rFonts w:hint="eastAsia" w:ascii="宋体" w:hAnsi="宋体" w:eastAsia="宋体" w:cs="宋体"/>
                <w:szCs w:val="21"/>
                <w:highlight w:val="none"/>
              </w:rPr>
            </w:pPr>
            <w:r>
              <w:rPr>
                <w:rFonts w:hint="eastAsia" w:ascii="宋体" w:hAnsi="宋体" w:eastAsia="宋体" w:cs="宋体"/>
                <w:szCs w:val="21"/>
                <w:highlight w:val="none"/>
              </w:rPr>
              <w:t>门、外体瓷片等完好，无破损、无锈蚀，有“垃圾入口处”标识，垃圾、池、中转站周围的排水沟、散水坡利于排水。</w:t>
            </w:r>
          </w:p>
        </w:tc>
      </w:tr>
      <w:tr w14:paraId="348FF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4956A509">
            <w:pPr>
              <w:jc w:val="center"/>
              <w:rPr>
                <w:rFonts w:hint="eastAsia" w:ascii="宋体" w:hAnsi="宋体" w:eastAsia="宋体" w:cs="宋体"/>
                <w:szCs w:val="21"/>
                <w:highlight w:val="none"/>
              </w:rPr>
            </w:pPr>
            <w:r>
              <w:rPr>
                <w:rFonts w:hint="eastAsia" w:ascii="宋体" w:hAnsi="宋体" w:eastAsia="宋体" w:cs="宋体"/>
                <w:szCs w:val="21"/>
                <w:highlight w:val="none"/>
              </w:rPr>
              <w:t>室外各类围墙护栏</w:t>
            </w:r>
          </w:p>
        </w:tc>
        <w:tc>
          <w:tcPr>
            <w:tcW w:w="4003" w:type="pct"/>
            <w:noWrap w:val="0"/>
            <w:vAlign w:val="center"/>
          </w:tcPr>
          <w:p w14:paraId="60411330">
            <w:pPr>
              <w:rPr>
                <w:rFonts w:hint="eastAsia" w:ascii="宋体" w:hAnsi="宋体" w:eastAsia="宋体" w:cs="宋体"/>
                <w:szCs w:val="21"/>
                <w:highlight w:val="none"/>
              </w:rPr>
            </w:pPr>
            <w:r>
              <w:rPr>
                <w:rFonts w:hint="eastAsia" w:ascii="宋体" w:hAnsi="宋体" w:eastAsia="宋体" w:cs="宋体"/>
                <w:szCs w:val="21"/>
                <w:highlight w:val="none"/>
              </w:rPr>
              <w:t>围墙整体外观一致，没有明显破损和面层剥落。</w:t>
            </w:r>
          </w:p>
        </w:tc>
      </w:tr>
      <w:tr w14:paraId="1E05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5CA6CF3E">
            <w:pPr>
              <w:jc w:val="center"/>
              <w:rPr>
                <w:rFonts w:hint="eastAsia" w:ascii="宋体" w:hAnsi="宋体" w:eastAsia="宋体" w:cs="宋体"/>
                <w:szCs w:val="21"/>
                <w:highlight w:val="none"/>
              </w:rPr>
            </w:pPr>
            <w:r>
              <w:rPr>
                <w:rFonts w:hint="eastAsia" w:ascii="宋体" w:hAnsi="宋体" w:eastAsia="宋体" w:cs="宋体"/>
                <w:szCs w:val="21"/>
                <w:highlight w:val="none"/>
              </w:rPr>
              <w:t>车轴画线、禁停线和标识、室外消防栓</w:t>
            </w:r>
          </w:p>
        </w:tc>
        <w:tc>
          <w:tcPr>
            <w:tcW w:w="4003" w:type="pct"/>
            <w:noWrap w:val="0"/>
            <w:vAlign w:val="center"/>
          </w:tcPr>
          <w:p w14:paraId="2CFD64EA">
            <w:pPr>
              <w:rPr>
                <w:rFonts w:hint="eastAsia" w:ascii="宋体" w:hAnsi="宋体" w:eastAsia="宋体" w:cs="宋体"/>
                <w:szCs w:val="21"/>
                <w:highlight w:val="none"/>
              </w:rPr>
            </w:pPr>
            <w:r>
              <w:rPr>
                <w:rFonts w:hint="eastAsia" w:ascii="宋体" w:hAnsi="宋体" w:eastAsia="宋体" w:cs="宋体"/>
                <w:szCs w:val="21"/>
                <w:highlight w:val="none"/>
              </w:rPr>
              <w:t>道杆色彩鲜明，上下灵活自如，配件齐全，手动，自动控制正常。色彩鲜明，字体清晰、醒目，标识符合要求，线条直，宽度一致。每个消防栓无渗、漏水现象，确保有水，开关灵活。</w:t>
            </w:r>
          </w:p>
        </w:tc>
      </w:tr>
      <w:tr w14:paraId="39195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4E07ECB1">
            <w:pPr>
              <w:jc w:val="center"/>
              <w:rPr>
                <w:rFonts w:hint="eastAsia" w:ascii="宋体" w:hAnsi="宋体" w:eastAsia="宋体" w:cs="宋体"/>
                <w:szCs w:val="21"/>
                <w:highlight w:val="none"/>
              </w:rPr>
            </w:pPr>
            <w:r>
              <w:rPr>
                <w:rFonts w:hint="eastAsia" w:ascii="宋体" w:hAnsi="宋体" w:eastAsia="宋体" w:cs="宋体"/>
                <w:szCs w:val="21"/>
                <w:highlight w:val="none"/>
              </w:rPr>
              <w:t>消防、监控设施设备</w:t>
            </w:r>
          </w:p>
        </w:tc>
        <w:tc>
          <w:tcPr>
            <w:tcW w:w="4003" w:type="pct"/>
            <w:noWrap w:val="0"/>
            <w:vAlign w:val="center"/>
          </w:tcPr>
          <w:p w14:paraId="64472725">
            <w:pPr>
              <w:rPr>
                <w:rFonts w:hint="eastAsia" w:ascii="宋体" w:hAnsi="宋体" w:eastAsia="宋体" w:cs="宋体"/>
                <w:szCs w:val="21"/>
                <w:highlight w:val="none"/>
              </w:rPr>
            </w:pPr>
            <w:r>
              <w:rPr>
                <w:rFonts w:hint="eastAsia" w:ascii="宋体" w:hAnsi="宋体" w:eastAsia="宋体" w:cs="宋体"/>
                <w:szCs w:val="21"/>
                <w:highlight w:val="none"/>
              </w:rPr>
              <w:t>自动喷水灭火系统、防烟排烟系统、防火卷帘、防火门、疏散指示与应急照明、消火栓等消防器材完好，监控主机画面清晰、消（监）控主机功能正常。</w:t>
            </w:r>
          </w:p>
        </w:tc>
      </w:tr>
      <w:tr w14:paraId="1FF7C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7" w:type="pct"/>
            <w:noWrap w:val="0"/>
            <w:vAlign w:val="center"/>
          </w:tcPr>
          <w:p w14:paraId="02F24BBB">
            <w:pPr>
              <w:jc w:val="center"/>
              <w:rPr>
                <w:rFonts w:hint="eastAsia" w:ascii="宋体" w:hAnsi="宋体" w:eastAsia="宋体" w:cs="宋体"/>
                <w:szCs w:val="21"/>
                <w:highlight w:val="none"/>
              </w:rPr>
            </w:pPr>
            <w:r>
              <w:rPr>
                <w:rFonts w:hint="eastAsia" w:ascii="宋体" w:hAnsi="宋体" w:eastAsia="宋体" w:cs="宋体"/>
                <w:szCs w:val="21"/>
                <w:highlight w:val="none"/>
              </w:rPr>
              <w:t>道闸、电动门、门禁系统</w:t>
            </w:r>
          </w:p>
        </w:tc>
        <w:tc>
          <w:tcPr>
            <w:tcW w:w="4003" w:type="pct"/>
            <w:noWrap w:val="0"/>
            <w:vAlign w:val="center"/>
          </w:tcPr>
          <w:p w14:paraId="1BA46A9D">
            <w:pPr>
              <w:rPr>
                <w:rFonts w:hint="eastAsia" w:ascii="宋体" w:hAnsi="宋体" w:eastAsia="宋体" w:cs="宋体"/>
                <w:szCs w:val="21"/>
                <w:highlight w:val="none"/>
              </w:rPr>
            </w:pPr>
            <w:r>
              <w:rPr>
                <w:rFonts w:hint="eastAsia" w:ascii="宋体" w:hAnsi="宋体" w:eastAsia="宋体" w:cs="宋体"/>
                <w:szCs w:val="21"/>
                <w:highlight w:val="none"/>
              </w:rPr>
              <w:t>闸门完好、道闸平衡性稳定、无噪音、紧固件无松动和脱落、连接附件正常；电动门体外观无磕碰、变形，轨道支撑架稳固，驱动模块、皮带，防夹装置无故障、运行无噪音；门禁系统记录存储、门禁卡读写、远程控制正常。</w:t>
            </w:r>
          </w:p>
        </w:tc>
      </w:tr>
    </w:tbl>
    <w:p w14:paraId="0B53232B">
      <w:pPr>
        <w:pStyle w:val="3"/>
        <w:widowControl/>
        <w:spacing w:before="240" w:after="120" w:line="240" w:lineRule="auto"/>
        <w:rPr>
          <w:rFonts w:hint="eastAsia" w:ascii="宋体" w:hAnsi="宋体" w:eastAsia="宋体" w:cs="宋体"/>
          <w:sz w:val="24"/>
          <w:szCs w:val="24"/>
          <w:highlight w:val="none"/>
          <w:lang w:val="zh-CN"/>
        </w:rPr>
      </w:pPr>
      <w:r>
        <w:rPr>
          <w:rFonts w:hint="eastAsia" w:ascii="宋体" w:hAnsi="宋体" w:eastAsia="宋体" w:cs="宋体"/>
          <w:sz w:val="24"/>
          <w:szCs w:val="24"/>
          <w:highlight w:val="none"/>
          <w:lang w:val="zh-CN"/>
        </w:rPr>
        <w:t>设备设施运行管理</w:t>
      </w: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0"/>
        <w:gridCol w:w="7322"/>
      </w:tblGrid>
      <w:tr w14:paraId="71065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pct"/>
            <w:noWrap w:val="0"/>
            <w:vAlign w:val="center"/>
          </w:tcPr>
          <w:p w14:paraId="12510D3B">
            <w:pPr>
              <w:jc w:val="center"/>
              <w:rPr>
                <w:rFonts w:hint="eastAsia" w:ascii="宋体" w:hAnsi="宋体" w:eastAsia="宋体" w:cs="宋体"/>
                <w:szCs w:val="21"/>
                <w:highlight w:val="none"/>
              </w:rPr>
            </w:pPr>
            <w:r>
              <w:rPr>
                <w:rFonts w:hint="eastAsia" w:ascii="宋体" w:hAnsi="宋体" w:eastAsia="宋体" w:cs="宋体"/>
                <w:szCs w:val="21"/>
                <w:highlight w:val="none"/>
              </w:rPr>
              <w:t>设施设备</w:t>
            </w:r>
          </w:p>
        </w:tc>
        <w:tc>
          <w:tcPr>
            <w:tcW w:w="4296" w:type="pct"/>
            <w:noWrap w:val="0"/>
            <w:vAlign w:val="center"/>
          </w:tcPr>
          <w:p w14:paraId="1BCD53C7">
            <w:pPr>
              <w:jc w:val="center"/>
              <w:rPr>
                <w:rFonts w:hint="eastAsia" w:ascii="宋体" w:hAnsi="宋体" w:eastAsia="宋体" w:cs="宋体"/>
                <w:szCs w:val="21"/>
                <w:highlight w:val="none"/>
              </w:rPr>
            </w:pPr>
            <w:r>
              <w:rPr>
                <w:rFonts w:hint="eastAsia" w:ascii="宋体" w:hAnsi="宋体" w:eastAsia="宋体" w:cs="宋体"/>
                <w:szCs w:val="21"/>
                <w:highlight w:val="none"/>
              </w:rPr>
              <w:t>运行管理要求</w:t>
            </w:r>
          </w:p>
        </w:tc>
      </w:tr>
      <w:tr w14:paraId="047E2E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pct"/>
            <w:noWrap w:val="0"/>
            <w:vAlign w:val="center"/>
          </w:tcPr>
          <w:p w14:paraId="53D1415C">
            <w:pPr>
              <w:jc w:val="center"/>
              <w:rPr>
                <w:rFonts w:hint="eastAsia" w:ascii="宋体" w:hAnsi="宋体" w:eastAsia="宋体" w:cs="宋体"/>
                <w:szCs w:val="21"/>
                <w:highlight w:val="none"/>
              </w:rPr>
            </w:pPr>
            <w:r>
              <w:rPr>
                <w:rFonts w:hint="eastAsia" w:ascii="宋体" w:hAnsi="宋体" w:eastAsia="宋体" w:cs="宋体"/>
                <w:szCs w:val="21"/>
                <w:highlight w:val="none"/>
              </w:rPr>
              <w:t>设备机房管理</w:t>
            </w:r>
          </w:p>
        </w:tc>
        <w:tc>
          <w:tcPr>
            <w:tcW w:w="4296" w:type="pct"/>
            <w:noWrap w:val="0"/>
            <w:vAlign w:val="center"/>
          </w:tcPr>
          <w:p w14:paraId="5DCA5755">
            <w:pPr>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1.设备机房门口应由机房类别及安全标志；</w:t>
            </w:r>
          </w:p>
          <w:p w14:paraId="3C72E80C">
            <w:pPr>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2.门窗、锁具完好、有效，保持落锁，有防止鼠、雀等小动物进入机房的设施；</w:t>
            </w:r>
          </w:p>
          <w:p w14:paraId="21229D5E">
            <w:pPr>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3.设备机房环境整洁，无杂物、无积尘、无鼠、无虫害，温湿度符合设备运行要求；</w:t>
            </w:r>
          </w:p>
          <w:p w14:paraId="2EC1EBA1">
            <w:pPr>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4.设备机房内应按规定配置消防器材，设置通风和应急照明；</w:t>
            </w:r>
          </w:p>
          <w:p w14:paraId="74342BEB">
            <w:pPr>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5.安全防护用具配置齐全，检验合格；</w:t>
            </w:r>
          </w:p>
          <w:p w14:paraId="7C5A8523">
            <w:pPr>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6.应急设施设备用品应齐全、完备，可随时启用；</w:t>
            </w:r>
          </w:p>
          <w:p w14:paraId="7EE76506">
            <w:pPr>
              <w:ind w:firstLine="420" w:firstLineChars="200"/>
              <w:rPr>
                <w:rFonts w:hint="eastAsia" w:ascii="宋体" w:hAnsi="宋体" w:eastAsia="宋体" w:cs="宋体"/>
                <w:szCs w:val="21"/>
                <w:highlight w:val="none"/>
              </w:rPr>
            </w:pPr>
            <w:r>
              <w:rPr>
                <w:rFonts w:hint="eastAsia" w:ascii="宋体" w:hAnsi="宋体" w:eastAsia="宋体" w:cs="宋体"/>
                <w:szCs w:val="21"/>
                <w:highlight w:val="none"/>
              </w:rPr>
              <w:t>7.设备台账、设备卡、使用说明、维保记录、能源(水电气数据)等档案保存完好，机房内张贴机房管理制度及设备操作规程等文件。</w:t>
            </w:r>
          </w:p>
        </w:tc>
      </w:tr>
      <w:tr w14:paraId="314DE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 w:hRule="atLeast"/>
        </w:trPr>
        <w:tc>
          <w:tcPr>
            <w:tcW w:w="704" w:type="pct"/>
            <w:noWrap w:val="0"/>
            <w:vAlign w:val="center"/>
          </w:tcPr>
          <w:p w14:paraId="10E73211">
            <w:pPr>
              <w:jc w:val="center"/>
              <w:rPr>
                <w:rFonts w:hint="eastAsia" w:ascii="宋体" w:hAnsi="宋体" w:eastAsia="宋体" w:cs="宋体"/>
                <w:szCs w:val="21"/>
                <w:highlight w:val="none"/>
              </w:rPr>
            </w:pPr>
            <w:r>
              <w:rPr>
                <w:rFonts w:hint="eastAsia" w:ascii="宋体" w:hAnsi="宋体" w:eastAsia="宋体" w:cs="宋体"/>
                <w:szCs w:val="21"/>
                <w:highlight w:val="none"/>
              </w:rPr>
              <w:t>供配电系统</w:t>
            </w:r>
          </w:p>
        </w:tc>
        <w:tc>
          <w:tcPr>
            <w:tcW w:w="4296" w:type="pct"/>
            <w:noWrap w:val="0"/>
            <w:vAlign w:val="center"/>
          </w:tcPr>
          <w:p w14:paraId="11F2306D">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须制定并完善电气系统运维的规章制度，配备足够数量且具有电气专业职业资格的运维人员。</w:t>
            </w:r>
          </w:p>
          <w:p w14:paraId="34414467">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楼宇内各级变电所、配电房、配电间（以下简称变配电场所）闲人免进，外来人员登记后方可进入，物业服务企业要安排专人全程陪同并监督；施工人员进出变配电场所按《中科大物业服务企业零修施工管理办法（暂行）》中的相关规定执行。</w:t>
            </w:r>
          </w:p>
          <w:p w14:paraId="7FA2AB30">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变配电场所须保持环境整洁，严禁堆放无关杂物，供配电设施设备整洁无灰尘。</w:t>
            </w:r>
          </w:p>
          <w:p w14:paraId="0E9C65FA">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楼宇变电所内电气系统图、操作规程及管理制度上墙公示；操作及安全用具完备无损坏，且按规范摆放整齐。</w:t>
            </w:r>
          </w:p>
          <w:p w14:paraId="0B172DF7">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确保变配电场所内的设施设备按要求可靠接地，运行情况良好，开关、表计、温控器、指示灯等元器件完好，电缆桥架或电缆沟盖板完好无损坏，电线、电缆不外露，管线排列整齐有序，如有损坏应及时维修或上报物业办。</w:t>
            </w:r>
          </w:p>
          <w:p w14:paraId="7F22C7CB">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配电柜、配电箱内各级开关标明出线名称且准确，进出电缆须挂牌标明电缆型号及上级或下级开关名称。</w:t>
            </w:r>
          </w:p>
          <w:p w14:paraId="6C9EE74F">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每天安排专业人员对楼宇变电所进行巡检，记录设备运行情况，并对各进出线回路进行抄表；定期对楼层配电间进行巡视并填写巡视记录。</w:t>
            </w:r>
          </w:p>
          <w:p w14:paraId="3D39E3CB">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夏季或用电高峰期增加对变配电场所和电缆通道的巡检频率，其中楼层配电间和电缆通道每天不少于一次，巡检须测量并记录配电箱电流、电缆通道温度等数据，发现用电负荷过载、电缆（母线）温度过高应及时通知用户，切断部分用电负荷。</w:t>
            </w:r>
          </w:p>
          <w:p w14:paraId="4EFD838A">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楼宇内0.4KV设施设备的停送电操作由物业服务企业的具有职业资质的人员按照规范操作；协助学校能源保障中心开展楼宇内的10KV设备的停送电工作，操作由物业服务企业的具有职业资质的人员按照规范操作。</w:t>
            </w:r>
          </w:p>
          <w:p w14:paraId="1AF1F5C5">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严禁用户私拉乱接电源，用户或施工单位需从变配电场所引出电源的均需出具由基本建设处批复的《用电增容批复方案》，物业服务企业需监督其按批复方案组织施工，监督委外单位实施维护保养工作，并进行确认签字，配合国家、行业或校内监督管理部门开展各种检验检查工作。</w:t>
            </w:r>
          </w:p>
          <w:p w14:paraId="17B593A7">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加强楼宇内巡查，杜绝公共区域的长明灯，合理设置公共区域空调温度，开展节能宣传，减少用电浪费现象。</w:t>
            </w:r>
          </w:p>
          <w:p w14:paraId="214FDD10">
            <w:pPr>
              <w:numPr>
                <w:ilvl w:val="0"/>
                <w:numId w:val="3"/>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遇停电、限电，提前通知用户单位。</w:t>
            </w:r>
          </w:p>
        </w:tc>
      </w:tr>
      <w:tr w14:paraId="73735F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pct"/>
            <w:noWrap w:val="0"/>
            <w:vAlign w:val="center"/>
          </w:tcPr>
          <w:p w14:paraId="70E7A825">
            <w:pPr>
              <w:jc w:val="center"/>
              <w:rPr>
                <w:rFonts w:hint="eastAsia" w:ascii="宋体" w:hAnsi="宋体" w:eastAsia="宋体" w:cs="宋体"/>
                <w:szCs w:val="21"/>
                <w:highlight w:val="none"/>
              </w:rPr>
            </w:pPr>
            <w:r>
              <w:rPr>
                <w:rFonts w:hint="eastAsia" w:ascii="宋体" w:hAnsi="宋体" w:eastAsia="宋体" w:cs="宋体"/>
                <w:szCs w:val="21"/>
                <w:highlight w:val="none"/>
              </w:rPr>
              <w:t>给排水系统</w:t>
            </w:r>
          </w:p>
        </w:tc>
        <w:tc>
          <w:tcPr>
            <w:tcW w:w="4296" w:type="pct"/>
            <w:noWrap w:val="0"/>
            <w:vAlign w:val="center"/>
          </w:tcPr>
          <w:p w14:paraId="1515EB9D">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水压稳定，满足正常使用，水质无异味及异色等现象。</w:t>
            </w:r>
          </w:p>
          <w:p w14:paraId="6BF368C5">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供水总阀及水表连接处无滴漏，无锈蚀，阀门开关灵活，发现损坏及时维修。</w:t>
            </w:r>
          </w:p>
          <w:p w14:paraId="7B825E25">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排水管、雨水管、消防水管等管道阀门完好，仪表显示正确，无滴漏、堵塞、外溢，排放入口通畅，无乱接水管，发现损坏及时维修。</w:t>
            </w:r>
          </w:p>
          <w:p w14:paraId="5F7D3145">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每季度对泵房清洁1次，对水泵机组润滑、保养1次，对排水管道进行疏通、养护及清除污垢，保证室内排水系统畅通；按照法律法规要求每季度对生活水箱进行一次专业清洗消毒，并取得第三方有权检测机构出具的水质检测合格报告。</w:t>
            </w:r>
          </w:p>
          <w:p w14:paraId="79343D13">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做好供水系统管路、消防给水设施、阀门的日常维护和定期检修，每月对阀门进行开关灵活性检查、定期为丝杠加注润滑脂。</w:t>
            </w:r>
          </w:p>
          <w:p w14:paraId="05646C7A">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水箱、水池检查孔盖板完好并落锁；</w:t>
            </w:r>
            <w:r>
              <w:rPr>
                <w:rFonts w:hint="eastAsia" w:ascii="宋体" w:hAnsi="宋体" w:eastAsia="宋体" w:cs="宋体"/>
                <w:bCs/>
                <w:szCs w:val="21"/>
                <w:highlight w:val="none"/>
              </w:rPr>
              <w:t>通风透气孔做好防护措施，防止蚊虫进入。</w:t>
            </w:r>
          </w:p>
          <w:p w14:paraId="550BC1D2">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监督第三方维保单位实施维护保养工作，并进行确认签字。</w:t>
            </w:r>
          </w:p>
          <w:p w14:paraId="7D1FD2C0">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如遇供水单位限水、停水，应提前通知业主。</w:t>
            </w:r>
          </w:p>
          <w:p w14:paraId="7BD7832F">
            <w:pPr>
              <w:numPr>
                <w:ilvl w:val="0"/>
                <w:numId w:val="4"/>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冬季来临前做好给排水系统的防冻措施。</w:t>
            </w:r>
          </w:p>
        </w:tc>
      </w:tr>
      <w:tr w14:paraId="39043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pct"/>
            <w:noWrap w:val="0"/>
            <w:vAlign w:val="center"/>
          </w:tcPr>
          <w:p w14:paraId="578E67E4">
            <w:pPr>
              <w:jc w:val="center"/>
              <w:rPr>
                <w:rFonts w:hint="eastAsia" w:ascii="宋体" w:hAnsi="宋体" w:eastAsia="宋体" w:cs="宋体"/>
                <w:szCs w:val="21"/>
                <w:highlight w:val="none"/>
              </w:rPr>
            </w:pPr>
            <w:r>
              <w:rPr>
                <w:rFonts w:hint="eastAsia" w:ascii="宋体" w:hAnsi="宋体" w:eastAsia="宋体" w:cs="宋体"/>
                <w:szCs w:val="21"/>
                <w:highlight w:val="none"/>
              </w:rPr>
              <w:t>电梯系统</w:t>
            </w:r>
          </w:p>
        </w:tc>
        <w:tc>
          <w:tcPr>
            <w:tcW w:w="4296" w:type="pct"/>
            <w:noWrap w:val="0"/>
            <w:vAlign w:val="center"/>
          </w:tcPr>
          <w:p w14:paraId="10EC0535">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负责监管电梯日常安全运行，确保运行时平稳，无异响，平层、开关正常。如发现电梯出现异常现象或临时故障，中标人管理人员应立即通知电梯维保公司进行检修并汇报甲方人员，做好安全警示，对问题的处理进行监管，直至问题得以解决，避免影响正常的教育教学秩序。</w:t>
            </w:r>
          </w:p>
          <w:p w14:paraId="5B53B4D7">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对电梯每月两次的维保记录进行存档。做好所有电梯的日常维修记录登记，对维修情况进行现场确认，确保电梯安全正常运行。</w:t>
            </w:r>
          </w:p>
          <w:p w14:paraId="40DE1623">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每年负责检查、督促、配合电梯维保公司及时做好电梯年检和电梯合格使用标志的领取工作。</w:t>
            </w:r>
          </w:p>
          <w:p w14:paraId="4C97E5E2">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物业化服务的大楼提供24小时值班服务，并有通讯联系方式。</w:t>
            </w:r>
          </w:p>
          <w:p w14:paraId="203B70F3">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在重要节日或学院重大活动前夕，及时通知电梯维保公司对电梯进行安全检查，排除电梯安全隐患。</w:t>
            </w:r>
          </w:p>
          <w:p w14:paraId="533348B1">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对电梯轿厢及地坎进行日常保洁，保持轿厢洁净、无异味。监督维保单位对电梯机房进行定期卫生清理。</w:t>
            </w:r>
          </w:p>
          <w:p w14:paraId="358BECF6">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每月两次对电梯五方对讲检测并做好情况记录和报修；做好电梯井道底坑积水情况检查并报修；对电梯维保单位每月两次的维保工作进行记录；对电梯日常故障报修和维修进行记录，并对维修情况进行现场负责人记录确认。</w:t>
            </w:r>
          </w:p>
          <w:p w14:paraId="62291C79">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电梯安全设施齐全有效，通风、照明及其他附属设施完好，发现问题及时联系电梯维保公司。</w:t>
            </w:r>
          </w:p>
          <w:p w14:paraId="3896E743">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按照电梯管理要求做好电梯台账的建档和管理工作。</w:t>
            </w:r>
          </w:p>
          <w:p w14:paraId="41EC2DA6">
            <w:pPr>
              <w:numPr>
                <w:ilvl w:val="0"/>
                <w:numId w:val="5"/>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电梯管理员须按照电梯管理的相关规定持证上岗。</w:t>
            </w:r>
          </w:p>
        </w:tc>
      </w:tr>
      <w:tr w14:paraId="5361F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pct"/>
            <w:noWrap w:val="0"/>
            <w:vAlign w:val="center"/>
          </w:tcPr>
          <w:p w14:paraId="20F81E2C">
            <w:pPr>
              <w:jc w:val="center"/>
              <w:rPr>
                <w:rFonts w:hint="eastAsia" w:ascii="宋体" w:hAnsi="宋体" w:eastAsia="宋体" w:cs="宋体"/>
                <w:szCs w:val="21"/>
                <w:highlight w:val="none"/>
              </w:rPr>
            </w:pPr>
            <w:r>
              <w:rPr>
                <w:rFonts w:hint="eastAsia" w:ascii="宋体" w:hAnsi="宋体" w:eastAsia="宋体" w:cs="宋体"/>
                <w:szCs w:val="21"/>
                <w:highlight w:val="none"/>
              </w:rPr>
              <w:t>暖通系统</w:t>
            </w:r>
          </w:p>
        </w:tc>
        <w:tc>
          <w:tcPr>
            <w:tcW w:w="4296" w:type="pct"/>
            <w:noWrap w:val="0"/>
            <w:vAlign w:val="center"/>
          </w:tcPr>
          <w:p w14:paraId="6814B070">
            <w:pPr>
              <w:numPr>
                <w:ilvl w:val="0"/>
                <w:numId w:val="6"/>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配备相应技术能力的人员负责受托项目内中央空调系统、风机、公共教室和会议室空调的运行管理。</w:t>
            </w:r>
          </w:p>
          <w:p w14:paraId="7D89D106">
            <w:pPr>
              <w:numPr>
                <w:ilvl w:val="0"/>
                <w:numId w:val="6"/>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系统运行正常，温度体感适中。</w:t>
            </w:r>
          </w:p>
          <w:p w14:paraId="092A95C1">
            <w:pPr>
              <w:numPr>
                <w:ilvl w:val="0"/>
                <w:numId w:val="6"/>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管道、阀件及仪表完好，无跑冒滴漏现象。</w:t>
            </w:r>
          </w:p>
          <w:p w14:paraId="7F6A0B4F">
            <w:pPr>
              <w:numPr>
                <w:ilvl w:val="0"/>
                <w:numId w:val="6"/>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负责日常中央空调运行巡视检查，并做好相关记录。</w:t>
            </w:r>
          </w:p>
          <w:p w14:paraId="72DC05E7">
            <w:pPr>
              <w:numPr>
                <w:ilvl w:val="0"/>
                <w:numId w:val="6"/>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如发现异常现象或临时故障，应立即通知维保公司进行检修并汇报甲方，对问题的处理进行监管，直至问题得以解决，避免影响正常的教育教学秩序。</w:t>
            </w:r>
          </w:p>
          <w:p w14:paraId="41C9C107">
            <w:pPr>
              <w:numPr>
                <w:ilvl w:val="0"/>
                <w:numId w:val="6"/>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负责对中央空调使用如何节能提供技术措施建议。</w:t>
            </w:r>
          </w:p>
          <w:p w14:paraId="74077C9D">
            <w:pPr>
              <w:numPr>
                <w:ilvl w:val="0"/>
                <w:numId w:val="6"/>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对中央空调使用中发生意外事故做好应对处置准备。</w:t>
            </w:r>
          </w:p>
        </w:tc>
      </w:tr>
      <w:tr w14:paraId="51C6D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pct"/>
            <w:noWrap w:val="0"/>
            <w:vAlign w:val="center"/>
          </w:tcPr>
          <w:p w14:paraId="69137245">
            <w:pPr>
              <w:jc w:val="center"/>
              <w:rPr>
                <w:rFonts w:hint="eastAsia" w:ascii="宋体" w:hAnsi="宋体" w:eastAsia="宋体" w:cs="宋体"/>
                <w:szCs w:val="21"/>
                <w:highlight w:val="none"/>
              </w:rPr>
            </w:pPr>
            <w:r>
              <w:rPr>
                <w:rFonts w:hint="eastAsia" w:ascii="宋体" w:hAnsi="宋体" w:eastAsia="宋体" w:cs="宋体"/>
                <w:szCs w:val="21"/>
                <w:highlight w:val="none"/>
              </w:rPr>
              <w:t>弱电系统</w:t>
            </w:r>
          </w:p>
        </w:tc>
        <w:tc>
          <w:tcPr>
            <w:tcW w:w="4296" w:type="pct"/>
            <w:noWrap w:val="0"/>
            <w:vAlign w:val="center"/>
          </w:tcPr>
          <w:p w14:paraId="2031A65F">
            <w:pPr>
              <w:numPr>
                <w:ilvl w:val="0"/>
                <w:numId w:val="7"/>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配备相应技术能力的人员管理校区各类智能化系统，包括但不仅限于暖通、能耗、照明、安防综合平台（监控、门禁、道闸）、广播、无线电等，熟悉系统使用、运营和数据分析，并配合中标人对系统进行改造升级和功能优化等工作，并做好运行记录，并及时归档。</w:t>
            </w:r>
          </w:p>
          <w:p w14:paraId="0C01B16D">
            <w:pPr>
              <w:numPr>
                <w:ilvl w:val="0"/>
                <w:numId w:val="7"/>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进行各类自控设备（控制器、中继器、数据采集器、智能表具等）的日常巡检，并及时处置，巡查及检修记录做好记录。</w:t>
            </w:r>
          </w:p>
          <w:p w14:paraId="195139EF">
            <w:pPr>
              <w:numPr>
                <w:ilvl w:val="0"/>
                <w:numId w:val="7"/>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保证能耗监测平台监测在线设备90%以上在线，数据上传正确，每月、年向甲方汇报能耗分析报告。</w:t>
            </w:r>
          </w:p>
          <w:p w14:paraId="759FC931">
            <w:pPr>
              <w:numPr>
                <w:ilvl w:val="0"/>
                <w:numId w:val="7"/>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与秩序维护部配合，做好定期的例行消防设备的检测与试运行。</w:t>
            </w:r>
          </w:p>
          <w:p w14:paraId="6B2B2B58">
            <w:pPr>
              <w:numPr>
                <w:ilvl w:val="0"/>
                <w:numId w:val="7"/>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保持设备房环境整洁，不得堆放杂物，特别是易燃易爆物品。</w:t>
            </w:r>
          </w:p>
          <w:p w14:paraId="295E0091">
            <w:pPr>
              <w:numPr>
                <w:ilvl w:val="0"/>
                <w:numId w:val="7"/>
              </w:numPr>
              <w:ind w:left="0" w:firstLine="420" w:firstLineChars="200"/>
              <w:rPr>
                <w:rFonts w:hint="eastAsia" w:ascii="宋体" w:hAnsi="宋体" w:eastAsia="宋体" w:cs="宋体"/>
                <w:szCs w:val="21"/>
                <w:highlight w:val="none"/>
              </w:rPr>
            </w:pPr>
            <w:r>
              <w:rPr>
                <w:rFonts w:hint="eastAsia" w:ascii="宋体" w:hAnsi="宋体" w:eastAsia="宋体" w:cs="宋体"/>
                <w:szCs w:val="21"/>
                <w:highlight w:val="none"/>
              </w:rPr>
              <w:t>如发现异常现象或临时故障，应立即通知维保单位进行检修并汇报甲方，做好安全警示，对问题的处理进行监管，直至问题得以解决。</w:t>
            </w:r>
          </w:p>
        </w:tc>
      </w:tr>
    </w:tbl>
    <w:p w14:paraId="165B067F">
      <w:pPr>
        <w:keepNext/>
        <w:keepLines/>
        <w:spacing w:before="260" w:after="260" w:line="276" w:lineRule="auto"/>
        <w:outlineLvl w:val="1"/>
        <w:rPr>
          <w:rFonts w:hint="eastAsia" w:ascii="宋体" w:hAnsi="宋体" w:eastAsia="宋体" w:cs="宋体"/>
          <w:b/>
          <w:bCs/>
          <w:sz w:val="24"/>
          <w:highlight w:val="none"/>
          <w:lang w:val="zh-CN"/>
        </w:rPr>
      </w:pPr>
      <w:r>
        <w:rPr>
          <w:rFonts w:hint="eastAsia" w:ascii="宋体" w:hAnsi="宋体" w:eastAsia="宋体" w:cs="宋体"/>
          <w:b/>
          <w:sz w:val="24"/>
          <w:highlight w:val="none"/>
          <w:lang w:val="en-US" w:eastAsia="zh-CN"/>
        </w:rPr>
        <w:t>五</w:t>
      </w:r>
      <w:r>
        <w:rPr>
          <w:rFonts w:hint="eastAsia" w:ascii="宋体" w:hAnsi="宋体" w:eastAsia="宋体" w:cs="宋体"/>
          <w:b/>
          <w:sz w:val="24"/>
          <w:highlight w:val="none"/>
        </w:rPr>
        <w:t>、</w:t>
      </w:r>
      <w:r>
        <w:rPr>
          <w:rFonts w:hint="eastAsia" w:ascii="宋体" w:hAnsi="宋体" w:eastAsia="宋体" w:cs="宋体"/>
          <w:b/>
          <w:bCs/>
          <w:sz w:val="24"/>
          <w:highlight w:val="none"/>
          <w:lang w:val="zh-CN"/>
        </w:rPr>
        <w:t>综合支持服务</w:t>
      </w:r>
    </w:p>
    <w:tbl>
      <w:tblPr>
        <w:tblStyle w:val="26"/>
        <w:tblW w:w="5000" w:type="pct"/>
        <w:tblInd w:w="103" w:type="dxa"/>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827"/>
        <w:gridCol w:w="7695"/>
      </w:tblGrid>
      <w:tr w14:paraId="12ECDCC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495" w:hRule="atLeast"/>
        </w:trPr>
        <w:tc>
          <w:tcPr>
            <w:tcW w:w="485" w:type="pct"/>
            <w:tcBorders>
              <w:top w:val="single" w:color="000000" w:sz="4" w:space="0"/>
              <w:left w:val="single" w:color="000000" w:sz="4" w:space="0"/>
              <w:bottom w:val="single" w:color="000000" w:sz="4" w:space="0"/>
              <w:right w:val="single" w:color="000000" w:sz="4" w:space="0"/>
            </w:tcBorders>
            <w:noWrap w:val="0"/>
            <w:vAlign w:val="center"/>
          </w:tcPr>
          <w:p w14:paraId="71A18882">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项目</w:t>
            </w:r>
          </w:p>
        </w:tc>
        <w:tc>
          <w:tcPr>
            <w:tcW w:w="4514" w:type="pct"/>
            <w:tcBorders>
              <w:top w:val="single" w:color="000000" w:sz="4" w:space="0"/>
              <w:bottom w:val="single" w:color="000000" w:sz="4" w:space="0"/>
            </w:tcBorders>
            <w:noWrap w:val="0"/>
            <w:vAlign w:val="center"/>
          </w:tcPr>
          <w:p w14:paraId="7DDC69A8">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服务质量标准</w:t>
            </w:r>
          </w:p>
        </w:tc>
      </w:tr>
      <w:tr w14:paraId="3EA7F53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485" w:type="pct"/>
            <w:tcBorders>
              <w:left w:val="single" w:color="000000" w:sz="4" w:space="0"/>
              <w:right w:val="single" w:color="000000" w:sz="4" w:space="0"/>
            </w:tcBorders>
            <w:noWrap w:val="0"/>
            <w:vAlign w:val="center"/>
          </w:tcPr>
          <w:p w14:paraId="71E41785">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一般要求</w:t>
            </w:r>
          </w:p>
        </w:tc>
        <w:tc>
          <w:tcPr>
            <w:tcW w:w="4514" w:type="pct"/>
            <w:noWrap w:val="0"/>
            <w:vAlign w:val="center"/>
          </w:tcPr>
          <w:p w14:paraId="286A4EE7">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在受托楼宇主出入口的显著位置公示以下信息：物业服务内容和质量承诺，物业值班电话、维修电话、投诉、监督电话，项目中心（部）负责人和现场主要管理人员姓名及电话，岗位职责等。</w:t>
            </w:r>
          </w:p>
          <w:p w14:paraId="3DC08754">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对物业服务员工进行岗前业务培训，熟悉本楼宇情况，包括：使用单位及其为止，常用消防设施设备点位，安防视频监控点位、共用房位置、卫生间数量和位置、办公人员特征及工作时间等。</w:t>
            </w:r>
          </w:p>
          <w:p w14:paraId="2A83C92B">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晨迎晚送：门岗值班人员必需严格按照规定时间（早上7:30-8:30,下午13：30-14：30，傍晚5:00-6:00）规范立岗接待服务例，安检出勤率100%。</w:t>
            </w:r>
          </w:p>
          <w:p w14:paraId="28566AC9">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挂牌服务，使用文明用语，微笑服务，向导咨询，有求必应。</w:t>
            </w:r>
          </w:p>
          <w:p w14:paraId="4482F434">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定期检查安全、卫生及设备完好状况，合格率95%以上，发现问题及时报修，并做好记录；</w:t>
            </w:r>
          </w:p>
          <w:p w14:paraId="4EBC36AE">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确保设施设备安全正常运行，出现故障，及时安排维修。</w:t>
            </w:r>
          </w:p>
          <w:p w14:paraId="6B0671E4">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主动征询和听取用户单位对物业管理的意见，不断改进工作方式，提高服务质量。对用户单位的报修、投诉、求助、咨询等及时处理，能够在20分钟内完成的，立即安排处理，并将处理过程和结果反馈用户单位，如不能在20分钟完成，须在20分钟内将处理计划反馈给用户单位。</w:t>
            </w:r>
          </w:p>
          <w:p w14:paraId="211577D4">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严禁任何单位和个人将受托项目内的报告厅堂、体育健身场馆对外商用租赁或出借。</w:t>
            </w:r>
          </w:p>
          <w:p w14:paraId="5DF5407A">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配合学校做好重大来访接待、大型学术交流、科技周展览、大型演出等活动保障服务。</w:t>
            </w:r>
          </w:p>
          <w:p w14:paraId="253AF817">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配合学校做好突发公共事件、安全稳定工作的应急处突工作。</w:t>
            </w:r>
          </w:p>
          <w:p w14:paraId="098A2F8C">
            <w:pPr>
              <w:keepNext w:val="0"/>
              <w:keepLines w:val="0"/>
              <w:pageBreakBefore w:val="0"/>
              <w:widowControl/>
              <w:numPr>
                <w:ilvl w:val="0"/>
                <w:numId w:val="8"/>
              </w:numPr>
              <w:kinsoku/>
              <w:wordWrap/>
              <w:overflowPunct/>
              <w:topLinePunct w:val="0"/>
              <w:autoSpaceDE/>
              <w:autoSpaceDN/>
              <w:bidi w:val="0"/>
              <w:spacing w:line="240" w:lineRule="auto"/>
              <w:ind w:left="0" w:firstLine="420" w:firstLineChars="200"/>
              <w:jc w:val="left"/>
              <w:textAlignment w:val="auto"/>
              <w:rPr>
                <w:rFonts w:hint="eastAsia" w:ascii="宋体" w:hAnsi="宋体" w:eastAsia="宋体" w:cs="宋体"/>
                <w:szCs w:val="21"/>
                <w:highlight w:val="none"/>
              </w:rPr>
            </w:pPr>
            <w:r>
              <w:rPr>
                <w:rFonts w:hint="eastAsia" w:ascii="宋体" w:hAnsi="宋体" w:eastAsia="宋体" w:cs="宋体"/>
                <w:kern w:val="0"/>
                <w:szCs w:val="21"/>
                <w:highlight w:val="none"/>
              </w:rPr>
              <w:t>为师生提供报刊杂志领取、急救药箱、快递包裹转接等便民服务。</w:t>
            </w:r>
          </w:p>
        </w:tc>
      </w:tr>
      <w:tr w14:paraId="620530C6">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485" w:type="pct"/>
            <w:tcBorders>
              <w:top w:val="single" w:color="000000" w:sz="4" w:space="0"/>
              <w:left w:val="single" w:color="000000" w:sz="4" w:space="0"/>
              <w:bottom w:val="single" w:color="000000" w:sz="4" w:space="0"/>
              <w:right w:val="single" w:color="000000" w:sz="4" w:space="0"/>
            </w:tcBorders>
            <w:noWrap w:val="0"/>
            <w:vAlign w:val="center"/>
          </w:tcPr>
          <w:p w14:paraId="5E83A673">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0"/>
                <w:szCs w:val="21"/>
                <w:highlight w:val="none"/>
              </w:rPr>
            </w:pPr>
            <w:r>
              <w:rPr>
                <w:rFonts w:hint="eastAsia" w:ascii="宋体" w:hAnsi="宋体" w:eastAsia="宋体" w:cs="宋体"/>
                <w:szCs w:val="21"/>
                <w:highlight w:val="none"/>
              </w:rPr>
              <w:t>装修改造管理</w:t>
            </w:r>
          </w:p>
        </w:tc>
        <w:tc>
          <w:tcPr>
            <w:tcW w:w="4514" w:type="pct"/>
            <w:tcBorders>
              <w:top w:val="single" w:color="000000" w:sz="4" w:space="0"/>
              <w:bottom w:val="single" w:color="000000" w:sz="4" w:space="0"/>
            </w:tcBorders>
            <w:noWrap w:val="0"/>
            <w:vAlign w:val="center"/>
          </w:tcPr>
          <w:p w14:paraId="46976F17">
            <w:pPr>
              <w:keepNext w:val="0"/>
              <w:keepLines w:val="0"/>
              <w:pageBreakBefore w:val="0"/>
              <w:widowControl/>
              <w:kinsoku/>
              <w:wordWrap/>
              <w:overflowPunct/>
              <w:topLinePunct w:val="0"/>
              <w:autoSpaceDE/>
              <w:autoSpaceDN/>
              <w:bidi w:val="0"/>
              <w:spacing w:line="240" w:lineRule="auto"/>
              <w:ind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kern w:val="0"/>
                <w:szCs w:val="21"/>
                <w:highlight w:val="none"/>
              </w:rPr>
              <w:t>遵照《中国科大物业服务企业零修施工管理办法》执行</w:t>
            </w:r>
          </w:p>
        </w:tc>
      </w:tr>
      <w:tr w14:paraId="40B55A97">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485" w:type="pct"/>
            <w:tcBorders>
              <w:left w:val="single" w:color="000000" w:sz="4" w:space="0"/>
              <w:right w:val="single" w:color="000000" w:sz="4" w:space="0"/>
            </w:tcBorders>
            <w:noWrap w:val="0"/>
            <w:vAlign w:val="center"/>
          </w:tcPr>
          <w:p w14:paraId="2DD8FC6E">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0"/>
                <w:szCs w:val="21"/>
                <w:highlight w:val="none"/>
              </w:rPr>
            </w:pPr>
            <w:r>
              <w:rPr>
                <w:rFonts w:hint="eastAsia" w:ascii="宋体" w:hAnsi="宋体" w:eastAsia="宋体" w:cs="宋体"/>
                <w:szCs w:val="21"/>
                <w:highlight w:val="none"/>
              </w:rPr>
              <w:t>空置房管理</w:t>
            </w:r>
          </w:p>
        </w:tc>
        <w:tc>
          <w:tcPr>
            <w:tcW w:w="4514" w:type="pct"/>
            <w:noWrap w:val="0"/>
            <w:vAlign w:val="center"/>
          </w:tcPr>
          <w:p w14:paraId="528FF476">
            <w:pPr>
              <w:keepNext w:val="0"/>
              <w:keepLines w:val="0"/>
              <w:pageBreakBefore w:val="0"/>
              <w:widowControl/>
              <w:kinsoku/>
              <w:wordWrap/>
              <w:overflowPunct/>
              <w:topLinePunct w:val="0"/>
              <w:autoSpaceDE/>
              <w:autoSpaceDN/>
              <w:bidi w:val="0"/>
              <w:spacing w:line="240" w:lineRule="auto"/>
              <w:ind w:firstLine="420" w:firstLineChars="200"/>
              <w:jc w:val="left"/>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1.</w:t>
            </w:r>
            <w:r>
              <w:rPr>
                <w:rFonts w:hint="eastAsia" w:ascii="宋体" w:hAnsi="宋体" w:eastAsia="宋体" w:cs="宋体"/>
                <w:szCs w:val="21"/>
                <w:highlight w:val="none"/>
              </w:rPr>
              <w:t>对受托项目内学校未分配使用的空置房间，要关闭房间的水、电、气、暖，日常巡查注意观察门窗是否完好；</w:t>
            </w:r>
          </w:p>
          <w:p w14:paraId="384245C7">
            <w:pPr>
              <w:keepNext w:val="0"/>
              <w:keepLines w:val="0"/>
              <w:pageBreakBefore w:val="0"/>
              <w:widowControl/>
              <w:kinsoku/>
              <w:wordWrap/>
              <w:overflowPunct/>
              <w:topLinePunct w:val="0"/>
              <w:autoSpaceDE/>
              <w:autoSpaceDN/>
              <w:bidi w:val="0"/>
              <w:spacing w:line="240" w:lineRule="auto"/>
              <w:ind w:firstLine="420" w:firstLineChars="200"/>
              <w:jc w:val="left"/>
              <w:textAlignment w:val="auto"/>
              <w:rPr>
                <w:rFonts w:hint="eastAsia" w:ascii="宋体" w:hAnsi="宋体" w:eastAsia="宋体" w:cs="宋体"/>
                <w:szCs w:val="21"/>
                <w:highlight w:val="none"/>
              </w:rPr>
            </w:pPr>
            <w:r>
              <w:rPr>
                <w:rFonts w:hint="eastAsia" w:ascii="宋体" w:hAnsi="宋体" w:eastAsia="宋体" w:cs="宋体"/>
                <w:szCs w:val="21"/>
                <w:highlight w:val="none"/>
                <w:lang w:val="en-US" w:eastAsia="zh-CN"/>
              </w:rPr>
              <w:t>2.</w:t>
            </w:r>
            <w:r>
              <w:rPr>
                <w:rFonts w:hint="eastAsia" w:ascii="宋体" w:hAnsi="宋体" w:eastAsia="宋体" w:cs="宋体"/>
                <w:szCs w:val="21"/>
                <w:highlight w:val="none"/>
              </w:rPr>
              <w:t>雨雪天气注意巡查房内是否漏水，防止财产损失；</w:t>
            </w:r>
          </w:p>
          <w:p w14:paraId="55064896">
            <w:pPr>
              <w:keepNext w:val="0"/>
              <w:keepLines w:val="0"/>
              <w:pageBreakBefore w:val="0"/>
              <w:widowControl/>
              <w:kinsoku/>
              <w:wordWrap/>
              <w:overflowPunct/>
              <w:topLinePunct w:val="0"/>
              <w:autoSpaceDE/>
              <w:autoSpaceDN/>
              <w:bidi w:val="0"/>
              <w:spacing w:line="240" w:lineRule="auto"/>
              <w:ind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szCs w:val="21"/>
                <w:highlight w:val="none"/>
                <w:lang w:val="en-US" w:eastAsia="zh-CN"/>
              </w:rPr>
              <w:t>3.</w:t>
            </w:r>
            <w:r>
              <w:rPr>
                <w:rFonts w:hint="eastAsia" w:ascii="宋体" w:hAnsi="宋体" w:eastAsia="宋体" w:cs="宋体"/>
                <w:szCs w:val="21"/>
                <w:highlight w:val="none"/>
              </w:rPr>
              <w:t>未得到学校主管部门同意，严禁将钥匙借出，严禁任何单位和个人办公使用或存放物品。</w:t>
            </w:r>
          </w:p>
        </w:tc>
      </w:tr>
      <w:tr w14:paraId="660AF874">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485" w:type="pct"/>
            <w:tcBorders>
              <w:top w:val="single" w:color="000000" w:sz="4" w:space="0"/>
              <w:left w:val="single" w:color="000000" w:sz="4" w:space="0"/>
              <w:bottom w:val="single" w:color="000000" w:sz="4" w:space="0"/>
              <w:right w:val="single" w:color="000000" w:sz="4" w:space="0"/>
            </w:tcBorders>
            <w:noWrap w:val="0"/>
            <w:vAlign w:val="center"/>
          </w:tcPr>
          <w:p w14:paraId="5A1AA04B">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0"/>
                <w:szCs w:val="21"/>
                <w:highlight w:val="none"/>
              </w:rPr>
            </w:pPr>
            <w:r>
              <w:rPr>
                <w:rFonts w:hint="eastAsia" w:ascii="宋体" w:hAnsi="宋体" w:eastAsia="宋体" w:cs="宋体"/>
                <w:szCs w:val="21"/>
                <w:highlight w:val="none"/>
              </w:rPr>
              <w:t>节能管理</w:t>
            </w:r>
          </w:p>
        </w:tc>
        <w:tc>
          <w:tcPr>
            <w:tcW w:w="4514" w:type="pct"/>
            <w:tcBorders>
              <w:top w:val="single" w:color="000000" w:sz="4" w:space="0"/>
              <w:bottom w:val="single" w:color="000000" w:sz="4" w:space="0"/>
            </w:tcBorders>
            <w:noWrap w:val="0"/>
            <w:vAlign w:val="center"/>
          </w:tcPr>
          <w:p w14:paraId="325E4DA9">
            <w:pPr>
              <w:keepNext w:val="0"/>
              <w:keepLines w:val="0"/>
              <w:pageBreakBefore w:val="0"/>
              <w:widowControl/>
              <w:kinsoku/>
              <w:wordWrap/>
              <w:overflowPunct/>
              <w:topLinePunct w:val="0"/>
              <w:autoSpaceDE/>
              <w:autoSpaceDN/>
              <w:bidi w:val="0"/>
              <w:spacing w:line="240" w:lineRule="auto"/>
              <w:ind w:firstLine="420" w:firstLineChars="200"/>
              <w:jc w:val="left"/>
              <w:textAlignment w:val="auto"/>
              <w:rPr>
                <w:rFonts w:hint="eastAsia" w:ascii="宋体" w:hAnsi="宋体" w:eastAsia="宋体" w:cs="宋体"/>
                <w:kern w:val="0"/>
                <w:szCs w:val="21"/>
                <w:highlight w:val="none"/>
              </w:rPr>
            </w:pPr>
            <w:r>
              <w:rPr>
                <w:rFonts w:hint="eastAsia" w:ascii="宋体" w:hAnsi="宋体" w:eastAsia="宋体" w:cs="宋体"/>
                <w:szCs w:val="21"/>
                <w:highlight w:val="none"/>
              </w:rPr>
              <w:t>根据学校工作学习时间安排，巡查关闭或开启大厅、走廊、楼道内的照明灯</w:t>
            </w:r>
            <w:r>
              <w:rPr>
                <w:rFonts w:hint="eastAsia" w:ascii="宋体" w:hAnsi="宋体" w:eastAsia="宋体" w:cs="宋体"/>
                <w:kern w:val="0"/>
                <w:szCs w:val="21"/>
                <w:highlight w:val="none"/>
              </w:rPr>
              <w:t>，杜绝公共区域长明灯</w:t>
            </w:r>
            <w:r>
              <w:rPr>
                <w:rFonts w:hint="eastAsia" w:ascii="宋体" w:hAnsi="宋体" w:eastAsia="宋体" w:cs="宋体"/>
                <w:szCs w:val="21"/>
                <w:highlight w:val="none"/>
              </w:rPr>
              <w:t>；根据季节变化和工作时间对卫生间照明、排气扇等制定合理的开关时间，跟进季节变化、气温变化及工作时间对公共区域空调合理设置开启时间和温度；根据季节和天气调整受托项目内室外区域的量化照明时间；根据地下车库实际使用情况，制定合理的节能方案；协助学校能源管理部门做好能耗监控和分析，建议科学合理的节能改造方案。在节能宣传周、节水宣传周、低碳日等时期在楼内开展相应的节能节水宣传，配合学校开展各类宣传活动。</w:t>
            </w:r>
          </w:p>
        </w:tc>
      </w:tr>
      <w:tr w14:paraId="68DAEF4F">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485" w:type="pct"/>
            <w:tcBorders>
              <w:left w:val="single" w:color="000000" w:sz="4" w:space="0"/>
              <w:right w:val="single" w:color="000000" w:sz="4" w:space="0"/>
            </w:tcBorders>
            <w:noWrap w:val="0"/>
            <w:vAlign w:val="center"/>
          </w:tcPr>
          <w:p w14:paraId="1F155178">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0"/>
                <w:szCs w:val="21"/>
                <w:highlight w:val="none"/>
              </w:rPr>
            </w:pPr>
            <w:r>
              <w:rPr>
                <w:rFonts w:hint="eastAsia" w:ascii="宋体" w:hAnsi="宋体" w:eastAsia="宋体" w:cs="宋体"/>
                <w:szCs w:val="21"/>
                <w:highlight w:val="none"/>
              </w:rPr>
              <w:t>资产管理</w:t>
            </w:r>
          </w:p>
        </w:tc>
        <w:tc>
          <w:tcPr>
            <w:tcW w:w="4514" w:type="pct"/>
            <w:noWrap w:val="0"/>
            <w:vAlign w:val="center"/>
          </w:tcPr>
          <w:p w14:paraId="106C46D9">
            <w:pPr>
              <w:keepNext w:val="0"/>
              <w:keepLines w:val="0"/>
              <w:pageBreakBefore w:val="0"/>
              <w:kinsoku/>
              <w:wordWrap/>
              <w:overflowPunct/>
              <w:topLinePunct w:val="0"/>
              <w:autoSpaceDE/>
              <w:autoSpaceDN/>
              <w:bidi w:val="0"/>
              <w:adjustRightInd w:val="0"/>
              <w:snapToGrid w:val="0"/>
              <w:spacing w:line="240" w:lineRule="auto"/>
              <w:ind w:firstLine="420" w:firstLineChars="200"/>
              <w:jc w:val="left"/>
              <w:textAlignment w:val="auto"/>
              <w:rPr>
                <w:rFonts w:hint="eastAsia" w:ascii="宋体" w:hAnsi="宋体" w:eastAsia="宋体" w:cs="宋体"/>
                <w:szCs w:val="21"/>
                <w:highlight w:val="none"/>
              </w:rPr>
            </w:pPr>
            <w:r>
              <w:rPr>
                <w:rFonts w:hint="eastAsia" w:ascii="宋体" w:hAnsi="宋体" w:eastAsia="宋体" w:cs="宋体"/>
                <w:szCs w:val="21"/>
                <w:highlight w:val="none"/>
              </w:rPr>
              <w:t>对受托项目内在用的学校公共资产，进行清点登记、落实使用人并制作清单；妥善保管存放停用但暂未报废处理的固定资产；协助用户单位办理报废固定资产，避免占用公共空间。</w:t>
            </w:r>
          </w:p>
        </w:tc>
      </w:tr>
      <w:tr w14:paraId="538FD3B9">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485" w:type="pct"/>
            <w:tcBorders>
              <w:top w:val="single" w:color="000000" w:sz="4" w:space="0"/>
              <w:left w:val="single" w:color="000000" w:sz="4" w:space="0"/>
              <w:bottom w:val="single" w:color="000000" w:sz="4" w:space="0"/>
              <w:right w:val="single" w:color="000000" w:sz="4" w:space="0"/>
            </w:tcBorders>
            <w:noWrap w:val="0"/>
            <w:vAlign w:val="center"/>
          </w:tcPr>
          <w:p w14:paraId="5F7A7CE9">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kern w:val="0"/>
                <w:szCs w:val="21"/>
                <w:highlight w:val="none"/>
              </w:rPr>
            </w:pPr>
            <w:r>
              <w:rPr>
                <w:rFonts w:hint="eastAsia" w:ascii="宋体" w:hAnsi="宋体" w:eastAsia="宋体" w:cs="宋体"/>
                <w:szCs w:val="21"/>
                <w:highlight w:val="none"/>
              </w:rPr>
              <w:t>安全文明管理</w:t>
            </w:r>
          </w:p>
        </w:tc>
        <w:tc>
          <w:tcPr>
            <w:tcW w:w="4514" w:type="pct"/>
            <w:tcBorders>
              <w:top w:val="single" w:color="000000" w:sz="4" w:space="0"/>
              <w:bottom w:val="single" w:color="000000" w:sz="4" w:space="0"/>
            </w:tcBorders>
            <w:noWrap w:val="0"/>
            <w:vAlign w:val="center"/>
          </w:tcPr>
          <w:p w14:paraId="593691BD">
            <w:pPr>
              <w:keepNext w:val="0"/>
              <w:keepLines w:val="0"/>
              <w:pageBreakBefore w:val="0"/>
              <w:kinsoku/>
              <w:wordWrap/>
              <w:overflowPunct/>
              <w:topLinePunct w:val="0"/>
              <w:autoSpaceDE/>
              <w:autoSpaceDN/>
              <w:bidi w:val="0"/>
              <w:adjustRightInd w:val="0"/>
              <w:snapToGrid w:val="0"/>
              <w:spacing w:line="240" w:lineRule="auto"/>
              <w:ind w:firstLine="420" w:firstLineChars="200"/>
              <w:jc w:val="left"/>
              <w:textAlignment w:val="auto"/>
              <w:rPr>
                <w:rFonts w:hint="eastAsia" w:ascii="宋体" w:hAnsi="宋体" w:eastAsia="宋体" w:cs="宋体"/>
                <w:szCs w:val="21"/>
                <w:highlight w:val="none"/>
              </w:rPr>
            </w:pPr>
            <w:r>
              <w:rPr>
                <w:rFonts w:hint="eastAsia" w:ascii="宋体" w:hAnsi="宋体" w:eastAsia="宋体" w:cs="宋体"/>
                <w:szCs w:val="21"/>
                <w:highlight w:val="none"/>
              </w:rPr>
              <w:t>禁止楼宇内随意张贴、涂画，禁止私拉电线网线，禁止任何电动车、自行车进楼停放、充电；禁止任何单位和个人（包括校内师生）在楼内进行广告推销；禁止任何宠物进入楼宇。</w:t>
            </w:r>
          </w:p>
        </w:tc>
      </w:tr>
      <w:tr w14:paraId="7D903B7C">
        <w:tblPrEx>
          <w:tblBorders>
            <w:top w:val="single" w:color="000000" w:sz="4"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c>
          <w:tcPr>
            <w:tcW w:w="485" w:type="pct"/>
            <w:tcBorders>
              <w:left w:val="single" w:color="000000" w:sz="4" w:space="0"/>
              <w:right w:val="single" w:color="000000" w:sz="4" w:space="0"/>
            </w:tcBorders>
            <w:noWrap w:val="0"/>
            <w:vAlign w:val="center"/>
          </w:tcPr>
          <w:p w14:paraId="2F4D5A49">
            <w:pPr>
              <w:keepNext w:val="0"/>
              <w:keepLines w:val="0"/>
              <w:pageBreakBefore w:val="0"/>
              <w:widowControl/>
              <w:kinsoku/>
              <w:wordWrap/>
              <w:overflowPunct/>
              <w:topLinePunct w:val="0"/>
              <w:autoSpaceDE/>
              <w:autoSpaceDN/>
              <w:bidi w:val="0"/>
              <w:spacing w:line="240" w:lineRule="auto"/>
              <w:jc w:val="center"/>
              <w:textAlignment w:val="auto"/>
              <w:rPr>
                <w:rFonts w:hint="eastAsia" w:ascii="宋体" w:hAnsi="宋体" w:eastAsia="宋体" w:cs="宋体"/>
                <w:szCs w:val="21"/>
                <w:highlight w:val="none"/>
              </w:rPr>
            </w:pPr>
            <w:r>
              <w:rPr>
                <w:rFonts w:hint="eastAsia" w:ascii="宋体" w:hAnsi="宋体" w:eastAsia="宋体" w:cs="宋体"/>
                <w:szCs w:val="21"/>
                <w:highlight w:val="none"/>
              </w:rPr>
              <w:t>备用钥匙管理</w:t>
            </w:r>
          </w:p>
        </w:tc>
        <w:tc>
          <w:tcPr>
            <w:tcW w:w="4514" w:type="pct"/>
            <w:noWrap w:val="0"/>
            <w:vAlign w:val="center"/>
          </w:tcPr>
          <w:p w14:paraId="73DC6630">
            <w:pPr>
              <w:keepNext w:val="0"/>
              <w:keepLines w:val="0"/>
              <w:pageBreakBefore w:val="0"/>
              <w:kinsoku/>
              <w:wordWrap/>
              <w:overflowPunct/>
              <w:topLinePunct w:val="0"/>
              <w:autoSpaceDE/>
              <w:autoSpaceDN/>
              <w:bidi w:val="0"/>
              <w:adjustRightInd w:val="0"/>
              <w:snapToGrid w:val="0"/>
              <w:spacing w:line="240" w:lineRule="auto"/>
              <w:ind w:firstLine="420" w:firstLineChars="200"/>
              <w:jc w:val="left"/>
              <w:textAlignment w:val="auto"/>
              <w:rPr>
                <w:rFonts w:hint="eastAsia" w:ascii="宋体" w:hAnsi="宋体" w:eastAsia="宋体" w:cs="宋体"/>
                <w:szCs w:val="21"/>
                <w:highlight w:val="none"/>
              </w:rPr>
            </w:pPr>
            <w:r>
              <w:rPr>
                <w:rFonts w:hint="eastAsia" w:ascii="宋体" w:hAnsi="宋体" w:eastAsia="宋体" w:cs="宋体"/>
                <w:szCs w:val="21"/>
                <w:highlight w:val="none"/>
              </w:rPr>
              <w:t>建立受托项目备用钥匙清单，分类存放，标识清晰，借出、回收严格登记，无遗失遗漏；重点部位发生钥匙丢失，立即更换锁具。</w:t>
            </w:r>
          </w:p>
        </w:tc>
      </w:tr>
    </w:tbl>
    <w:p w14:paraId="33EB54AC">
      <w:pPr>
        <w:keepNext/>
        <w:keepLines/>
        <w:spacing w:before="260" w:after="260" w:line="276" w:lineRule="auto"/>
        <w:outlineLvl w:val="1"/>
        <w:rPr>
          <w:rFonts w:hint="eastAsia" w:ascii="宋体" w:hAnsi="宋体" w:eastAsia="宋体" w:cs="宋体"/>
          <w:b/>
          <w:bCs/>
          <w:sz w:val="24"/>
          <w:highlight w:val="none"/>
          <w:lang w:val="zh-CN"/>
        </w:rPr>
      </w:pPr>
      <w:r>
        <w:rPr>
          <w:rStyle w:val="70"/>
          <w:rFonts w:hint="eastAsia" w:ascii="宋体" w:hAnsi="宋体" w:eastAsia="宋体" w:cs="宋体"/>
          <w:bCs w:val="0"/>
          <w:sz w:val="24"/>
          <w:highlight w:val="none"/>
          <w:lang w:val="en-US"/>
        </w:rPr>
        <w:t>六</w:t>
      </w:r>
      <w:r>
        <w:rPr>
          <w:rStyle w:val="70"/>
          <w:rFonts w:hint="eastAsia" w:ascii="宋体" w:hAnsi="宋体" w:eastAsia="宋体" w:cs="宋体"/>
          <w:bCs w:val="0"/>
          <w:sz w:val="24"/>
          <w:highlight w:val="none"/>
        </w:rPr>
        <w:t>、</w:t>
      </w:r>
      <w:r>
        <w:rPr>
          <w:rFonts w:hint="eastAsia" w:ascii="宋体" w:hAnsi="宋体" w:eastAsia="宋体" w:cs="宋体"/>
          <w:b/>
          <w:bCs/>
          <w:sz w:val="24"/>
          <w:highlight w:val="none"/>
          <w:lang w:val="zh-CN"/>
        </w:rPr>
        <w:t>岗位要求</w:t>
      </w:r>
    </w:p>
    <w:p w14:paraId="3643A9B9">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人员配置须充分满足完成服务内容，保证服务质量。</w:t>
      </w:r>
    </w:p>
    <w:p w14:paraId="4C2182D9">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所配备的相关岗位（保安、水电、电梯、消防等）工作人员，必须获得相关主管部门认证的证书，均须配证并持证上岗。</w:t>
      </w:r>
    </w:p>
    <w:p w14:paraId="047D0214">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女员工18-55周岁，男员工18-60周岁（以签订入职合同时间为准），要求政治可靠，身体健康，体貌端正，无精神疾病（史），无不良行为记录。</w:t>
      </w:r>
    </w:p>
    <w:p w14:paraId="2340CA0E">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物业负责人要有相关工作经验要求，有职业资格、技能证书的优先。</w:t>
      </w:r>
    </w:p>
    <w:p w14:paraId="02C7AF1D">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夜班秩序维护员必须为男性。</w:t>
      </w:r>
    </w:p>
    <w:p w14:paraId="75E3CDC1">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项目经理、秩序维护主管、保洁主管、工程主管、消防主管、综合维修和工程技术人员、消控值班人员须均为中标人员工，由中标人为其缴纳社保；秩序维护岗位人员稳定，每年流动不得超过20%。</w:t>
      </w:r>
    </w:p>
    <w:p w14:paraId="49D1908D">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中标人可以通过专业设施设备（如保洁车、吸尘器）的使用精简人员配置、提高效率，此类设施设备自备和自行维保，必须保证使用人员具备使用资质和能力，保证采购人正常的教学科研工作不受影响，保证服务质量不下降。专业设施设备的效率与人员效率之间的替换应当有科学合理的依据。</w:t>
      </w:r>
    </w:p>
    <w:p w14:paraId="4404DC7F">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在服务期内如中标人安排的工作人员不能胜任岗位工作或有其他影响采购人声誉形象、工作开展的情形，采购人有权提出更换相关人员，中标人应当根据采购人的要求进行更换；中标人若需更换本项目的工作人员（包括项目经理、其他主要骨干团队人员）须向采购人递交申请，经批准后方可执行。</w:t>
      </w:r>
    </w:p>
    <w:p w14:paraId="62C3FE71">
      <w:pPr>
        <w:keepNext w:val="0"/>
        <w:keepLines w:val="0"/>
        <w:pageBreakBefore w:val="0"/>
        <w:widowControl w:val="0"/>
        <w:numPr>
          <w:ilvl w:val="0"/>
          <w:numId w:val="9"/>
        </w:numPr>
        <w:kinsoku/>
        <w:wordWrap/>
        <w:overflowPunct/>
        <w:topLinePunct w:val="0"/>
        <w:autoSpaceDE/>
        <w:autoSpaceDN/>
        <w:bidi w:val="0"/>
        <w:adjustRightInd/>
        <w:snapToGrid/>
        <w:ind w:left="0" w:leftChars="0" w:firstLine="480" w:firstLineChars="200"/>
        <w:textAlignment w:val="auto"/>
        <w:rPr>
          <w:rFonts w:hint="eastAsia" w:ascii="宋体" w:hAnsi="宋体" w:eastAsia="宋体" w:cs="宋体"/>
          <w:sz w:val="24"/>
          <w:highlight w:val="none"/>
        </w:rPr>
      </w:pPr>
      <w:r>
        <w:rPr>
          <w:rFonts w:hint="eastAsia" w:ascii="宋体" w:hAnsi="宋体" w:eastAsia="宋体" w:cs="宋体"/>
          <w:sz w:val="24"/>
          <w:highlight w:val="none"/>
        </w:rPr>
        <w:t>基本服务岗位设置要求（不低于此标准）：</w:t>
      </w:r>
    </w:p>
    <w:p w14:paraId="0FA42C4F">
      <w:pPr>
        <w:rPr>
          <w:rFonts w:hint="eastAsia" w:ascii="宋体" w:hAnsi="宋体" w:eastAsia="宋体" w:cs="宋体"/>
          <w:sz w:val="24"/>
          <w:highlight w:val="none"/>
        </w:rPr>
      </w:pPr>
    </w:p>
    <w:tbl>
      <w:tblPr>
        <w:tblStyle w:val="2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44"/>
        <w:gridCol w:w="1958"/>
        <w:gridCol w:w="1850"/>
        <w:gridCol w:w="1670"/>
      </w:tblGrid>
      <w:tr w14:paraId="12687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785" w:type="pct"/>
            <w:noWrap w:val="0"/>
            <w:vAlign w:val="center"/>
          </w:tcPr>
          <w:p w14:paraId="608C10F5">
            <w:pPr>
              <w:widowControl/>
              <w:jc w:val="center"/>
              <w:rPr>
                <w:rFonts w:hint="eastAsia" w:ascii="宋体" w:hAnsi="宋体" w:eastAsia="宋体" w:cs="宋体"/>
                <w:b/>
                <w:bCs/>
                <w:kern w:val="0"/>
                <w:szCs w:val="21"/>
                <w:highlight w:val="none"/>
              </w:rPr>
            </w:pPr>
            <w:r>
              <w:rPr>
                <w:rFonts w:hint="eastAsia" w:ascii="宋体" w:hAnsi="宋体" w:eastAsia="宋体" w:cs="宋体"/>
                <w:b/>
                <w:bCs/>
                <w:kern w:val="0"/>
                <w:szCs w:val="21"/>
                <w:highlight w:val="none"/>
              </w:rPr>
              <w:t>秩序维护与巡查岗位</w:t>
            </w:r>
          </w:p>
        </w:tc>
        <w:tc>
          <w:tcPr>
            <w:tcW w:w="1148" w:type="pct"/>
            <w:noWrap w:val="0"/>
            <w:vAlign w:val="center"/>
          </w:tcPr>
          <w:p w14:paraId="146D7540">
            <w:pPr>
              <w:widowControl/>
              <w:jc w:val="center"/>
              <w:rPr>
                <w:rFonts w:hint="eastAsia" w:ascii="宋体" w:hAnsi="宋体" w:eastAsia="宋体" w:cs="宋体"/>
                <w:b/>
                <w:bCs/>
                <w:kern w:val="0"/>
                <w:szCs w:val="21"/>
                <w:highlight w:val="none"/>
              </w:rPr>
            </w:pPr>
            <w:r>
              <w:rPr>
                <w:rFonts w:hint="eastAsia" w:ascii="宋体" w:hAnsi="宋体" w:eastAsia="宋体" w:cs="宋体"/>
                <w:b/>
                <w:bCs/>
                <w:kern w:val="0"/>
                <w:szCs w:val="21"/>
                <w:highlight w:val="none"/>
              </w:rPr>
              <w:t>保洁岗位</w:t>
            </w:r>
          </w:p>
        </w:tc>
        <w:tc>
          <w:tcPr>
            <w:tcW w:w="1085" w:type="pct"/>
            <w:noWrap w:val="0"/>
            <w:vAlign w:val="center"/>
          </w:tcPr>
          <w:p w14:paraId="169E6B0B">
            <w:pPr>
              <w:widowControl/>
              <w:jc w:val="center"/>
              <w:rPr>
                <w:rFonts w:hint="eastAsia" w:ascii="宋体" w:hAnsi="宋体" w:eastAsia="宋体" w:cs="宋体"/>
                <w:b/>
                <w:bCs/>
                <w:kern w:val="0"/>
                <w:szCs w:val="21"/>
                <w:highlight w:val="none"/>
              </w:rPr>
            </w:pPr>
            <w:r>
              <w:rPr>
                <w:rFonts w:hint="eastAsia" w:ascii="宋体" w:hAnsi="宋体" w:eastAsia="宋体" w:cs="宋体"/>
                <w:b/>
                <w:bCs/>
                <w:kern w:val="0"/>
                <w:szCs w:val="21"/>
                <w:highlight w:val="none"/>
              </w:rPr>
              <w:t>消防管理与巡查</w:t>
            </w:r>
          </w:p>
        </w:tc>
        <w:tc>
          <w:tcPr>
            <w:tcW w:w="979" w:type="pct"/>
            <w:noWrap w:val="0"/>
            <w:vAlign w:val="center"/>
          </w:tcPr>
          <w:p w14:paraId="6A6B8E71">
            <w:pPr>
              <w:widowControl/>
              <w:jc w:val="center"/>
              <w:rPr>
                <w:rFonts w:hint="eastAsia" w:ascii="宋体" w:hAnsi="宋体" w:eastAsia="宋体" w:cs="宋体"/>
                <w:b/>
                <w:bCs/>
                <w:kern w:val="0"/>
                <w:szCs w:val="21"/>
                <w:highlight w:val="none"/>
              </w:rPr>
            </w:pPr>
            <w:r>
              <w:rPr>
                <w:rFonts w:hint="eastAsia" w:ascii="宋体" w:hAnsi="宋体" w:eastAsia="宋体" w:cs="宋体"/>
                <w:b/>
                <w:bCs/>
                <w:kern w:val="0"/>
                <w:szCs w:val="21"/>
                <w:highlight w:val="none"/>
              </w:rPr>
              <w:t>综合技术岗位</w:t>
            </w:r>
          </w:p>
        </w:tc>
      </w:tr>
      <w:tr w14:paraId="0C5FF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trPr>
        <w:tc>
          <w:tcPr>
            <w:tcW w:w="1785" w:type="pct"/>
            <w:noWrap w:val="0"/>
            <w:vAlign w:val="center"/>
          </w:tcPr>
          <w:p w14:paraId="30B040B4">
            <w:pPr>
              <w:widowControl/>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07：00-23：00三</w:t>
            </w:r>
            <w:r>
              <w:rPr>
                <w:rFonts w:hint="eastAsia" w:ascii="宋体" w:hAnsi="宋体" w:eastAsia="宋体" w:cs="宋体"/>
                <w:kern w:val="0"/>
                <w:szCs w:val="21"/>
                <w:highlight w:val="none"/>
                <w:lang w:val="en-US" w:eastAsia="zh-CN"/>
              </w:rPr>
              <w:t>人</w:t>
            </w:r>
            <w:r>
              <w:rPr>
                <w:rFonts w:hint="eastAsia" w:ascii="宋体" w:hAnsi="宋体" w:eastAsia="宋体" w:cs="宋体"/>
                <w:kern w:val="0"/>
                <w:szCs w:val="21"/>
                <w:highlight w:val="none"/>
              </w:rPr>
              <w:t>岗</w:t>
            </w:r>
          </w:p>
          <w:p w14:paraId="60C021A6">
            <w:pPr>
              <w:widowControl/>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23：00-次日07：00单</w:t>
            </w:r>
            <w:r>
              <w:rPr>
                <w:rFonts w:hint="eastAsia" w:ascii="宋体" w:hAnsi="宋体" w:eastAsia="宋体" w:cs="宋体"/>
                <w:kern w:val="0"/>
                <w:szCs w:val="21"/>
                <w:highlight w:val="none"/>
                <w:lang w:val="en-US" w:eastAsia="zh-CN"/>
              </w:rPr>
              <w:t>人</w:t>
            </w:r>
            <w:r>
              <w:rPr>
                <w:rFonts w:hint="eastAsia" w:ascii="宋体" w:hAnsi="宋体" w:eastAsia="宋体" w:cs="宋体"/>
                <w:kern w:val="0"/>
                <w:szCs w:val="21"/>
                <w:highlight w:val="none"/>
              </w:rPr>
              <w:t>岗</w:t>
            </w:r>
          </w:p>
        </w:tc>
        <w:tc>
          <w:tcPr>
            <w:tcW w:w="1148" w:type="pct"/>
            <w:noWrap w:val="0"/>
            <w:vAlign w:val="center"/>
          </w:tcPr>
          <w:p w14:paraId="267B221E">
            <w:pPr>
              <w:widowControl/>
              <w:jc w:val="center"/>
              <w:rPr>
                <w:rFonts w:hint="default" w:ascii="宋体" w:hAnsi="宋体" w:eastAsia="宋体" w:cs="宋体"/>
                <w:highlight w:val="none"/>
                <w:lang w:val="en-US" w:eastAsia="zh-CN"/>
              </w:rPr>
            </w:pPr>
            <w:r>
              <w:rPr>
                <w:rFonts w:hint="eastAsia" w:ascii="宋体" w:hAnsi="宋体" w:eastAsia="宋体" w:cs="宋体"/>
                <w:highlight w:val="none"/>
                <w:lang w:val="en-US" w:eastAsia="zh-CN"/>
              </w:rPr>
              <w:t>本项目不设保洁岗</w:t>
            </w:r>
          </w:p>
        </w:tc>
        <w:tc>
          <w:tcPr>
            <w:tcW w:w="1085" w:type="pct"/>
            <w:noWrap/>
            <w:vAlign w:val="center"/>
          </w:tcPr>
          <w:p w14:paraId="170DA429">
            <w:pPr>
              <w:widowControl/>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24小时单岗</w:t>
            </w:r>
          </w:p>
        </w:tc>
        <w:tc>
          <w:tcPr>
            <w:tcW w:w="979" w:type="pct"/>
            <w:noWrap w:val="0"/>
            <w:vAlign w:val="center"/>
          </w:tcPr>
          <w:p w14:paraId="6DCEC72B">
            <w:pPr>
              <w:widowControl/>
              <w:jc w:val="center"/>
              <w:rPr>
                <w:rFonts w:hint="eastAsia" w:ascii="宋体" w:hAnsi="宋体" w:eastAsia="宋体" w:cs="宋体"/>
                <w:kern w:val="0"/>
                <w:szCs w:val="21"/>
                <w:highlight w:val="none"/>
              </w:rPr>
            </w:pPr>
            <w:r>
              <w:rPr>
                <w:rFonts w:hint="eastAsia" w:ascii="宋体" w:hAnsi="宋体" w:eastAsia="宋体" w:cs="宋体"/>
                <w:kern w:val="0"/>
                <w:szCs w:val="21"/>
                <w:highlight w:val="none"/>
              </w:rPr>
              <w:t>单岗</w:t>
            </w:r>
          </w:p>
        </w:tc>
      </w:tr>
    </w:tbl>
    <w:p w14:paraId="2A7E5AF7">
      <w:pPr>
        <w:pStyle w:val="25"/>
        <w:wordWrap w:val="0"/>
        <w:spacing w:line="360" w:lineRule="auto"/>
        <w:ind w:left="0" w:leftChars="0" w:firstLine="0" w:firstLineChars="0"/>
        <w:rPr>
          <w:highlight w:val="none"/>
        </w:rPr>
      </w:pPr>
      <w:bookmarkStart w:id="3" w:name="_GoBack"/>
      <w:bookmarkEnd w:id="3"/>
    </w:p>
    <w:sectPr>
      <w:footerReference r:id="rId5"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宋体">
    <w:panose1 w:val="02010600030101010101"/>
    <w:charset w:val="86"/>
    <w:family w:val="auto"/>
    <w:pitch w:val="default"/>
    <w:sig w:usb0="00000003" w:usb1="288F0000" w:usb2="0000000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TimesNewRomanPSMT">
    <w:altName w:val="Times New Roman"/>
    <w:panose1 w:val="00000000000000000000"/>
    <w:charset w:val="00"/>
    <w:family w:val="auto"/>
    <w:pitch w:val="default"/>
    <w:sig w:usb0="00000000" w:usb1="00000000" w:usb2="00000000" w:usb3="00000000" w:csb0="00040001" w:csb1="00000000"/>
  </w:font>
  <w:font w:name="Sylfaen">
    <w:panose1 w:val="010A0502050306030303"/>
    <w:charset w:val="00"/>
    <w:family w:val="roman"/>
    <w:pitch w:val="default"/>
    <w:sig w:usb0="04000687" w:usb1="00000000" w:usb2="00000000" w:usb3="00000000" w:csb0="2000009F" w:csb1="00000000"/>
  </w:font>
  <w:font w:name="MingLiU">
    <w:panose1 w:val="02020509000000000000"/>
    <w:charset w:val="88"/>
    <w:family w:val="modern"/>
    <w:pitch w:val="default"/>
    <w:sig w:usb0="A00002FF" w:usb1="28CFFCFA" w:usb2="00000016" w:usb3="00000000" w:csb0="00100001"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FB1F7D">
    <w:pPr>
      <w:pStyle w:val="16"/>
      <w:jc w:val="both"/>
      <w:rPr>
        <w:rFonts w:ascii="Arial" w:hAnsi="Arial" w:eastAsia="宋体" w:cs="Arial"/>
        <w:b/>
        <w:bCs/>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6485F57">
                          <w:pPr>
                            <w:pStyle w:val="16"/>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46485F57">
                    <w:pPr>
                      <w:pStyle w:val="16"/>
                      <w:rPr>
                        <w:rFonts w:hint="eastAsia" w:ascii="宋体" w:hAnsi="宋体" w:eastAsia="宋体" w:cs="宋体"/>
                      </w:rPr>
                    </w:pPr>
                    <w:r>
                      <w:rPr>
                        <w:rFonts w:hint="eastAsia" w:ascii="宋体" w:hAnsi="宋体" w:eastAsia="宋体" w:cs="宋体"/>
                      </w:rPr>
                      <w:t xml:space="preserve">第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358CD">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FEDEDC">
                          <w:pPr>
                            <w:pStyle w:val="16"/>
                          </w:pPr>
                          <w:r>
                            <w:t xml:space="preserve">第 </w:t>
                          </w:r>
                          <w:r>
                            <w:fldChar w:fldCharType="begin"/>
                          </w:r>
                          <w:r>
                            <w:instrText xml:space="preserve"> PAGE  \* MERGEFORMAT </w:instrText>
                          </w:r>
                          <w:r>
                            <w:fldChar w:fldCharType="separate"/>
                          </w:r>
                          <w:r>
                            <w:t>62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75FEDEDC">
                    <w:pPr>
                      <w:pStyle w:val="16"/>
                    </w:pPr>
                    <w:r>
                      <w:t xml:space="preserve">第 </w:t>
                    </w:r>
                    <w:r>
                      <w:fldChar w:fldCharType="begin"/>
                    </w:r>
                    <w:r>
                      <w:instrText xml:space="preserve"> PAGE  \* MERGEFORMAT </w:instrText>
                    </w:r>
                    <w:r>
                      <w:fldChar w:fldCharType="separate"/>
                    </w:r>
                    <w:r>
                      <w:t>62</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D9C252">
    <w:pPr>
      <w:pStyle w:val="17"/>
      <w:ind w:left="4500" w:hanging="4500" w:hangingChars="2500"/>
      <w:jc w:val="left"/>
      <w:rPr>
        <w:rFonts w:ascii="宋体" w:hAnsi="宋体" w:eastAsia="宋体"/>
      </w:rPr>
    </w:pPr>
    <w:r>
      <w:rPr>
        <w:rFonts w:hint="eastAsia" w:ascii="宋体" w:hAnsi="宋体" w:eastAsia="宋体"/>
      </w:rPr>
      <w:t>鼎信数智技术集团股份有限公司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998554"/>
    <w:multiLevelType w:val="multilevel"/>
    <w:tmpl w:val="8F998554"/>
    <w:lvl w:ilvl="0" w:tentative="0">
      <w:start w:val="1"/>
      <w:numFmt w:val="decimal"/>
      <w:suff w:val="nothing"/>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C249301D"/>
    <w:multiLevelType w:val="multilevel"/>
    <w:tmpl w:val="C249301D"/>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CE20FD34"/>
    <w:multiLevelType w:val="multilevel"/>
    <w:tmpl w:val="CE20FD34"/>
    <w:lvl w:ilvl="0" w:tentative="0">
      <w:start w:val="1"/>
      <w:numFmt w:val="decimal"/>
      <w:suff w:val="nothing"/>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D7F0ABDB"/>
    <w:multiLevelType w:val="multilevel"/>
    <w:tmpl w:val="D7F0ABDB"/>
    <w:lvl w:ilvl="0" w:tentative="0">
      <w:start w:val="1"/>
      <w:numFmt w:val="decimal"/>
      <w:suff w:val="nothing"/>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E60DD595"/>
    <w:multiLevelType w:val="multilevel"/>
    <w:tmpl w:val="E60DD595"/>
    <w:lvl w:ilvl="0" w:tentative="0">
      <w:start w:val="1"/>
      <w:numFmt w:val="decimal"/>
      <w:suff w:val="nothing"/>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F88B4AF0"/>
    <w:multiLevelType w:val="multilevel"/>
    <w:tmpl w:val="F88B4AF0"/>
    <w:lvl w:ilvl="0" w:tentative="0">
      <w:start w:val="1"/>
      <w:numFmt w:val="decimal"/>
      <w:suff w:val="nothing"/>
      <w:lvlText w:val="%1."/>
      <w:lvlJc w:val="left"/>
      <w:pPr>
        <w:ind w:left="420" w:hanging="420"/>
      </w:pPr>
    </w:lvl>
    <w:lvl w:ilvl="1" w:tentative="0">
      <w:start w:val="1"/>
      <w:numFmt w:val="decimal"/>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315ACA1F"/>
    <w:multiLevelType w:val="multilevel"/>
    <w:tmpl w:val="315ACA1F"/>
    <w:lvl w:ilvl="0" w:tentative="0">
      <w:start w:val="1"/>
      <w:numFmt w:val="decimal"/>
      <w:suff w:val="nothing"/>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375B7C78"/>
    <w:multiLevelType w:val="multilevel"/>
    <w:tmpl w:val="375B7C78"/>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8">
    <w:nsid w:val="6F75846D"/>
    <w:multiLevelType w:val="multilevel"/>
    <w:tmpl w:val="6F75846D"/>
    <w:lvl w:ilvl="0" w:tentative="0">
      <w:start w:val="1"/>
      <w:numFmt w:val="decimal"/>
      <w:suff w:val="nothing"/>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3"/>
  </w:num>
  <w:num w:numId="3">
    <w:abstractNumId w:val="6"/>
  </w:num>
  <w:num w:numId="4">
    <w:abstractNumId w:val="7"/>
  </w:num>
  <w:num w:numId="5">
    <w:abstractNumId w:val="5"/>
  </w:num>
  <w:num w:numId="6">
    <w:abstractNumId w:val="0"/>
  </w:num>
  <w:num w:numId="7">
    <w:abstractNumId w:val="8"/>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ZiMGI1ZTA4NGIxM2EyYmI4NjI4Mzk0YjFlYTk0MzYifQ=="/>
  </w:docVars>
  <w:rsids>
    <w:rsidRoot w:val="00172A27"/>
    <w:rsid w:val="0000043F"/>
    <w:rsid w:val="00002818"/>
    <w:rsid w:val="000049DA"/>
    <w:rsid w:val="000056B7"/>
    <w:rsid w:val="00011E15"/>
    <w:rsid w:val="00012A13"/>
    <w:rsid w:val="000131F7"/>
    <w:rsid w:val="00016B6C"/>
    <w:rsid w:val="00020B57"/>
    <w:rsid w:val="0002270B"/>
    <w:rsid w:val="000231F5"/>
    <w:rsid w:val="00037DBE"/>
    <w:rsid w:val="00042139"/>
    <w:rsid w:val="00042B14"/>
    <w:rsid w:val="00044F49"/>
    <w:rsid w:val="000450C3"/>
    <w:rsid w:val="00050A3F"/>
    <w:rsid w:val="000530EC"/>
    <w:rsid w:val="000544DE"/>
    <w:rsid w:val="000648D2"/>
    <w:rsid w:val="00070E0E"/>
    <w:rsid w:val="0007292E"/>
    <w:rsid w:val="0007666F"/>
    <w:rsid w:val="00076DB7"/>
    <w:rsid w:val="00080FEB"/>
    <w:rsid w:val="000868D6"/>
    <w:rsid w:val="00091FF1"/>
    <w:rsid w:val="000934C9"/>
    <w:rsid w:val="00094D41"/>
    <w:rsid w:val="00097CB9"/>
    <w:rsid w:val="000A4640"/>
    <w:rsid w:val="000A6345"/>
    <w:rsid w:val="000A6693"/>
    <w:rsid w:val="000A6B73"/>
    <w:rsid w:val="000A777C"/>
    <w:rsid w:val="000A7D94"/>
    <w:rsid w:val="000B1511"/>
    <w:rsid w:val="000B54F4"/>
    <w:rsid w:val="000C1DB1"/>
    <w:rsid w:val="000D1368"/>
    <w:rsid w:val="000D38C4"/>
    <w:rsid w:val="000D39BB"/>
    <w:rsid w:val="000D3F37"/>
    <w:rsid w:val="000D6F42"/>
    <w:rsid w:val="000D7BC3"/>
    <w:rsid w:val="000E3C74"/>
    <w:rsid w:val="000E3F9B"/>
    <w:rsid w:val="000E6689"/>
    <w:rsid w:val="000F014C"/>
    <w:rsid w:val="000F172B"/>
    <w:rsid w:val="000F2198"/>
    <w:rsid w:val="000F27EE"/>
    <w:rsid w:val="000F39B6"/>
    <w:rsid w:val="000F6B7B"/>
    <w:rsid w:val="000F7386"/>
    <w:rsid w:val="00100B0F"/>
    <w:rsid w:val="0010187C"/>
    <w:rsid w:val="001037E3"/>
    <w:rsid w:val="00104595"/>
    <w:rsid w:val="00110911"/>
    <w:rsid w:val="00112B58"/>
    <w:rsid w:val="00116A70"/>
    <w:rsid w:val="0012143A"/>
    <w:rsid w:val="001222C6"/>
    <w:rsid w:val="001363BB"/>
    <w:rsid w:val="00136D80"/>
    <w:rsid w:val="00137C00"/>
    <w:rsid w:val="00137C7C"/>
    <w:rsid w:val="00140687"/>
    <w:rsid w:val="00141707"/>
    <w:rsid w:val="001423ED"/>
    <w:rsid w:val="00146421"/>
    <w:rsid w:val="001479CF"/>
    <w:rsid w:val="00147C18"/>
    <w:rsid w:val="00147EB8"/>
    <w:rsid w:val="00155F64"/>
    <w:rsid w:val="001562EB"/>
    <w:rsid w:val="00157856"/>
    <w:rsid w:val="00160729"/>
    <w:rsid w:val="00160D83"/>
    <w:rsid w:val="0016443C"/>
    <w:rsid w:val="001644D1"/>
    <w:rsid w:val="00166ED8"/>
    <w:rsid w:val="00170C62"/>
    <w:rsid w:val="001714C9"/>
    <w:rsid w:val="00172A27"/>
    <w:rsid w:val="001751E5"/>
    <w:rsid w:val="0018119B"/>
    <w:rsid w:val="001826D0"/>
    <w:rsid w:val="00183897"/>
    <w:rsid w:val="001844AB"/>
    <w:rsid w:val="00190F1F"/>
    <w:rsid w:val="001944B8"/>
    <w:rsid w:val="00196DA3"/>
    <w:rsid w:val="00197AC4"/>
    <w:rsid w:val="001A0873"/>
    <w:rsid w:val="001A5D34"/>
    <w:rsid w:val="001A68E5"/>
    <w:rsid w:val="001B1997"/>
    <w:rsid w:val="001B21DF"/>
    <w:rsid w:val="001B2A54"/>
    <w:rsid w:val="001B5014"/>
    <w:rsid w:val="001B6D61"/>
    <w:rsid w:val="001B7327"/>
    <w:rsid w:val="001C67F2"/>
    <w:rsid w:val="001C7780"/>
    <w:rsid w:val="001D3409"/>
    <w:rsid w:val="001D53B4"/>
    <w:rsid w:val="001D6740"/>
    <w:rsid w:val="001D7626"/>
    <w:rsid w:val="001E5383"/>
    <w:rsid w:val="001F0268"/>
    <w:rsid w:val="001F28D2"/>
    <w:rsid w:val="001F2F45"/>
    <w:rsid w:val="001F3023"/>
    <w:rsid w:val="001F35F6"/>
    <w:rsid w:val="001F74CA"/>
    <w:rsid w:val="002003B6"/>
    <w:rsid w:val="00204022"/>
    <w:rsid w:val="002049B4"/>
    <w:rsid w:val="00204B5D"/>
    <w:rsid w:val="0020520B"/>
    <w:rsid w:val="00213C55"/>
    <w:rsid w:val="002163CF"/>
    <w:rsid w:val="0021678B"/>
    <w:rsid w:val="002168C4"/>
    <w:rsid w:val="002178B1"/>
    <w:rsid w:val="00222242"/>
    <w:rsid w:val="00223CF4"/>
    <w:rsid w:val="00224C4A"/>
    <w:rsid w:val="0022769B"/>
    <w:rsid w:val="00232F61"/>
    <w:rsid w:val="0023407E"/>
    <w:rsid w:val="00236F8C"/>
    <w:rsid w:val="00240B40"/>
    <w:rsid w:val="002440D8"/>
    <w:rsid w:val="00244182"/>
    <w:rsid w:val="0024517A"/>
    <w:rsid w:val="0024546E"/>
    <w:rsid w:val="00247222"/>
    <w:rsid w:val="00260B94"/>
    <w:rsid w:val="0026362D"/>
    <w:rsid w:val="00264F2E"/>
    <w:rsid w:val="00271245"/>
    <w:rsid w:val="00272E6E"/>
    <w:rsid w:val="00274A9E"/>
    <w:rsid w:val="00276292"/>
    <w:rsid w:val="00276BA1"/>
    <w:rsid w:val="00277094"/>
    <w:rsid w:val="002A0C9D"/>
    <w:rsid w:val="002A1A1D"/>
    <w:rsid w:val="002A28AD"/>
    <w:rsid w:val="002A3AEE"/>
    <w:rsid w:val="002B139F"/>
    <w:rsid w:val="002B2F5A"/>
    <w:rsid w:val="002B5318"/>
    <w:rsid w:val="002B6D27"/>
    <w:rsid w:val="002C4BA9"/>
    <w:rsid w:val="002C5968"/>
    <w:rsid w:val="002D1258"/>
    <w:rsid w:val="002D2965"/>
    <w:rsid w:val="002D3D02"/>
    <w:rsid w:val="002D4CB5"/>
    <w:rsid w:val="002D5712"/>
    <w:rsid w:val="002D684B"/>
    <w:rsid w:val="002E24F4"/>
    <w:rsid w:val="002E3B26"/>
    <w:rsid w:val="002E4AB8"/>
    <w:rsid w:val="002F092B"/>
    <w:rsid w:val="002F24DF"/>
    <w:rsid w:val="00300808"/>
    <w:rsid w:val="00307A22"/>
    <w:rsid w:val="00310070"/>
    <w:rsid w:val="003110EC"/>
    <w:rsid w:val="003149DA"/>
    <w:rsid w:val="00327C92"/>
    <w:rsid w:val="003322E9"/>
    <w:rsid w:val="00333292"/>
    <w:rsid w:val="0033368A"/>
    <w:rsid w:val="003344E7"/>
    <w:rsid w:val="0033580B"/>
    <w:rsid w:val="0033628B"/>
    <w:rsid w:val="003365E7"/>
    <w:rsid w:val="003378D5"/>
    <w:rsid w:val="00343561"/>
    <w:rsid w:val="003442BD"/>
    <w:rsid w:val="003447AE"/>
    <w:rsid w:val="003473D7"/>
    <w:rsid w:val="00351AC8"/>
    <w:rsid w:val="00353075"/>
    <w:rsid w:val="00363E02"/>
    <w:rsid w:val="00364A1E"/>
    <w:rsid w:val="00373A96"/>
    <w:rsid w:val="003826C2"/>
    <w:rsid w:val="00383728"/>
    <w:rsid w:val="00391586"/>
    <w:rsid w:val="00394128"/>
    <w:rsid w:val="003947A4"/>
    <w:rsid w:val="00395235"/>
    <w:rsid w:val="0039561A"/>
    <w:rsid w:val="00397C7D"/>
    <w:rsid w:val="003A004F"/>
    <w:rsid w:val="003A21A4"/>
    <w:rsid w:val="003A59B7"/>
    <w:rsid w:val="003B0B8E"/>
    <w:rsid w:val="003B1872"/>
    <w:rsid w:val="003B4130"/>
    <w:rsid w:val="003B67D3"/>
    <w:rsid w:val="003B715B"/>
    <w:rsid w:val="003C0237"/>
    <w:rsid w:val="003D19E1"/>
    <w:rsid w:val="003D1D14"/>
    <w:rsid w:val="003D406C"/>
    <w:rsid w:val="003D6C7C"/>
    <w:rsid w:val="003D6EFB"/>
    <w:rsid w:val="003D7472"/>
    <w:rsid w:val="003D7E52"/>
    <w:rsid w:val="003E2010"/>
    <w:rsid w:val="003E25C6"/>
    <w:rsid w:val="003F10D8"/>
    <w:rsid w:val="003F145B"/>
    <w:rsid w:val="003F721F"/>
    <w:rsid w:val="004011AA"/>
    <w:rsid w:val="00401546"/>
    <w:rsid w:val="0040202C"/>
    <w:rsid w:val="00406508"/>
    <w:rsid w:val="004075D3"/>
    <w:rsid w:val="0041456E"/>
    <w:rsid w:val="00414761"/>
    <w:rsid w:val="00414F7E"/>
    <w:rsid w:val="004163C4"/>
    <w:rsid w:val="004164F8"/>
    <w:rsid w:val="00420B7F"/>
    <w:rsid w:val="00422AAC"/>
    <w:rsid w:val="00432287"/>
    <w:rsid w:val="00433D72"/>
    <w:rsid w:val="004427B7"/>
    <w:rsid w:val="00442A3D"/>
    <w:rsid w:val="0044349F"/>
    <w:rsid w:val="00445F1F"/>
    <w:rsid w:val="00451F60"/>
    <w:rsid w:val="00452BB2"/>
    <w:rsid w:val="00454EFC"/>
    <w:rsid w:val="0045656D"/>
    <w:rsid w:val="00457087"/>
    <w:rsid w:val="00462B44"/>
    <w:rsid w:val="00462D98"/>
    <w:rsid w:val="00471F7A"/>
    <w:rsid w:val="00472A44"/>
    <w:rsid w:val="00473A89"/>
    <w:rsid w:val="00474083"/>
    <w:rsid w:val="0047419F"/>
    <w:rsid w:val="004743C0"/>
    <w:rsid w:val="00475316"/>
    <w:rsid w:val="00475899"/>
    <w:rsid w:val="00482C78"/>
    <w:rsid w:val="004874AE"/>
    <w:rsid w:val="00492F27"/>
    <w:rsid w:val="004945B4"/>
    <w:rsid w:val="00494D24"/>
    <w:rsid w:val="004951D1"/>
    <w:rsid w:val="004A27D0"/>
    <w:rsid w:val="004A4D67"/>
    <w:rsid w:val="004B2811"/>
    <w:rsid w:val="004B2D4C"/>
    <w:rsid w:val="004C36E8"/>
    <w:rsid w:val="004D0FCB"/>
    <w:rsid w:val="004D3D4B"/>
    <w:rsid w:val="004D5498"/>
    <w:rsid w:val="004D66A5"/>
    <w:rsid w:val="004D6B00"/>
    <w:rsid w:val="004E1D50"/>
    <w:rsid w:val="004F0396"/>
    <w:rsid w:val="004F115C"/>
    <w:rsid w:val="004F30FA"/>
    <w:rsid w:val="005003A4"/>
    <w:rsid w:val="00501382"/>
    <w:rsid w:val="0050265F"/>
    <w:rsid w:val="005054B9"/>
    <w:rsid w:val="00506E4F"/>
    <w:rsid w:val="00510798"/>
    <w:rsid w:val="00515F12"/>
    <w:rsid w:val="0052202B"/>
    <w:rsid w:val="00524A11"/>
    <w:rsid w:val="00526424"/>
    <w:rsid w:val="00527768"/>
    <w:rsid w:val="005327FB"/>
    <w:rsid w:val="00533FCA"/>
    <w:rsid w:val="00542D8F"/>
    <w:rsid w:val="00546D49"/>
    <w:rsid w:val="005616B5"/>
    <w:rsid w:val="005664AB"/>
    <w:rsid w:val="00582075"/>
    <w:rsid w:val="00585EB3"/>
    <w:rsid w:val="0058703D"/>
    <w:rsid w:val="0059239F"/>
    <w:rsid w:val="00592509"/>
    <w:rsid w:val="00597B15"/>
    <w:rsid w:val="005A044C"/>
    <w:rsid w:val="005A0CF1"/>
    <w:rsid w:val="005A7818"/>
    <w:rsid w:val="005B5C95"/>
    <w:rsid w:val="005B7D26"/>
    <w:rsid w:val="005D0200"/>
    <w:rsid w:val="005D3870"/>
    <w:rsid w:val="005D44EF"/>
    <w:rsid w:val="005D4814"/>
    <w:rsid w:val="005D5112"/>
    <w:rsid w:val="005F3914"/>
    <w:rsid w:val="005F3B5A"/>
    <w:rsid w:val="005F6AB4"/>
    <w:rsid w:val="00610A66"/>
    <w:rsid w:val="00613177"/>
    <w:rsid w:val="00613F7C"/>
    <w:rsid w:val="00614BF2"/>
    <w:rsid w:val="006208CB"/>
    <w:rsid w:val="00623DE2"/>
    <w:rsid w:val="00627601"/>
    <w:rsid w:val="006300D0"/>
    <w:rsid w:val="00630771"/>
    <w:rsid w:val="00632012"/>
    <w:rsid w:val="00634694"/>
    <w:rsid w:val="00634818"/>
    <w:rsid w:val="00635F9D"/>
    <w:rsid w:val="00636517"/>
    <w:rsid w:val="00637690"/>
    <w:rsid w:val="0064049F"/>
    <w:rsid w:val="00640E1E"/>
    <w:rsid w:val="0064389A"/>
    <w:rsid w:val="00645442"/>
    <w:rsid w:val="006525CD"/>
    <w:rsid w:val="00653F7F"/>
    <w:rsid w:val="00655F9D"/>
    <w:rsid w:val="006609F5"/>
    <w:rsid w:val="00662EE8"/>
    <w:rsid w:val="006630A4"/>
    <w:rsid w:val="00663813"/>
    <w:rsid w:val="00663C3B"/>
    <w:rsid w:val="00664AFD"/>
    <w:rsid w:val="00667567"/>
    <w:rsid w:val="006706CC"/>
    <w:rsid w:val="0067391A"/>
    <w:rsid w:val="00674173"/>
    <w:rsid w:val="0067535A"/>
    <w:rsid w:val="0067573D"/>
    <w:rsid w:val="0068207B"/>
    <w:rsid w:val="00683CA0"/>
    <w:rsid w:val="006905D9"/>
    <w:rsid w:val="00690DB1"/>
    <w:rsid w:val="00693404"/>
    <w:rsid w:val="006937A0"/>
    <w:rsid w:val="006953D9"/>
    <w:rsid w:val="006A1AA2"/>
    <w:rsid w:val="006B1242"/>
    <w:rsid w:val="006B1DBC"/>
    <w:rsid w:val="006B63B7"/>
    <w:rsid w:val="006B7D9A"/>
    <w:rsid w:val="006C06D9"/>
    <w:rsid w:val="006C2B83"/>
    <w:rsid w:val="006C5716"/>
    <w:rsid w:val="006C74A9"/>
    <w:rsid w:val="006D07DE"/>
    <w:rsid w:val="006D394E"/>
    <w:rsid w:val="006E06D9"/>
    <w:rsid w:val="006E1D40"/>
    <w:rsid w:val="006E2E1F"/>
    <w:rsid w:val="006F4326"/>
    <w:rsid w:val="006F5FFF"/>
    <w:rsid w:val="006F6E33"/>
    <w:rsid w:val="006F7AF3"/>
    <w:rsid w:val="007054AA"/>
    <w:rsid w:val="00705637"/>
    <w:rsid w:val="00707B8C"/>
    <w:rsid w:val="0071062C"/>
    <w:rsid w:val="00710804"/>
    <w:rsid w:val="00711FC6"/>
    <w:rsid w:val="007130B1"/>
    <w:rsid w:val="00714FCD"/>
    <w:rsid w:val="00715071"/>
    <w:rsid w:val="007161BD"/>
    <w:rsid w:val="007200D3"/>
    <w:rsid w:val="007231E9"/>
    <w:rsid w:val="00727C59"/>
    <w:rsid w:val="00734E5D"/>
    <w:rsid w:val="00736013"/>
    <w:rsid w:val="00737661"/>
    <w:rsid w:val="00741BD0"/>
    <w:rsid w:val="00746744"/>
    <w:rsid w:val="00750594"/>
    <w:rsid w:val="00755D75"/>
    <w:rsid w:val="00756245"/>
    <w:rsid w:val="00761662"/>
    <w:rsid w:val="00764043"/>
    <w:rsid w:val="00775222"/>
    <w:rsid w:val="007757CF"/>
    <w:rsid w:val="00776FFC"/>
    <w:rsid w:val="007770AF"/>
    <w:rsid w:val="0078128F"/>
    <w:rsid w:val="00782083"/>
    <w:rsid w:val="0078683C"/>
    <w:rsid w:val="00790EDB"/>
    <w:rsid w:val="00791538"/>
    <w:rsid w:val="0079326E"/>
    <w:rsid w:val="00796EDE"/>
    <w:rsid w:val="007A1ED5"/>
    <w:rsid w:val="007A27A9"/>
    <w:rsid w:val="007A5A58"/>
    <w:rsid w:val="007A6740"/>
    <w:rsid w:val="007B1C56"/>
    <w:rsid w:val="007B1C62"/>
    <w:rsid w:val="007B2A00"/>
    <w:rsid w:val="007B4996"/>
    <w:rsid w:val="007C3CD5"/>
    <w:rsid w:val="007C61EF"/>
    <w:rsid w:val="007D000A"/>
    <w:rsid w:val="007D040D"/>
    <w:rsid w:val="007D1C0D"/>
    <w:rsid w:val="007D2D23"/>
    <w:rsid w:val="007E27D6"/>
    <w:rsid w:val="007E353E"/>
    <w:rsid w:val="007E3921"/>
    <w:rsid w:val="007E7FC4"/>
    <w:rsid w:val="00801028"/>
    <w:rsid w:val="00803793"/>
    <w:rsid w:val="008047E9"/>
    <w:rsid w:val="008149FD"/>
    <w:rsid w:val="00817A01"/>
    <w:rsid w:val="00822ADF"/>
    <w:rsid w:val="00825E35"/>
    <w:rsid w:val="008334F8"/>
    <w:rsid w:val="008341AA"/>
    <w:rsid w:val="00835B7A"/>
    <w:rsid w:val="00835D8E"/>
    <w:rsid w:val="00841A53"/>
    <w:rsid w:val="00844D03"/>
    <w:rsid w:val="00847B0F"/>
    <w:rsid w:val="00851E11"/>
    <w:rsid w:val="00852111"/>
    <w:rsid w:val="00867411"/>
    <w:rsid w:val="0086781A"/>
    <w:rsid w:val="008727DB"/>
    <w:rsid w:val="00876659"/>
    <w:rsid w:val="0087734C"/>
    <w:rsid w:val="00882141"/>
    <w:rsid w:val="00883012"/>
    <w:rsid w:val="00883667"/>
    <w:rsid w:val="00883F5E"/>
    <w:rsid w:val="008922A8"/>
    <w:rsid w:val="00895BD5"/>
    <w:rsid w:val="008A16C4"/>
    <w:rsid w:val="008A6FED"/>
    <w:rsid w:val="008B39C5"/>
    <w:rsid w:val="008B51AA"/>
    <w:rsid w:val="008C67F2"/>
    <w:rsid w:val="008D064A"/>
    <w:rsid w:val="008D2B0F"/>
    <w:rsid w:val="008D7986"/>
    <w:rsid w:val="008E3265"/>
    <w:rsid w:val="008E449E"/>
    <w:rsid w:val="008F187F"/>
    <w:rsid w:val="008F402F"/>
    <w:rsid w:val="008F5022"/>
    <w:rsid w:val="008F55FA"/>
    <w:rsid w:val="008F76E8"/>
    <w:rsid w:val="008F7CD0"/>
    <w:rsid w:val="00902902"/>
    <w:rsid w:val="009078A1"/>
    <w:rsid w:val="00911E9C"/>
    <w:rsid w:val="00915083"/>
    <w:rsid w:val="00917405"/>
    <w:rsid w:val="00920F7C"/>
    <w:rsid w:val="009224DA"/>
    <w:rsid w:val="009340E2"/>
    <w:rsid w:val="00934CAE"/>
    <w:rsid w:val="0094257D"/>
    <w:rsid w:val="00942F60"/>
    <w:rsid w:val="0095467C"/>
    <w:rsid w:val="00954A61"/>
    <w:rsid w:val="00955C6F"/>
    <w:rsid w:val="009573AC"/>
    <w:rsid w:val="00963FCE"/>
    <w:rsid w:val="00966C7B"/>
    <w:rsid w:val="009701DC"/>
    <w:rsid w:val="009715D8"/>
    <w:rsid w:val="009733C7"/>
    <w:rsid w:val="00974FD8"/>
    <w:rsid w:val="00983350"/>
    <w:rsid w:val="00985C4B"/>
    <w:rsid w:val="009878B9"/>
    <w:rsid w:val="00995BF9"/>
    <w:rsid w:val="009A0CAF"/>
    <w:rsid w:val="009A1474"/>
    <w:rsid w:val="009A2207"/>
    <w:rsid w:val="009B3A5D"/>
    <w:rsid w:val="009B5CB7"/>
    <w:rsid w:val="009B6C42"/>
    <w:rsid w:val="009C528B"/>
    <w:rsid w:val="009D25F7"/>
    <w:rsid w:val="009D31F7"/>
    <w:rsid w:val="009D32C2"/>
    <w:rsid w:val="009D4D81"/>
    <w:rsid w:val="009D50DB"/>
    <w:rsid w:val="009E3A0A"/>
    <w:rsid w:val="009F3E91"/>
    <w:rsid w:val="009F4442"/>
    <w:rsid w:val="009F5CAD"/>
    <w:rsid w:val="009F65A8"/>
    <w:rsid w:val="009F6CE7"/>
    <w:rsid w:val="00A06ACD"/>
    <w:rsid w:val="00A1225F"/>
    <w:rsid w:val="00A1499B"/>
    <w:rsid w:val="00A159D6"/>
    <w:rsid w:val="00A168B4"/>
    <w:rsid w:val="00A16DA7"/>
    <w:rsid w:val="00A20879"/>
    <w:rsid w:val="00A314C2"/>
    <w:rsid w:val="00A33946"/>
    <w:rsid w:val="00A53155"/>
    <w:rsid w:val="00A555D9"/>
    <w:rsid w:val="00A61088"/>
    <w:rsid w:val="00A63E86"/>
    <w:rsid w:val="00A65A1C"/>
    <w:rsid w:val="00A757C3"/>
    <w:rsid w:val="00A75E5B"/>
    <w:rsid w:val="00A7684A"/>
    <w:rsid w:val="00A80993"/>
    <w:rsid w:val="00A82AED"/>
    <w:rsid w:val="00A83B69"/>
    <w:rsid w:val="00A86533"/>
    <w:rsid w:val="00A9176A"/>
    <w:rsid w:val="00A91CA2"/>
    <w:rsid w:val="00A92FB8"/>
    <w:rsid w:val="00A948F1"/>
    <w:rsid w:val="00AA1D7D"/>
    <w:rsid w:val="00AB139D"/>
    <w:rsid w:val="00AB2C46"/>
    <w:rsid w:val="00AB3EFB"/>
    <w:rsid w:val="00AC010B"/>
    <w:rsid w:val="00AC0B05"/>
    <w:rsid w:val="00AD079A"/>
    <w:rsid w:val="00AD1890"/>
    <w:rsid w:val="00AD3F94"/>
    <w:rsid w:val="00AE2149"/>
    <w:rsid w:val="00AE33AE"/>
    <w:rsid w:val="00AE3785"/>
    <w:rsid w:val="00AE3F91"/>
    <w:rsid w:val="00AE452F"/>
    <w:rsid w:val="00AE76E6"/>
    <w:rsid w:val="00AF07BC"/>
    <w:rsid w:val="00AF27BD"/>
    <w:rsid w:val="00AF3BEE"/>
    <w:rsid w:val="00AF5706"/>
    <w:rsid w:val="00AF76AC"/>
    <w:rsid w:val="00B039E3"/>
    <w:rsid w:val="00B043C1"/>
    <w:rsid w:val="00B16F07"/>
    <w:rsid w:val="00B22838"/>
    <w:rsid w:val="00B25D07"/>
    <w:rsid w:val="00B31CE4"/>
    <w:rsid w:val="00B32BC1"/>
    <w:rsid w:val="00B3355B"/>
    <w:rsid w:val="00B33E95"/>
    <w:rsid w:val="00B3720B"/>
    <w:rsid w:val="00B40EE3"/>
    <w:rsid w:val="00B418E8"/>
    <w:rsid w:val="00B436F2"/>
    <w:rsid w:val="00B45A00"/>
    <w:rsid w:val="00B55271"/>
    <w:rsid w:val="00B5558A"/>
    <w:rsid w:val="00B56513"/>
    <w:rsid w:val="00B56B2E"/>
    <w:rsid w:val="00B64376"/>
    <w:rsid w:val="00B7401F"/>
    <w:rsid w:val="00B806C3"/>
    <w:rsid w:val="00B80A08"/>
    <w:rsid w:val="00B80B59"/>
    <w:rsid w:val="00B84FCA"/>
    <w:rsid w:val="00B9089F"/>
    <w:rsid w:val="00B91AEE"/>
    <w:rsid w:val="00B95F5A"/>
    <w:rsid w:val="00B963CA"/>
    <w:rsid w:val="00B96EAD"/>
    <w:rsid w:val="00BA79F5"/>
    <w:rsid w:val="00BB02E8"/>
    <w:rsid w:val="00BB3AB6"/>
    <w:rsid w:val="00BB766D"/>
    <w:rsid w:val="00BC007B"/>
    <w:rsid w:val="00BC26BA"/>
    <w:rsid w:val="00BC35F8"/>
    <w:rsid w:val="00BC5A08"/>
    <w:rsid w:val="00BD3944"/>
    <w:rsid w:val="00BD40E7"/>
    <w:rsid w:val="00BD7BDF"/>
    <w:rsid w:val="00BE0C26"/>
    <w:rsid w:val="00BE57CE"/>
    <w:rsid w:val="00BE7C84"/>
    <w:rsid w:val="00BF376F"/>
    <w:rsid w:val="00BF46A6"/>
    <w:rsid w:val="00BF62CF"/>
    <w:rsid w:val="00BF6329"/>
    <w:rsid w:val="00BF73D6"/>
    <w:rsid w:val="00C01623"/>
    <w:rsid w:val="00C06545"/>
    <w:rsid w:val="00C1161C"/>
    <w:rsid w:val="00C13C13"/>
    <w:rsid w:val="00C20371"/>
    <w:rsid w:val="00C220FC"/>
    <w:rsid w:val="00C23208"/>
    <w:rsid w:val="00C24DFA"/>
    <w:rsid w:val="00C4202A"/>
    <w:rsid w:val="00C46A36"/>
    <w:rsid w:val="00C46C5C"/>
    <w:rsid w:val="00C47037"/>
    <w:rsid w:val="00C53625"/>
    <w:rsid w:val="00C602C1"/>
    <w:rsid w:val="00C63EA5"/>
    <w:rsid w:val="00C63FC0"/>
    <w:rsid w:val="00C66392"/>
    <w:rsid w:val="00C74C5E"/>
    <w:rsid w:val="00C827A2"/>
    <w:rsid w:val="00C82B69"/>
    <w:rsid w:val="00C91B28"/>
    <w:rsid w:val="00C91F3A"/>
    <w:rsid w:val="00CA06E3"/>
    <w:rsid w:val="00CA7D11"/>
    <w:rsid w:val="00CB0BD3"/>
    <w:rsid w:val="00CB5797"/>
    <w:rsid w:val="00CC1202"/>
    <w:rsid w:val="00CD09E1"/>
    <w:rsid w:val="00CD6202"/>
    <w:rsid w:val="00CE2486"/>
    <w:rsid w:val="00CE4913"/>
    <w:rsid w:val="00CE66BD"/>
    <w:rsid w:val="00CF0671"/>
    <w:rsid w:val="00CF07F1"/>
    <w:rsid w:val="00CF15B3"/>
    <w:rsid w:val="00CF2038"/>
    <w:rsid w:val="00CF44AD"/>
    <w:rsid w:val="00CF4FC0"/>
    <w:rsid w:val="00D05ED2"/>
    <w:rsid w:val="00D103DB"/>
    <w:rsid w:val="00D1072F"/>
    <w:rsid w:val="00D108A5"/>
    <w:rsid w:val="00D11DAC"/>
    <w:rsid w:val="00D14585"/>
    <w:rsid w:val="00D20EFF"/>
    <w:rsid w:val="00D30FC0"/>
    <w:rsid w:val="00D31EEA"/>
    <w:rsid w:val="00D34F0D"/>
    <w:rsid w:val="00D3516E"/>
    <w:rsid w:val="00D4064C"/>
    <w:rsid w:val="00D409F6"/>
    <w:rsid w:val="00D4457C"/>
    <w:rsid w:val="00D465F8"/>
    <w:rsid w:val="00D53ED8"/>
    <w:rsid w:val="00D5400E"/>
    <w:rsid w:val="00D60338"/>
    <w:rsid w:val="00D64857"/>
    <w:rsid w:val="00D6493A"/>
    <w:rsid w:val="00D67875"/>
    <w:rsid w:val="00D71CBD"/>
    <w:rsid w:val="00D71E86"/>
    <w:rsid w:val="00D731C6"/>
    <w:rsid w:val="00D745C5"/>
    <w:rsid w:val="00D75327"/>
    <w:rsid w:val="00D80C36"/>
    <w:rsid w:val="00D86779"/>
    <w:rsid w:val="00D86EE1"/>
    <w:rsid w:val="00D942FE"/>
    <w:rsid w:val="00D96126"/>
    <w:rsid w:val="00D96BD2"/>
    <w:rsid w:val="00DA10C6"/>
    <w:rsid w:val="00DA3822"/>
    <w:rsid w:val="00DB15E4"/>
    <w:rsid w:val="00DB4B1C"/>
    <w:rsid w:val="00DB5085"/>
    <w:rsid w:val="00DB7706"/>
    <w:rsid w:val="00DC1062"/>
    <w:rsid w:val="00DC132C"/>
    <w:rsid w:val="00DC1739"/>
    <w:rsid w:val="00DC2A4F"/>
    <w:rsid w:val="00DD36A6"/>
    <w:rsid w:val="00DD43F0"/>
    <w:rsid w:val="00DD44DE"/>
    <w:rsid w:val="00DE09AB"/>
    <w:rsid w:val="00DE4A3F"/>
    <w:rsid w:val="00DE5639"/>
    <w:rsid w:val="00DF4367"/>
    <w:rsid w:val="00DF6C1D"/>
    <w:rsid w:val="00E0574A"/>
    <w:rsid w:val="00E1243D"/>
    <w:rsid w:val="00E12742"/>
    <w:rsid w:val="00E146D4"/>
    <w:rsid w:val="00E20976"/>
    <w:rsid w:val="00E22063"/>
    <w:rsid w:val="00E22B44"/>
    <w:rsid w:val="00E255FE"/>
    <w:rsid w:val="00E30ACD"/>
    <w:rsid w:val="00E32735"/>
    <w:rsid w:val="00E337E9"/>
    <w:rsid w:val="00E42A29"/>
    <w:rsid w:val="00E42D45"/>
    <w:rsid w:val="00E5391D"/>
    <w:rsid w:val="00E66E36"/>
    <w:rsid w:val="00E702ED"/>
    <w:rsid w:val="00E709A4"/>
    <w:rsid w:val="00E73822"/>
    <w:rsid w:val="00E772DB"/>
    <w:rsid w:val="00E81230"/>
    <w:rsid w:val="00E86012"/>
    <w:rsid w:val="00E86BAB"/>
    <w:rsid w:val="00E91749"/>
    <w:rsid w:val="00E94E10"/>
    <w:rsid w:val="00E954BD"/>
    <w:rsid w:val="00E96743"/>
    <w:rsid w:val="00E96A42"/>
    <w:rsid w:val="00EA0A36"/>
    <w:rsid w:val="00EA49C5"/>
    <w:rsid w:val="00EB5027"/>
    <w:rsid w:val="00EC1836"/>
    <w:rsid w:val="00EC3990"/>
    <w:rsid w:val="00EC3EDA"/>
    <w:rsid w:val="00EC484B"/>
    <w:rsid w:val="00ED140A"/>
    <w:rsid w:val="00ED15FA"/>
    <w:rsid w:val="00EE6E9A"/>
    <w:rsid w:val="00EF0BF1"/>
    <w:rsid w:val="00EF2AC4"/>
    <w:rsid w:val="00EF397E"/>
    <w:rsid w:val="00F04602"/>
    <w:rsid w:val="00F04E04"/>
    <w:rsid w:val="00F06F68"/>
    <w:rsid w:val="00F136A5"/>
    <w:rsid w:val="00F1713B"/>
    <w:rsid w:val="00F212CB"/>
    <w:rsid w:val="00F243DB"/>
    <w:rsid w:val="00F24C2D"/>
    <w:rsid w:val="00F24F1B"/>
    <w:rsid w:val="00F27356"/>
    <w:rsid w:val="00F3018F"/>
    <w:rsid w:val="00F31609"/>
    <w:rsid w:val="00F32A81"/>
    <w:rsid w:val="00F4680A"/>
    <w:rsid w:val="00F46998"/>
    <w:rsid w:val="00F47100"/>
    <w:rsid w:val="00F5382D"/>
    <w:rsid w:val="00F53D9C"/>
    <w:rsid w:val="00F5462B"/>
    <w:rsid w:val="00F55A47"/>
    <w:rsid w:val="00F634AD"/>
    <w:rsid w:val="00F63677"/>
    <w:rsid w:val="00F72BFC"/>
    <w:rsid w:val="00F75B81"/>
    <w:rsid w:val="00F804C4"/>
    <w:rsid w:val="00F82F83"/>
    <w:rsid w:val="00F832E5"/>
    <w:rsid w:val="00F85A2E"/>
    <w:rsid w:val="00F90087"/>
    <w:rsid w:val="00F90F40"/>
    <w:rsid w:val="00F92B30"/>
    <w:rsid w:val="00F933B9"/>
    <w:rsid w:val="00F93B84"/>
    <w:rsid w:val="00F94674"/>
    <w:rsid w:val="00F94919"/>
    <w:rsid w:val="00F94A59"/>
    <w:rsid w:val="00FA25B6"/>
    <w:rsid w:val="00FA2FAF"/>
    <w:rsid w:val="00FA5CCF"/>
    <w:rsid w:val="00FA64B1"/>
    <w:rsid w:val="00FA70F3"/>
    <w:rsid w:val="00FA71CD"/>
    <w:rsid w:val="00FB0453"/>
    <w:rsid w:val="00FB0C07"/>
    <w:rsid w:val="00FB298D"/>
    <w:rsid w:val="00FC0F85"/>
    <w:rsid w:val="00FC1439"/>
    <w:rsid w:val="00FC724B"/>
    <w:rsid w:val="00FC7910"/>
    <w:rsid w:val="00FD1A52"/>
    <w:rsid w:val="00FD4DFE"/>
    <w:rsid w:val="00FE531E"/>
    <w:rsid w:val="00FE72A6"/>
    <w:rsid w:val="00FF0B24"/>
    <w:rsid w:val="00FF0DA7"/>
    <w:rsid w:val="00FF44E0"/>
    <w:rsid w:val="00FF6C72"/>
    <w:rsid w:val="011F2F39"/>
    <w:rsid w:val="01336C8A"/>
    <w:rsid w:val="01374E54"/>
    <w:rsid w:val="013C59A0"/>
    <w:rsid w:val="01527C8C"/>
    <w:rsid w:val="018067FB"/>
    <w:rsid w:val="01976AB5"/>
    <w:rsid w:val="019D48DD"/>
    <w:rsid w:val="01A944DE"/>
    <w:rsid w:val="01AC65E1"/>
    <w:rsid w:val="01AF35D1"/>
    <w:rsid w:val="01B46395"/>
    <w:rsid w:val="01BC3676"/>
    <w:rsid w:val="01D7290B"/>
    <w:rsid w:val="01E131F4"/>
    <w:rsid w:val="01ED7DBB"/>
    <w:rsid w:val="01F72DAE"/>
    <w:rsid w:val="01FD08CE"/>
    <w:rsid w:val="01FF5B1C"/>
    <w:rsid w:val="02067716"/>
    <w:rsid w:val="02463FE9"/>
    <w:rsid w:val="0257059B"/>
    <w:rsid w:val="02A734F8"/>
    <w:rsid w:val="02D2243B"/>
    <w:rsid w:val="02D57C3D"/>
    <w:rsid w:val="037759DB"/>
    <w:rsid w:val="038F4A3E"/>
    <w:rsid w:val="039931C3"/>
    <w:rsid w:val="03D25EAC"/>
    <w:rsid w:val="03E06A06"/>
    <w:rsid w:val="03E10905"/>
    <w:rsid w:val="03F7775F"/>
    <w:rsid w:val="04011721"/>
    <w:rsid w:val="042B70D8"/>
    <w:rsid w:val="04396C28"/>
    <w:rsid w:val="045B0C31"/>
    <w:rsid w:val="047A3107"/>
    <w:rsid w:val="047A7BCE"/>
    <w:rsid w:val="048C3FC4"/>
    <w:rsid w:val="04A44E01"/>
    <w:rsid w:val="04CA7527"/>
    <w:rsid w:val="04CB0B34"/>
    <w:rsid w:val="04E12D11"/>
    <w:rsid w:val="05006369"/>
    <w:rsid w:val="05107D29"/>
    <w:rsid w:val="0512621F"/>
    <w:rsid w:val="05152363"/>
    <w:rsid w:val="05426646"/>
    <w:rsid w:val="054933A7"/>
    <w:rsid w:val="054F72B7"/>
    <w:rsid w:val="05CB3411"/>
    <w:rsid w:val="05CD6CDE"/>
    <w:rsid w:val="05D30528"/>
    <w:rsid w:val="05D4629F"/>
    <w:rsid w:val="062565AF"/>
    <w:rsid w:val="062E45D2"/>
    <w:rsid w:val="063400F9"/>
    <w:rsid w:val="068774DF"/>
    <w:rsid w:val="069B7539"/>
    <w:rsid w:val="06B86512"/>
    <w:rsid w:val="06C107CD"/>
    <w:rsid w:val="06C76316"/>
    <w:rsid w:val="06DC1C59"/>
    <w:rsid w:val="07102341"/>
    <w:rsid w:val="0722647A"/>
    <w:rsid w:val="073B0006"/>
    <w:rsid w:val="07534192"/>
    <w:rsid w:val="075F0B0B"/>
    <w:rsid w:val="07872913"/>
    <w:rsid w:val="079330DC"/>
    <w:rsid w:val="07A349A1"/>
    <w:rsid w:val="07C66A72"/>
    <w:rsid w:val="07CF4038"/>
    <w:rsid w:val="07D953F5"/>
    <w:rsid w:val="080A32C2"/>
    <w:rsid w:val="085F62D4"/>
    <w:rsid w:val="088D29BC"/>
    <w:rsid w:val="088E1E23"/>
    <w:rsid w:val="08B2770C"/>
    <w:rsid w:val="08B50556"/>
    <w:rsid w:val="08D800DC"/>
    <w:rsid w:val="08DB6A0C"/>
    <w:rsid w:val="091103C5"/>
    <w:rsid w:val="094D5097"/>
    <w:rsid w:val="09527435"/>
    <w:rsid w:val="09645572"/>
    <w:rsid w:val="096B4801"/>
    <w:rsid w:val="097D251D"/>
    <w:rsid w:val="098D04EC"/>
    <w:rsid w:val="099279EF"/>
    <w:rsid w:val="09CA4BDF"/>
    <w:rsid w:val="09D44BFD"/>
    <w:rsid w:val="0A0A73CC"/>
    <w:rsid w:val="0A245762"/>
    <w:rsid w:val="0A8101C3"/>
    <w:rsid w:val="0A8E01DA"/>
    <w:rsid w:val="0A9006B6"/>
    <w:rsid w:val="0AC0494B"/>
    <w:rsid w:val="0ACE7C2C"/>
    <w:rsid w:val="0B622F66"/>
    <w:rsid w:val="0B6542B2"/>
    <w:rsid w:val="0BC32105"/>
    <w:rsid w:val="0BC34B58"/>
    <w:rsid w:val="0BC56980"/>
    <w:rsid w:val="0BE16A90"/>
    <w:rsid w:val="0BE43F91"/>
    <w:rsid w:val="0C161A76"/>
    <w:rsid w:val="0C304C4D"/>
    <w:rsid w:val="0C625CD5"/>
    <w:rsid w:val="0C76373B"/>
    <w:rsid w:val="0C815D20"/>
    <w:rsid w:val="0CAD246E"/>
    <w:rsid w:val="0CCD0AB6"/>
    <w:rsid w:val="0CE44A0A"/>
    <w:rsid w:val="0CFE7BA6"/>
    <w:rsid w:val="0D401A1B"/>
    <w:rsid w:val="0D4822D5"/>
    <w:rsid w:val="0D6F0D16"/>
    <w:rsid w:val="0D8013E6"/>
    <w:rsid w:val="0D8D25F1"/>
    <w:rsid w:val="0DB13235"/>
    <w:rsid w:val="0DC11ACF"/>
    <w:rsid w:val="0DD650FF"/>
    <w:rsid w:val="0DE10621"/>
    <w:rsid w:val="0DE528BF"/>
    <w:rsid w:val="0DF01E5A"/>
    <w:rsid w:val="0E0242C5"/>
    <w:rsid w:val="0E4378B3"/>
    <w:rsid w:val="0E480BC8"/>
    <w:rsid w:val="0E491661"/>
    <w:rsid w:val="0E535E09"/>
    <w:rsid w:val="0E5639EA"/>
    <w:rsid w:val="0E6E41AC"/>
    <w:rsid w:val="0E763583"/>
    <w:rsid w:val="0EBF1DD7"/>
    <w:rsid w:val="0ED80A7E"/>
    <w:rsid w:val="0F257597"/>
    <w:rsid w:val="0F380B0A"/>
    <w:rsid w:val="0F476AB9"/>
    <w:rsid w:val="0F730ECC"/>
    <w:rsid w:val="0F9A04FC"/>
    <w:rsid w:val="102A1392"/>
    <w:rsid w:val="1030329B"/>
    <w:rsid w:val="1043407D"/>
    <w:rsid w:val="105A5869"/>
    <w:rsid w:val="10636AEE"/>
    <w:rsid w:val="108546D4"/>
    <w:rsid w:val="10F07979"/>
    <w:rsid w:val="11121244"/>
    <w:rsid w:val="112B54AD"/>
    <w:rsid w:val="113A27F3"/>
    <w:rsid w:val="114A5C90"/>
    <w:rsid w:val="114E7D89"/>
    <w:rsid w:val="116234BE"/>
    <w:rsid w:val="11862688"/>
    <w:rsid w:val="11A63F06"/>
    <w:rsid w:val="11A962DE"/>
    <w:rsid w:val="11D656E8"/>
    <w:rsid w:val="11E27BD5"/>
    <w:rsid w:val="12173F28"/>
    <w:rsid w:val="128959F9"/>
    <w:rsid w:val="128F377D"/>
    <w:rsid w:val="12917F44"/>
    <w:rsid w:val="12CC18FE"/>
    <w:rsid w:val="13370CE3"/>
    <w:rsid w:val="13425627"/>
    <w:rsid w:val="13524EC5"/>
    <w:rsid w:val="136E3D7D"/>
    <w:rsid w:val="13CC5D99"/>
    <w:rsid w:val="142257E9"/>
    <w:rsid w:val="14293E20"/>
    <w:rsid w:val="144B52EE"/>
    <w:rsid w:val="146E6C02"/>
    <w:rsid w:val="148A09C2"/>
    <w:rsid w:val="14B02E00"/>
    <w:rsid w:val="14DF0FAE"/>
    <w:rsid w:val="14E630A8"/>
    <w:rsid w:val="14EC4228"/>
    <w:rsid w:val="14FB46BE"/>
    <w:rsid w:val="15097A8D"/>
    <w:rsid w:val="150F2E19"/>
    <w:rsid w:val="15407502"/>
    <w:rsid w:val="1542068C"/>
    <w:rsid w:val="15584A22"/>
    <w:rsid w:val="15686D5E"/>
    <w:rsid w:val="157C17F2"/>
    <w:rsid w:val="158568B3"/>
    <w:rsid w:val="15BD6FF9"/>
    <w:rsid w:val="15DD4B83"/>
    <w:rsid w:val="15DE21ED"/>
    <w:rsid w:val="16047251"/>
    <w:rsid w:val="160B7FC6"/>
    <w:rsid w:val="160C6659"/>
    <w:rsid w:val="16117F11"/>
    <w:rsid w:val="162E2871"/>
    <w:rsid w:val="16427C4D"/>
    <w:rsid w:val="16614BA8"/>
    <w:rsid w:val="16787E93"/>
    <w:rsid w:val="167C193F"/>
    <w:rsid w:val="168A7F30"/>
    <w:rsid w:val="168B27EF"/>
    <w:rsid w:val="16A6751D"/>
    <w:rsid w:val="16B30530"/>
    <w:rsid w:val="16BA0E7F"/>
    <w:rsid w:val="16C44B09"/>
    <w:rsid w:val="16C55397"/>
    <w:rsid w:val="16DD4FD0"/>
    <w:rsid w:val="16E178E4"/>
    <w:rsid w:val="16EB4478"/>
    <w:rsid w:val="16FC651F"/>
    <w:rsid w:val="170B4F0A"/>
    <w:rsid w:val="172822D1"/>
    <w:rsid w:val="17343EB7"/>
    <w:rsid w:val="17552F75"/>
    <w:rsid w:val="17573FD8"/>
    <w:rsid w:val="176C48CD"/>
    <w:rsid w:val="17967DB8"/>
    <w:rsid w:val="17C90A93"/>
    <w:rsid w:val="18180B23"/>
    <w:rsid w:val="182173B8"/>
    <w:rsid w:val="182E4A5F"/>
    <w:rsid w:val="1833286B"/>
    <w:rsid w:val="185458C2"/>
    <w:rsid w:val="18602AF1"/>
    <w:rsid w:val="1863335E"/>
    <w:rsid w:val="18A17275"/>
    <w:rsid w:val="190F698A"/>
    <w:rsid w:val="19263CD4"/>
    <w:rsid w:val="192E011F"/>
    <w:rsid w:val="199930DF"/>
    <w:rsid w:val="199A4090"/>
    <w:rsid w:val="19BC7AA2"/>
    <w:rsid w:val="19C10DC0"/>
    <w:rsid w:val="19DB4ABE"/>
    <w:rsid w:val="19DB686C"/>
    <w:rsid w:val="1A033113"/>
    <w:rsid w:val="1A432B38"/>
    <w:rsid w:val="1A5B79AD"/>
    <w:rsid w:val="1A761C15"/>
    <w:rsid w:val="1A8B7CFE"/>
    <w:rsid w:val="1A9203F9"/>
    <w:rsid w:val="1AB11059"/>
    <w:rsid w:val="1ACD60CD"/>
    <w:rsid w:val="1AE259D8"/>
    <w:rsid w:val="1AFB36BE"/>
    <w:rsid w:val="1B2F4C23"/>
    <w:rsid w:val="1B7A5C06"/>
    <w:rsid w:val="1B7D7F7E"/>
    <w:rsid w:val="1B83540D"/>
    <w:rsid w:val="1B886580"/>
    <w:rsid w:val="1B8A786E"/>
    <w:rsid w:val="1BB42CE9"/>
    <w:rsid w:val="1BC0693E"/>
    <w:rsid w:val="1BC332B6"/>
    <w:rsid w:val="1BED0625"/>
    <w:rsid w:val="1C0721E0"/>
    <w:rsid w:val="1C303F27"/>
    <w:rsid w:val="1C533032"/>
    <w:rsid w:val="1C7836EC"/>
    <w:rsid w:val="1C7A63CF"/>
    <w:rsid w:val="1C993464"/>
    <w:rsid w:val="1C9C35EB"/>
    <w:rsid w:val="1CD808D9"/>
    <w:rsid w:val="1CF45F1B"/>
    <w:rsid w:val="1D034C98"/>
    <w:rsid w:val="1D035317"/>
    <w:rsid w:val="1D2E3B5E"/>
    <w:rsid w:val="1D9A51B2"/>
    <w:rsid w:val="1DAE0412"/>
    <w:rsid w:val="1DBA0E8A"/>
    <w:rsid w:val="1DF90BDF"/>
    <w:rsid w:val="1E137711"/>
    <w:rsid w:val="1E3333DA"/>
    <w:rsid w:val="1E3E57E8"/>
    <w:rsid w:val="1E603D35"/>
    <w:rsid w:val="1E79668E"/>
    <w:rsid w:val="1E962CDF"/>
    <w:rsid w:val="1EA06FCF"/>
    <w:rsid w:val="1EB67CF4"/>
    <w:rsid w:val="1EF3164A"/>
    <w:rsid w:val="1EFE5C3C"/>
    <w:rsid w:val="1F0D7232"/>
    <w:rsid w:val="1F1811C0"/>
    <w:rsid w:val="1F2533E2"/>
    <w:rsid w:val="1F470703"/>
    <w:rsid w:val="1F58571C"/>
    <w:rsid w:val="1F59095F"/>
    <w:rsid w:val="1F6F1B37"/>
    <w:rsid w:val="1F7E347F"/>
    <w:rsid w:val="1FA157F6"/>
    <w:rsid w:val="1FC972B5"/>
    <w:rsid w:val="1FEA0EF5"/>
    <w:rsid w:val="1FEC6364"/>
    <w:rsid w:val="1FF97DD1"/>
    <w:rsid w:val="202266CD"/>
    <w:rsid w:val="2033565F"/>
    <w:rsid w:val="20466850"/>
    <w:rsid w:val="204E4380"/>
    <w:rsid w:val="20CB65E1"/>
    <w:rsid w:val="20E71C8B"/>
    <w:rsid w:val="21130FE1"/>
    <w:rsid w:val="212678E0"/>
    <w:rsid w:val="213E6F54"/>
    <w:rsid w:val="21B634AE"/>
    <w:rsid w:val="21C916A0"/>
    <w:rsid w:val="21D81213"/>
    <w:rsid w:val="21E253A6"/>
    <w:rsid w:val="22027F43"/>
    <w:rsid w:val="221130D8"/>
    <w:rsid w:val="22121D39"/>
    <w:rsid w:val="22213B6B"/>
    <w:rsid w:val="224369FF"/>
    <w:rsid w:val="224E7685"/>
    <w:rsid w:val="2253048E"/>
    <w:rsid w:val="226561E7"/>
    <w:rsid w:val="22793829"/>
    <w:rsid w:val="228C79CC"/>
    <w:rsid w:val="22A109D7"/>
    <w:rsid w:val="22BD058C"/>
    <w:rsid w:val="230C0739"/>
    <w:rsid w:val="23163D56"/>
    <w:rsid w:val="231F04A0"/>
    <w:rsid w:val="23477642"/>
    <w:rsid w:val="23646864"/>
    <w:rsid w:val="23991690"/>
    <w:rsid w:val="23D0417D"/>
    <w:rsid w:val="23D65920"/>
    <w:rsid w:val="23E6152F"/>
    <w:rsid w:val="2406098A"/>
    <w:rsid w:val="2407306E"/>
    <w:rsid w:val="2494471B"/>
    <w:rsid w:val="24B13E90"/>
    <w:rsid w:val="24BC729A"/>
    <w:rsid w:val="24C333AF"/>
    <w:rsid w:val="24E43DB3"/>
    <w:rsid w:val="250D6240"/>
    <w:rsid w:val="25284930"/>
    <w:rsid w:val="25592271"/>
    <w:rsid w:val="25730577"/>
    <w:rsid w:val="25A65A51"/>
    <w:rsid w:val="25B157FF"/>
    <w:rsid w:val="25C16481"/>
    <w:rsid w:val="25D02118"/>
    <w:rsid w:val="25D1258E"/>
    <w:rsid w:val="261C4494"/>
    <w:rsid w:val="262F0A49"/>
    <w:rsid w:val="266801E1"/>
    <w:rsid w:val="26E7030C"/>
    <w:rsid w:val="26F251F5"/>
    <w:rsid w:val="26F61189"/>
    <w:rsid w:val="26FF74B0"/>
    <w:rsid w:val="2710223D"/>
    <w:rsid w:val="27493457"/>
    <w:rsid w:val="27665B5F"/>
    <w:rsid w:val="276E64E2"/>
    <w:rsid w:val="27813258"/>
    <w:rsid w:val="27851BB8"/>
    <w:rsid w:val="27884DC3"/>
    <w:rsid w:val="27A401DD"/>
    <w:rsid w:val="27C80D5D"/>
    <w:rsid w:val="27CB4776"/>
    <w:rsid w:val="27D172E0"/>
    <w:rsid w:val="28A1297A"/>
    <w:rsid w:val="28B53A52"/>
    <w:rsid w:val="28C74F31"/>
    <w:rsid w:val="28D948BF"/>
    <w:rsid w:val="292B04CC"/>
    <w:rsid w:val="2936060A"/>
    <w:rsid w:val="29710F8A"/>
    <w:rsid w:val="29BB4E26"/>
    <w:rsid w:val="29C2572B"/>
    <w:rsid w:val="29D62BAC"/>
    <w:rsid w:val="29E87932"/>
    <w:rsid w:val="2A1E51A6"/>
    <w:rsid w:val="2A3D38E0"/>
    <w:rsid w:val="2A59051B"/>
    <w:rsid w:val="2A5C7251"/>
    <w:rsid w:val="2A6D2033"/>
    <w:rsid w:val="2A701C9E"/>
    <w:rsid w:val="2A962EE4"/>
    <w:rsid w:val="2ACD0453"/>
    <w:rsid w:val="2AF43B5E"/>
    <w:rsid w:val="2B0D0850"/>
    <w:rsid w:val="2B1240B8"/>
    <w:rsid w:val="2B8936B9"/>
    <w:rsid w:val="2BAF13B9"/>
    <w:rsid w:val="2BBA59CC"/>
    <w:rsid w:val="2BC33237"/>
    <w:rsid w:val="2BCA2644"/>
    <w:rsid w:val="2BDA23B9"/>
    <w:rsid w:val="2BE12008"/>
    <w:rsid w:val="2BF92F32"/>
    <w:rsid w:val="2C2659A2"/>
    <w:rsid w:val="2C361CE7"/>
    <w:rsid w:val="2C4320AD"/>
    <w:rsid w:val="2C4629A8"/>
    <w:rsid w:val="2C5C0A6D"/>
    <w:rsid w:val="2C845ADA"/>
    <w:rsid w:val="2D5C76E6"/>
    <w:rsid w:val="2D775239"/>
    <w:rsid w:val="2DA531F0"/>
    <w:rsid w:val="2DAD013B"/>
    <w:rsid w:val="2DB15421"/>
    <w:rsid w:val="2DB77A10"/>
    <w:rsid w:val="2DBA114A"/>
    <w:rsid w:val="2E1A0F93"/>
    <w:rsid w:val="2E425796"/>
    <w:rsid w:val="2E4668CB"/>
    <w:rsid w:val="2E5A1146"/>
    <w:rsid w:val="2E5F4F98"/>
    <w:rsid w:val="2E643568"/>
    <w:rsid w:val="2E7021F2"/>
    <w:rsid w:val="2E905A1F"/>
    <w:rsid w:val="2EAC3F22"/>
    <w:rsid w:val="2EB31B27"/>
    <w:rsid w:val="2EB81FD8"/>
    <w:rsid w:val="2EFE7D7A"/>
    <w:rsid w:val="2F335AD2"/>
    <w:rsid w:val="2F37571D"/>
    <w:rsid w:val="2F542EF1"/>
    <w:rsid w:val="2F640844"/>
    <w:rsid w:val="2F6509D0"/>
    <w:rsid w:val="2F7E2BDA"/>
    <w:rsid w:val="2F995607"/>
    <w:rsid w:val="2FB44542"/>
    <w:rsid w:val="2FDF0E93"/>
    <w:rsid w:val="2FE22F81"/>
    <w:rsid w:val="300510DF"/>
    <w:rsid w:val="30594760"/>
    <w:rsid w:val="306244E2"/>
    <w:rsid w:val="307724F7"/>
    <w:rsid w:val="30C822D8"/>
    <w:rsid w:val="30D16F3C"/>
    <w:rsid w:val="31352618"/>
    <w:rsid w:val="313C3FCF"/>
    <w:rsid w:val="314941A3"/>
    <w:rsid w:val="3167717F"/>
    <w:rsid w:val="31726C5C"/>
    <w:rsid w:val="319E422D"/>
    <w:rsid w:val="31AE3364"/>
    <w:rsid w:val="31CB028E"/>
    <w:rsid w:val="31F82A48"/>
    <w:rsid w:val="321351BB"/>
    <w:rsid w:val="3218123E"/>
    <w:rsid w:val="324B2C6B"/>
    <w:rsid w:val="327515D8"/>
    <w:rsid w:val="32805DAB"/>
    <w:rsid w:val="32826625"/>
    <w:rsid w:val="328E04C8"/>
    <w:rsid w:val="32B545C0"/>
    <w:rsid w:val="32C10AC4"/>
    <w:rsid w:val="332848FF"/>
    <w:rsid w:val="33297BCB"/>
    <w:rsid w:val="33321A93"/>
    <w:rsid w:val="33377562"/>
    <w:rsid w:val="333A41B1"/>
    <w:rsid w:val="33415A71"/>
    <w:rsid w:val="33814F8D"/>
    <w:rsid w:val="338266BF"/>
    <w:rsid w:val="339A169D"/>
    <w:rsid w:val="33A221DE"/>
    <w:rsid w:val="33C278A7"/>
    <w:rsid w:val="33CB02F8"/>
    <w:rsid w:val="33EF535B"/>
    <w:rsid w:val="33F81754"/>
    <w:rsid w:val="34037804"/>
    <w:rsid w:val="343028E3"/>
    <w:rsid w:val="34BE0C27"/>
    <w:rsid w:val="34CE4C2F"/>
    <w:rsid w:val="35085D0E"/>
    <w:rsid w:val="3511441F"/>
    <w:rsid w:val="353454A4"/>
    <w:rsid w:val="35470F7B"/>
    <w:rsid w:val="355D6CD6"/>
    <w:rsid w:val="355E07BC"/>
    <w:rsid w:val="358C2BA3"/>
    <w:rsid w:val="35942299"/>
    <w:rsid w:val="35B2243F"/>
    <w:rsid w:val="35B83BFA"/>
    <w:rsid w:val="35E056BD"/>
    <w:rsid w:val="36203B2D"/>
    <w:rsid w:val="3621338F"/>
    <w:rsid w:val="36A503DA"/>
    <w:rsid w:val="36A8544C"/>
    <w:rsid w:val="36AA79AE"/>
    <w:rsid w:val="36D81774"/>
    <w:rsid w:val="36EE262B"/>
    <w:rsid w:val="370110E3"/>
    <w:rsid w:val="37445638"/>
    <w:rsid w:val="376827BB"/>
    <w:rsid w:val="378164E8"/>
    <w:rsid w:val="37954294"/>
    <w:rsid w:val="37B207B5"/>
    <w:rsid w:val="37D2180A"/>
    <w:rsid w:val="37D27670"/>
    <w:rsid w:val="37DD6E81"/>
    <w:rsid w:val="37DF37FA"/>
    <w:rsid w:val="385B4285"/>
    <w:rsid w:val="385C1ABE"/>
    <w:rsid w:val="386E18A2"/>
    <w:rsid w:val="388F4FB6"/>
    <w:rsid w:val="38AA2C13"/>
    <w:rsid w:val="38AC6C67"/>
    <w:rsid w:val="38B64307"/>
    <w:rsid w:val="38C31804"/>
    <w:rsid w:val="38F52E00"/>
    <w:rsid w:val="38F54312"/>
    <w:rsid w:val="394A4673"/>
    <w:rsid w:val="3953526F"/>
    <w:rsid w:val="3957382B"/>
    <w:rsid w:val="395C1201"/>
    <w:rsid w:val="397C2DC6"/>
    <w:rsid w:val="39D63BC2"/>
    <w:rsid w:val="39E777CC"/>
    <w:rsid w:val="3A2C4435"/>
    <w:rsid w:val="3A586A71"/>
    <w:rsid w:val="3A751F6D"/>
    <w:rsid w:val="3A7C5134"/>
    <w:rsid w:val="3A942A4A"/>
    <w:rsid w:val="3AA32FD6"/>
    <w:rsid w:val="3AB065F2"/>
    <w:rsid w:val="3AEA1AC3"/>
    <w:rsid w:val="3B02137B"/>
    <w:rsid w:val="3B123DD8"/>
    <w:rsid w:val="3B1E4680"/>
    <w:rsid w:val="3B5D455C"/>
    <w:rsid w:val="3B611E21"/>
    <w:rsid w:val="3B6459AA"/>
    <w:rsid w:val="3B722C48"/>
    <w:rsid w:val="3B800CD9"/>
    <w:rsid w:val="3B9062F7"/>
    <w:rsid w:val="3BC0244C"/>
    <w:rsid w:val="3BC40C24"/>
    <w:rsid w:val="3BE81CC2"/>
    <w:rsid w:val="3C5C2122"/>
    <w:rsid w:val="3C5F2ED5"/>
    <w:rsid w:val="3C86556E"/>
    <w:rsid w:val="3CAF5C0A"/>
    <w:rsid w:val="3CBA77DB"/>
    <w:rsid w:val="3CF3447E"/>
    <w:rsid w:val="3CFC0724"/>
    <w:rsid w:val="3D3251B2"/>
    <w:rsid w:val="3D475F4B"/>
    <w:rsid w:val="3D492D8D"/>
    <w:rsid w:val="3D6651F6"/>
    <w:rsid w:val="3D7D23D6"/>
    <w:rsid w:val="3D845873"/>
    <w:rsid w:val="3D864B32"/>
    <w:rsid w:val="3D864DFE"/>
    <w:rsid w:val="3D8B325F"/>
    <w:rsid w:val="3D8C4CDC"/>
    <w:rsid w:val="3DB93349"/>
    <w:rsid w:val="3DC154B7"/>
    <w:rsid w:val="3DD451E3"/>
    <w:rsid w:val="3DE637F5"/>
    <w:rsid w:val="3E2B7513"/>
    <w:rsid w:val="3E3E0791"/>
    <w:rsid w:val="3E574395"/>
    <w:rsid w:val="3E7A040C"/>
    <w:rsid w:val="3E8968BF"/>
    <w:rsid w:val="3EAF39F9"/>
    <w:rsid w:val="3EB33728"/>
    <w:rsid w:val="3EE44315"/>
    <w:rsid w:val="3EF814B4"/>
    <w:rsid w:val="3F1E573F"/>
    <w:rsid w:val="3F2F2876"/>
    <w:rsid w:val="3F367F1D"/>
    <w:rsid w:val="3F7C1A35"/>
    <w:rsid w:val="3F840C96"/>
    <w:rsid w:val="3F876C14"/>
    <w:rsid w:val="3FA2527C"/>
    <w:rsid w:val="3FA357B9"/>
    <w:rsid w:val="3FAA4467"/>
    <w:rsid w:val="3FC56ADF"/>
    <w:rsid w:val="3FDC0783"/>
    <w:rsid w:val="40064A19"/>
    <w:rsid w:val="40A22E39"/>
    <w:rsid w:val="40F3031D"/>
    <w:rsid w:val="412874F2"/>
    <w:rsid w:val="417B0AEA"/>
    <w:rsid w:val="41B4145D"/>
    <w:rsid w:val="41D50910"/>
    <w:rsid w:val="41FC1DBC"/>
    <w:rsid w:val="422E53AC"/>
    <w:rsid w:val="42407911"/>
    <w:rsid w:val="428A1284"/>
    <w:rsid w:val="42F83EEA"/>
    <w:rsid w:val="430374C6"/>
    <w:rsid w:val="43115475"/>
    <w:rsid w:val="43334BED"/>
    <w:rsid w:val="43432C09"/>
    <w:rsid w:val="43771229"/>
    <w:rsid w:val="43826458"/>
    <w:rsid w:val="43882D11"/>
    <w:rsid w:val="43A33325"/>
    <w:rsid w:val="43B806A1"/>
    <w:rsid w:val="43BE4D17"/>
    <w:rsid w:val="43F32C97"/>
    <w:rsid w:val="43F9146D"/>
    <w:rsid w:val="440B4FC8"/>
    <w:rsid w:val="444E6FA5"/>
    <w:rsid w:val="44563951"/>
    <w:rsid w:val="44755900"/>
    <w:rsid w:val="4496304A"/>
    <w:rsid w:val="449810E8"/>
    <w:rsid w:val="44AE6655"/>
    <w:rsid w:val="454C00BB"/>
    <w:rsid w:val="457C0654"/>
    <w:rsid w:val="459E678D"/>
    <w:rsid w:val="45CA4C26"/>
    <w:rsid w:val="45EB5F8A"/>
    <w:rsid w:val="46186DF0"/>
    <w:rsid w:val="461D69D9"/>
    <w:rsid w:val="461D7C5F"/>
    <w:rsid w:val="462920C6"/>
    <w:rsid w:val="46297483"/>
    <w:rsid w:val="462A180E"/>
    <w:rsid w:val="464048B3"/>
    <w:rsid w:val="46AA452D"/>
    <w:rsid w:val="46C529B5"/>
    <w:rsid w:val="46D045E9"/>
    <w:rsid w:val="46F36F86"/>
    <w:rsid w:val="46F51CFE"/>
    <w:rsid w:val="46FE5345"/>
    <w:rsid w:val="47077EB7"/>
    <w:rsid w:val="473C166C"/>
    <w:rsid w:val="47441276"/>
    <w:rsid w:val="474C7367"/>
    <w:rsid w:val="475E7B80"/>
    <w:rsid w:val="47794B25"/>
    <w:rsid w:val="47D46D28"/>
    <w:rsid w:val="47EF4E0A"/>
    <w:rsid w:val="482703AC"/>
    <w:rsid w:val="48390A7E"/>
    <w:rsid w:val="487171B8"/>
    <w:rsid w:val="48971D34"/>
    <w:rsid w:val="489E63DD"/>
    <w:rsid w:val="48B936F4"/>
    <w:rsid w:val="48E64762"/>
    <w:rsid w:val="48EE0050"/>
    <w:rsid w:val="48F54A16"/>
    <w:rsid w:val="48F63655"/>
    <w:rsid w:val="4916482E"/>
    <w:rsid w:val="491C61D7"/>
    <w:rsid w:val="491E0C33"/>
    <w:rsid w:val="491F09FD"/>
    <w:rsid w:val="49215598"/>
    <w:rsid w:val="49241892"/>
    <w:rsid w:val="49441489"/>
    <w:rsid w:val="49477898"/>
    <w:rsid w:val="49532F37"/>
    <w:rsid w:val="49B1134D"/>
    <w:rsid w:val="49BE390F"/>
    <w:rsid w:val="49C20D29"/>
    <w:rsid w:val="49D655F0"/>
    <w:rsid w:val="4A1C29A9"/>
    <w:rsid w:val="4A376852"/>
    <w:rsid w:val="4A51016F"/>
    <w:rsid w:val="4AA8171D"/>
    <w:rsid w:val="4AA85A47"/>
    <w:rsid w:val="4ADF6F8E"/>
    <w:rsid w:val="4AF43B29"/>
    <w:rsid w:val="4AF57F71"/>
    <w:rsid w:val="4AFE0B1B"/>
    <w:rsid w:val="4B2523B9"/>
    <w:rsid w:val="4B6214CC"/>
    <w:rsid w:val="4B736432"/>
    <w:rsid w:val="4B8137BE"/>
    <w:rsid w:val="4B86222C"/>
    <w:rsid w:val="4B960E56"/>
    <w:rsid w:val="4BBC74F0"/>
    <w:rsid w:val="4BC51723"/>
    <w:rsid w:val="4BD258F2"/>
    <w:rsid w:val="4BD64B17"/>
    <w:rsid w:val="4C3C1AD4"/>
    <w:rsid w:val="4C4D1CEF"/>
    <w:rsid w:val="4CA50490"/>
    <w:rsid w:val="4CAC68E5"/>
    <w:rsid w:val="4CBA24BF"/>
    <w:rsid w:val="4CC01F6A"/>
    <w:rsid w:val="4CCC66A5"/>
    <w:rsid w:val="4CD15D1B"/>
    <w:rsid w:val="4CD77387"/>
    <w:rsid w:val="4CEA0599"/>
    <w:rsid w:val="4D293C11"/>
    <w:rsid w:val="4D2B6B0B"/>
    <w:rsid w:val="4D6112C8"/>
    <w:rsid w:val="4D663FDA"/>
    <w:rsid w:val="4D7240AF"/>
    <w:rsid w:val="4D930C30"/>
    <w:rsid w:val="4D97427D"/>
    <w:rsid w:val="4DBD17E6"/>
    <w:rsid w:val="4DD50D02"/>
    <w:rsid w:val="4DD95A7F"/>
    <w:rsid w:val="4DF87ADA"/>
    <w:rsid w:val="4E4241EE"/>
    <w:rsid w:val="4E5D75D5"/>
    <w:rsid w:val="4E6C68C9"/>
    <w:rsid w:val="4EE80B08"/>
    <w:rsid w:val="4F1C2E2D"/>
    <w:rsid w:val="4F7968F0"/>
    <w:rsid w:val="4F8C0F11"/>
    <w:rsid w:val="4F97214F"/>
    <w:rsid w:val="4FD97513"/>
    <w:rsid w:val="50020EF3"/>
    <w:rsid w:val="500D2FCF"/>
    <w:rsid w:val="502E465E"/>
    <w:rsid w:val="505F4DFA"/>
    <w:rsid w:val="506A2AFE"/>
    <w:rsid w:val="506D2881"/>
    <w:rsid w:val="507A4D64"/>
    <w:rsid w:val="50892F6A"/>
    <w:rsid w:val="50954286"/>
    <w:rsid w:val="50E421A7"/>
    <w:rsid w:val="50F52226"/>
    <w:rsid w:val="514A62BA"/>
    <w:rsid w:val="515A56CD"/>
    <w:rsid w:val="52067C23"/>
    <w:rsid w:val="523231D2"/>
    <w:rsid w:val="52515DBC"/>
    <w:rsid w:val="52577FBC"/>
    <w:rsid w:val="526831E0"/>
    <w:rsid w:val="526B4D1C"/>
    <w:rsid w:val="528B357C"/>
    <w:rsid w:val="52A852A9"/>
    <w:rsid w:val="52AC7155"/>
    <w:rsid w:val="52C03B00"/>
    <w:rsid w:val="52DE64B1"/>
    <w:rsid w:val="52E02B54"/>
    <w:rsid w:val="52F63BB6"/>
    <w:rsid w:val="52FE09B4"/>
    <w:rsid w:val="53392712"/>
    <w:rsid w:val="5346560A"/>
    <w:rsid w:val="53491883"/>
    <w:rsid w:val="536224E0"/>
    <w:rsid w:val="537577FD"/>
    <w:rsid w:val="53781723"/>
    <w:rsid w:val="53862387"/>
    <w:rsid w:val="53894515"/>
    <w:rsid w:val="53A46600"/>
    <w:rsid w:val="53B33B50"/>
    <w:rsid w:val="54131B75"/>
    <w:rsid w:val="54B64B28"/>
    <w:rsid w:val="54C56319"/>
    <w:rsid w:val="55825EE2"/>
    <w:rsid w:val="55A34F00"/>
    <w:rsid w:val="55A92818"/>
    <w:rsid w:val="55B76209"/>
    <w:rsid w:val="55F10BEA"/>
    <w:rsid w:val="561F2B3F"/>
    <w:rsid w:val="563D4B51"/>
    <w:rsid w:val="566A584A"/>
    <w:rsid w:val="5675066C"/>
    <w:rsid w:val="569E2560"/>
    <w:rsid w:val="56B72B57"/>
    <w:rsid w:val="56BD3C46"/>
    <w:rsid w:val="56EA37C9"/>
    <w:rsid w:val="56F340E4"/>
    <w:rsid w:val="57077EE6"/>
    <w:rsid w:val="573214BA"/>
    <w:rsid w:val="573317A8"/>
    <w:rsid w:val="5765363E"/>
    <w:rsid w:val="576F648D"/>
    <w:rsid w:val="57735397"/>
    <w:rsid w:val="57741D82"/>
    <w:rsid w:val="57894A90"/>
    <w:rsid w:val="57B53942"/>
    <w:rsid w:val="57BC36B3"/>
    <w:rsid w:val="57C327BE"/>
    <w:rsid w:val="57C93BCD"/>
    <w:rsid w:val="57F57F8A"/>
    <w:rsid w:val="581E7520"/>
    <w:rsid w:val="582165A1"/>
    <w:rsid w:val="583A1E0E"/>
    <w:rsid w:val="583B2E8B"/>
    <w:rsid w:val="584B64EC"/>
    <w:rsid w:val="5852108B"/>
    <w:rsid w:val="58576027"/>
    <w:rsid w:val="586620C8"/>
    <w:rsid w:val="58712E45"/>
    <w:rsid w:val="58765C5B"/>
    <w:rsid w:val="58AD4AF5"/>
    <w:rsid w:val="58CD2D0A"/>
    <w:rsid w:val="58D906CC"/>
    <w:rsid w:val="58DD7FD9"/>
    <w:rsid w:val="58F86605"/>
    <w:rsid w:val="58FC2A8C"/>
    <w:rsid w:val="58FF53CC"/>
    <w:rsid w:val="591D1D9A"/>
    <w:rsid w:val="5960230F"/>
    <w:rsid w:val="59820DB0"/>
    <w:rsid w:val="59B11045"/>
    <w:rsid w:val="59B817D3"/>
    <w:rsid w:val="59D50233"/>
    <w:rsid w:val="59E35308"/>
    <w:rsid w:val="59F736C2"/>
    <w:rsid w:val="59F91D9F"/>
    <w:rsid w:val="5A082717"/>
    <w:rsid w:val="5A086CF3"/>
    <w:rsid w:val="5A465C32"/>
    <w:rsid w:val="5A510527"/>
    <w:rsid w:val="5A5E5B30"/>
    <w:rsid w:val="5AAC11F7"/>
    <w:rsid w:val="5AB6785F"/>
    <w:rsid w:val="5AD44F78"/>
    <w:rsid w:val="5AD47E10"/>
    <w:rsid w:val="5AED7BD2"/>
    <w:rsid w:val="5B02320C"/>
    <w:rsid w:val="5B255422"/>
    <w:rsid w:val="5B4D3DF5"/>
    <w:rsid w:val="5B4D6AD9"/>
    <w:rsid w:val="5B607A28"/>
    <w:rsid w:val="5B751975"/>
    <w:rsid w:val="5B9279DD"/>
    <w:rsid w:val="5BA45EDC"/>
    <w:rsid w:val="5BAC082D"/>
    <w:rsid w:val="5BBB00A3"/>
    <w:rsid w:val="5BC11016"/>
    <w:rsid w:val="5BC934AE"/>
    <w:rsid w:val="5BF827B7"/>
    <w:rsid w:val="5C4331E5"/>
    <w:rsid w:val="5C68633F"/>
    <w:rsid w:val="5C806B2A"/>
    <w:rsid w:val="5C8E458C"/>
    <w:rsid w:val="5CB928D8"/>
    <w:rsid w:val="5CF1327E"/>
    <w:rsid w:val="5D096819"/>
    <w:rsid w:val="5D350EAB"/>
    <w:rsid w:val="5D4B0128"/>
    <w:rsid w:val="5D64556E"/>
    <w:rsid w:val="5D951E96"/>
    <w:rsid w:val="5DE970D7"/>
    <w:rsid w:val="5DEA685D"/>
    <w:rsid w:val="5DF866B7"/>
    <w:rsid w:val="5E084D23"/>
    <w:rsid w:val="5E181628"/>
    <w:rsid w:val="5E230800"/>
    <w:rsid w:val="5E3B5AF0"/>
    <w:rsid w:val="5E3E0745"/>
    <w:rsid w:val="5E58341B"/>
    <w:rsid w:val="5E7F650D"/>
    <w:rsid w:val="5E8C2442"/>
    <w:rsid w:val="5ECE29A1"/>
    <w:rsid w:val="5F201887"/>
    <w:rsid w:val="5F3729F1"/>
    <w:rsid w:val="5FA6729F"/>
    <w:rsid w:val="5FF47D19"/>
    <w:rsid w:val="6007124D"/>
    <w:rsid w:val="6011486E"/>
    <w:rsid w:val="603A11F0"/>
    <w:rsid w:val="60496E03"/>
    <w:rsid w:val="604C110A"/>
    <w:rsid w:val="607B0343"/>
    <w:rsid w:val="60811D6D"/>
    <w:rsid w:val="60B116A4"/>
    <w:rsid w:val="60BF5B6D"/>
    <w:rsid w:val="60ED5FBB"/>
    <w:rsid w:val="61180C57"/>
    <w:rsid w:val="6147779B"/>
    <w:rsid w:val="6158098F"/>
    <w:rsid w:val="615904FD"/>
    <w:rsid w:val="615A6FF1"/>
    <w:rsid w:val="616956FF"/>
    <w:rsid w:val="6172208A"/>
    <w:rsid w:val="619C1D31"/>
    <w:rsid w:val="61CE00E6"/>
    <w:rsid w:val="61DC3879"/>
    <w:rsid w:val="62015F78"/>
    <w:rsid w:val="62286012"/>
    <w:rsid w:val="62F30779"/>
    <w:rsid w:val="62FE72EA"/>
    <w:rsid w:val="630A6E47"/>
    <w:rsid w:val="631D12A7"/>
    <w:rsid w:val="633F2F95"/>
    <w:rsid w:val="6345175E"/>
    <w:rsid w:val="63511CAC"/>
    <w:rsid w:val="635614A3"/>
    <w:rsid w:val="6360236C"/>
    <w:rsid w:val="63690839"/>
    <w:rsid w:val="637F1CD3"/>
    <w:rsid w:val="638C67AD"/>
    <w:rsid w:val="63C75138"/>
    <w:rsid w:val="64195594"/>
    <w:rsid w:val="642167B4"/>
    <w:rsid w:val="6424218B"/>
    <w:rsid w:val="64577BD4"/>
    <w:rsid w:val="64701BF0"/>
    <w:rsid w:val="649B0090"/>
    <w:rsid w:val="64CC0566"/>
    <w:rsid w:val="64CD1105"/>
    <w:rsid w:val="64CD62A5"/>
    <w:rsid w:val="64E738E4"/>
    <w:rsid w:val="654079E2"/>
    <w:rsid w:val="654C5E4D"/>
    <w:rsid w:val="657D778E"/>
    <w:rsid w:val="65936255"/>
    <w:rsid w:val="65995AF2"/>
    <w:rsid w:val="65A02E86"/>
    <w:rsid w:val="65E9543A"/>
    <w:rsid w:val="66005C9D"/>
    <w:rsid w:val="66027123"/>
    <w:rsid w:val="664571D6"/>
    <w:rsid w:val="664A1D3F"/>
    <w:rsid w:val="667D71DE"/>
    <w:rsid w:val="668B1EA9"/>
    <w:rsid w:val="66950DE9"/>
    <w:rsid w:val="669B13D7"/>
    <w:rsid w:val="66D3500A"/>
    <w:rsid w:val="66D97F8E"/>
    <w:rsid w:val="66DE3AB8"/>
    <w:rsid w:val="66F334D3"/>
    <w:rsid w:val="66F97647"/>
    <w:rsid w:val="66FD28DF"/>
    <w:rsid w:val="670A0A13"/>
    <w:rsid w:val="6719038C"/>
    <w:rsid w:val="671A4C04"/>
    <w:rsid w:val="67735EE3"/>
    <w:rsid w:val="67A62304"/>
    <w:rsid w:val="67E03507"/>
    <w:rsid w:val="67EC408F"/>
    <w:rsid w:val="683406DE"/>
    <w:rsid w:val="68C462F1"/>
    <w:rsid w:val="68CA50AF"/>
    <w:rsid w:val="68E11616"/>
    <w:rsid w:val="68EC49A5"/>
    <w:rsid w:val="69011C68"/>
    <w:rsid w:val="6911000F"/>
    <w:rsid w:val="6A043D3E"/>
    <w:rsid w:val="6AE17E57"/>
    <w:rsid w:val="6AF16521"/>
    <w:rsid w:val="6AF65B34"/>
    <w:rsid w:val="6AFE1016"/>
    <w:rsid w:val="6AFF6083"/>
    <w:rsid w:val="6B2C3675"/>
    <w:rsid w:val="6B33506F"/>
    <w:rsid w:val="6B6063C9"/>
    <w:rsid w:val="6B650E43"/>
    <w:rsid w:val="6B7F1AF5"/>
    <w:rsid w:val="6BDA2A67"/>
    <w:rsid w:val="6BE36608"/>
    <w:rsid w:val="6BED679D"/>
    <w:rsid w:val="6BF20707"/>
    <w:rsid w:val="6BF54B38"/>
    <w:rsid w:val="6BF6299B"/>
    <w:rsid w:val="6C0F508E"/>
    <w:rsid w:val="6C1E1291"/>
    <w:rsid w:val="6C1F1BB5"/>
    <w:rsid w:val="6C554ADB"/>
    <w:rsid w:val="6C5B504A"/>
    <w:rsid w:val="6C6169ED"/>
    <w:rsid w:val="6C7A2CB5"/>
    <w:rsid w:val="6CA13C29"/>
    <w:rsid w:val="6CB65AF8"/>
    <w:rsid w:val="6CC17256"/>
    <w:rsid w:val="6CCD6419"/>
    <w:rsid w:val="6CDC1854"/>
    <w:rsid w:val="6D140FEE"/>
    <w:rsid w:val="6D32132E"/>
    <w:rsid w:val="6D3731A5"/>
    <w:rsid w:val="6D4735BF"/>
    <w:rsid w:val="6D6A78D9"/>
    <w:rsid w:val="6D726F15"/>
    <w:rsid w:val="6D9D11D0"/>
    <w:rsid w:val="6DFE19FC"/>
    <w:rsid w:val="6E023C8A"/>
    <w:rsid w:val="6E191E4C"/>
    <w:rsid w:val="6E1B3196"/>
    <w:rsid w:val="6E22598D"/>
    <w:rsid w:val="6E2802B7"/>
    <w:rsid w:val="6E3561DC"/>
    <w:rsid w:val="6E4422F6"/>
    <w:rsid w:val="6E973E91"/>
    <w:rsid w:val="6ED177DA"/>
    <w:rsid w:val="6EED067D"/>
    <w:rsid w:val="6EF068DA"/>
    <w:rsid w:val="6F0E4F7A"/>
    <w:rsid w:val="6F1E12D7"/>
    <w:rsid w:val="6F2E3471"/>
    <w:rsid w:val="6FB554C2"/>
    <w:rsid w:val="6FC31F19"/>
    <w:rsid w:val="6FC32CD4"/>
    <w:rsid w:val="708B091E"/>
    <w:rsid w:val="70A82328"/>
    <w:rsid w:val="70AB424A"/>
    <w:rsid w:val="70B34FB0"/>
    <w:rsid w:val="70D746AC"/>
    <w:rsid w:val="70EB6288"/>
    <w:rsid w:val="711616A4"/>
    <w:rsid w:val="71283721"/>
    <w:rsid w:val="715D6BA0"/>
    <w:rsid w:val="716067B0"/>
    <w:rsid w:val="7188169E"/>
    <w:rsid w:val="719C1C26"/>
    <w:rsid w:val="71A07640"/>
    <w:rsid w:val="71D427FF"/>
    <w:rsid w:val="71FF0628"/>
    <w:rsid w:val="720B42D9"/>
    <w:rsid w:val="72570D93"/>
    <w:rsid w:val="725D1030"/>
    <w:rsid w:val="727147ED"/>
    <w:rsid w:val="72832582"/>
    <w:rsid w:val="729E49EA"/>
    <w:rsid w:val="72AC7F1B"/>
    <w:rsid w:val="72B7141E"/>
    <w:rsid w:val="72BB0A17"/>
    <w:rsid w:val="72C81C90"/>
    <w:rsid w:val="72CB65F3"/>
    <w:rsid w:val="72DA017D"/>
    <w:rsid w:val="72FD6249"/>
    <w:rsid w:val="72FE0A87"/>
    <w:rsid w:val="732706F9"/>
    <w:rsid w:val="732914DC"/>
    <w:rsid w:val="735636B3"/>
    <w:rsid w:val="736949E6"/>
    <w:rsid w:val="7384762D"/>
    <w:rsid w:val="738B18DE"/>
    <w:rsid w:val="73C80FB1"/>
    <w:rsid w:val="73CE6C6D"/>
    <w:rsid w:val="73E95163"/>
    <w:rsid w:val="73EF671C"/>
    <w:rsid w:val="74074216"/>
    <w:rsid w:val="740B1FF0"/>
    <w:rsid w:val="74340B92"/>
    <w:rsid w:val="745942EE"/>
    <w:rsid w:val="74607793"/>
    <w:rsid w:val="74620891"/>
    <w:rsid w:val="74777001"/>
    <w:rsid w:val="747D102B"/>
    <w:rsid w:val="74831720"/>
    <w:rsid w:val="749C517E"/>
    <w:rsid w:val="74BB373D"/>
    <w:rsid w:val="74E000D4"/>
    <w:rsid w:val="74F10857"/>
    <w:rsid w:val="74F16F2F"/>
    <w:rsid w:val="75275E81"/>
    <w:rsid w:val="75481FE1"/>
    <w:rsid w:val="754F4DD2"/>
    <w:rsid w:val="75603AB2"/>
    <w:rsid w:val="75953045"/>
    <w:rsid w:val="75CD1C51"/>
    <w:rsid w:val="75DF2DC1"/>
    <w:rsid w:val="763A402E"/>
    <w:rsid w:val="766F725C"/>
    <w:rsid w:val="76790233"/>
    <w:rsid w:val="767B6D29"/>
    <w:rsid w:val="768B2C0A"/>
    <w:rsid w:val="76AB4E74"/>
    <w:rsid w:val="76F71702"/>
    <w:rsid w:val="77196389"/>
    <w:rsid w:val="771F2D6B"/>
    <w:rsid w:val="772E7193"/>
    <w:rsid w:val="77302EC9"/>
    <w:rsid w:val="7734199B"/>
    <w:rsid w:val="77484CAB"/>
    <w:rsid w:val="779623AD"/>
    <w:rsid w:val="77C86594"/>
    <w:rsid w:val="77E913C7"/>
    <w:rsid w:val="78497340"/>
    <w:rsid w:val="78656691"/>
    <w:rsid w:val="789A6AF4"/>
    <w:rsid w:val="78A07BDA"/>
    <w:rsid w:val="78E6519B"/>
    <w:rsid w:val="79240021"/>
    <w:rsid w:val="79435A80"/>
    <w:rsid w:val="79570BE0"/>
    <w:rsid w:val="795F7AAC"/>
    <w:rsid w:val="796E3EF0"/>
    <w:rsid w:val="79702026"/>
    <w:rsid w:val="798D160F"/>
    <w:rsid w:val="79914F54"/>
    <w:rsid w:val="79CF4BFA"/>
    <w:rsid w:val="79D860DB"/>
    <w:rsid w:val="79EF33C0"/>
    <w:rsid w:val="79FB43E1"/>
    <w:rsid w:val="7A037A53"/>
    <w:rsid w:val="7A2902FC"/>
    <w:rsid w:val="7A3D2C79"/>
    <w:rsid w:val="7A5007FA"/>
    <w:rsid w:val="7A59379C"/>
    <w:rsid w:val="7A9C6A54"/>
    <w:rsid w:val="7ABB7BAF"/>
    <w:rsid w:val="7AF83B85"/>
    <w:rsid w:val="7B0034EA"/>
    <w:rsid w:val="7B5A1A21"/>
    <w:rsid w:val="7B5F5B2A"/>
    <w:rsid w:val="7B6E49EB"/>
    <w:rsid w:val="7B91378B"/>
    <w:rsid w:val="7B917B48"/>
    <w:rsid w:val="7BB6259E"/>
    <w:rsid w:val="7C0068F7"/>
    <w:rsid w:val="7C3431C7"/>
    <w:rsid w:val="7C500030"/>
    <w:rsid w:val="7C5440B0"/>
    <w:rsid w:val="7C5F2722"/>
    <w:rsid w:val="7C7A0AC6"/>
    <w:rsid w:val="7CAB3D98"/>
    <w:rsid w:val="7CCF49B2"/>
    <w:rsid w:val="7CF1139E"/>
    <w:rsid w:val="7D0B29E4"/>
    <w:rsid w:val="7D567401"/>
    <w:rsid w:val="7D790A9C"/>
    <w:rsid w:val="7DC76EE5"/>
    <w:rsid w:val="7DCE0EC6"/>
    <w:rsid w:val="7DDA6374"/>
    <w:rsid w:val="7DF2702E"/>
    <w:rsid w:val="7E110A28"/>
    <w:rsid w:val="7E3C05B4"/>
    <w:rsid w:val="7E520F7B"/>
    <w:rsid w:val="7E5B25DC"/>
    <w:rsid w:val="7E7B17E9"/>
    <w:rsid w:val="7E7F4A5A"/>
    <w:rsid w:val="7EAE6777"/>
    <w:rsid w:val="7EB34F90"/>
    <w:rsid w:val="7ED008BC"/>
    <w:rsid w:val="7EE747ED"/>
    <w:rsid w:val="7EF82FD5"/>
    <w:rsid w:val="7F1379EB"/>
    <w:rsid w:val="7F157B86"/>
    <w:rsid w:val="7F235680"/>
    <w:rsid w:val="7F645C38"/>
    <w:rsid w:val="7F7215CA"/>
    <w:rsid w:val="7F9E036E"/>
    <w:rsid w:val="7FA67453"/>
    <w:rsid w:val="7FBD3145"/>
    <w:rsid w:val="7FC70160"/>
    <w:rsid w:val="7FD42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nhideWhenUsed="0" w:uiPriority="99"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qFormat="1" w:unhideWhenUsed="0" w:uiPriority="99" w:semiHidden="0" w:name="envelope return"/>
    <w:lsdException w:uiPriority="0" w:name="footnote reference"/>
    <w:lsdException w:qFormat="1" w:uiPriority="99"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nhideWhenUsed="0" w:uiPriority="0" w:semiHidden="0" w:name="Date"/>
    <w:lsdException w:qFormat="1"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20" w:semiHidden="0" w:name="Emphasis"/>
    <w:lsdException w:uiPriority="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仿宋_GB2312" w:eastAsia="@仿宋_GB2312" w:cs="@仿宋_GB2312"/>
      <w:kern w:val="2"/>
      <w:sz w:val="21"/>
      <w:lang w:val="en-US" w:eastAsia="zh-CN" w:bidi="ar-SA"/>
    </w:rPr>
  </w:style>
  <w:style w:type="paragraph" w:styleId="2">
    <w:name w:val="heading 1"/>
    <w:basedOn w:val="1"/>
    <w:next w:val="1"/>
    <w:link w:val="51"/>
    <w:qFormat/>
    <w:uiPriority w:val="9"/>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paragraph" w:styleId="4">
    <w:name w:val="heading 3"/>
    <w:basedOn w:val="1"/>
    <w:next w:val="1"/>
    <w:link w:val="52"/>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57"/>
    <w:qFormat/>
    <w:uiPriority w:val="0"/>
    <w:pPr>
      <w:keepNext/>
      <w:keepLines/>
      <w:spacing w:before="280" w:after="290" w:line="376" w:lineRule="auto"/>
      <w:outlineLvl w:val="3"/>
    </w:pPr>
    <w:rPr>
      <w:b/>
      <w:bCs/>
      <w:sz w:val="28"/>
      <w:szCs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autoSpaceDE w:val="0"/>
      <w:autoSpaceDN w:val="0"/>
      <w:adjustRightInd w:val="0"/>
      <w:ind w:firstLine="420"/>
      <w:jc w:val="left"/>
    </w:pPr>
    <w:rPr>
      <w:rFonts w:ascii="宋体" w:hAnsi="Times New Roman" w:eastAsia="宋体" w:cs="Times New Roman"/>
      <w:kern w:val="0"/>
      <w:sz w:val="24"/>
    </w:rPr>
  </w:style>
  <w:style w:type="paragraph" w:styleId="7">
    <w:name w:val="annotation text"/>
    <w:basedOn w:val="1"/>
    <w:link w:val="50"/>
    <w:qFormat/>
    <w:uiPriority w:val="99"/>
    <w:pPr>
      <w:jc w:val="left"/>
    </w:pPr>
    <w:rPr>
      <w:rFonts w:ascii="Arial" w:hAnsi="Arial" w:eastAsia="黑体" w:cs="Arial"/>
    </w:rPr>
  </w:style>
  <w:style w:type="paragraph" w:styleId="8">
    <w:name w:val="Body Text"/>
    <w:basedOn w:val="1"/>
    <w:qFormat/>
    <w:uiPriority w:val="0"/>
    <w:pPr>
      <w:spacing w:after="120"/>
    </w:pPr>
    <w:rPr>
      <w:rFonts w:ascii="@微软简标宋" w:hAnsi="@微软简标宋" w:eastAsia="@微软简标宋" w:cs="@微软简标宋"/>
      <w:szCs w:val="24"/>
      <w:lang w:val="zh-CN"/>
    </w:rPr>
  </w:style>
  <w:style w:type="paragraph" w:styleId="9">
    <w:name w:val="Body Text Indent"/>
    <w:basedOn w:val="1"/>
    <w:next w:val="10"/>
    <w:unhideWhenUsed/>
    <w:qFormat/>
    <w:uiPriority w:val="99"/>
    <w:pPr>
      <w:ind w:firstLine="645"/>
    </w:pPr>
    <w:rPr>
      <w:rFonts w:ascii="楷体_GB2312" w:eastAsia="楷体_GB2312"/>
      <w:sz w:val="32"/>
    </w:rPr>
  </w:style>
  <w:style w:type="paragraph" w:styleId="10">
    <w:name w:val="envelope return"/>
    <w:basedOn w:val="1"/>
    <w:qFormat/>
    <w:uiPriority w:val="99"/>
    <w:pPr>
      <w:snapToGrid w:val="0"/>
    </w:pPr>
    <w:rPr>
      <w:rFonts w:ascii="Arial" w:hAnsi="Arial" w:cs="Arial"/>
    </w:rPr>
  </w:style>
  <w:style w:type="paragraph" w:styleId="11">
    <w:name w:val="index 4"/>
    <w:basedOn w:val="1"/>
    <w:next w:val="1"/>
    <w:qFormat/>
    <w:uiPriority w:val="99"/>
    <w:pPr>
      <w:ind w:left="600" w:leftChars="600"/>
    </w:pPr>
    <w:rPr>
      <w:szCs w:val="24"/>
    </w:rPr>
  </w:style>
  <w:style w:type="paragraph" w:styleId="12">
    <w:name w:val="toc 3"/>
    <w:basedOn w:val="1"/>
    <w:next w:val="1"/>
    <w:unhideWhenUsed/>
    <w:qFormat/>
    <w:uiPriority w:val="39"/>
    <w:pPr>
      <w:widowControl/>
      <w:spacing w:after="100" w:line="276" w:lineRule="auto"/>
      <w:ind w:left="440"/>
      <w:jc w:val="left"/>
    </w:pPr>
    <w:rPr>
      <w:rFonts w:ascii="Calibri" w:hAnsi="Calibri" w:eastAsia="宋体" w:cs="黑体"/>
      <w:kern w:val="0"/>
      <w:sz w:val="22"/>
      <w:szCs w:val="22"/>
    </w:rPr>
  </w:style>
  <w:style w:type="paragraph" w:styleId="13">
    <w:name w:val="Plain Text"/>
    <w:basedOn w:val="1"/>
    <w:link w:val="43"/>
    <w:qFormat/>
    <w:uiPriority w:val="99"/>
    <w:rPr>
      <w:rFonts w:ascii="宋体" w:hAnsi="Courier New" w:eastAsia="宋体" w:cs="黑体"/>
      <w:szCs w:val="22"/>
    </w:rPr>
  </w:style>
  <w:style w:type="paragraph" w:styleId="14">
    <w:name w:val="Date"/>
    <w:basedOn w:val="1"/>
    <w:next w:val="1"/>
    <w:link w:val="47"/>
    <w:qFormat/>
    <w:uiPriority w:val="0"/>
    <w:rPr>
      <w:rFonts w:ascii="Arial" w:hAnsi="Arial" w:eastAsia="宋体" w:cs="Arial"/>
      <w:b/>
      <w:sz w:val="28"/>
    </w:rPr>
  </w:style>
  <w:style w:type="paragraph" w:styleId="15">
    <w:name w:val="Balloon Text"/>
    <w:basedOn w:val="1"/>
    <w:link w:val="40"/>
    <w:unhideWhenUsed/>
    <w:qFormat/>
    <w:uiPriority w:val="99"/>
    <w:rPr>
      <w:sz w:val="18"/>
      <w:szCs w:val="18"/>
    </w:rPr>
  </w:style>
  <w:style w:type="paragraph" w:styleId="16">
    <w:name w:val="footer"/>
    <w:basedOn w:val="1"/>
    <w:link w:val="42"/>
    <w:unhideWhenUsed/>
    <w:qFormat/>
    <w:uiPriority w:val="99"/>
    <w:pPr>
      <w:tabs>
        <w:tab w:val="center" w:pos="4153"/>
        <w:tab w:val="right" w:pos="8306"/>
      </w:tabs>
      <w:snapToGrid w:val="0"/>
      <w:jc w:val="left"/>
    </w:pPr>
    <w:rPr>
      <w:sz w:val="18"/>
      <w:szCs w:val="18"/>
    </w:rPr>
  </w:style>
  <w:style w:type="paragraph" w:styleId="17">
    <w:name w:val="header"/>
    <w:basedOn w:val="1"/>
    <w:link w:val="41"/>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unhideWhenUsed/>
    <w:qFormat/>
    <w:uiPriority w:val="39"/>
    <w:pPr>
      <w:widowControl/>
      <w:spacing w:after="100" w:line="276" w:lineRule="auto"/>
      <w:jc w:val="left"/>
    </w:pPr>
    <w:rPr>
      <w:rFonts w:ascii="Calibri" w:hAnsi="Calibri" w:eastAsia="宋体" w:cs="黑体"/>
      <w:kern w:val="0"/>
      <w:sz w:val="22"/>
      <w:szCs w:val="22"/>
    </w:rPr>
  </w:style>
  <w:style w:type="paragraph" w:styleId="19">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20">
    <w:name w:val="toc 2"/>
    <w:basedOn w:val="1"/>
    <w:next w:val="1"/>
    <w:unhideWhenUsed/>
    <w:qFormat/>
    <w:uiPriority w:val="39"/>
    <w:pPr>
      <w:widowControl/>
      <w:spacing w:after="100" w:line="276" w:lineRule="auto"/>
      <w:ind w:left="220"/>
      <w:jc w:val="left"/>
    </w:pPr>
    <w:rPr>
      <w:rFonts w:ascii="Calibri" w:hAnsi="Calibri" w:eastAsia="宋体" w:cs="黑体"/>
      <w:kern w:val="0"/>
      <w:sz w:val="22"/>
      <w:szCs w:val="22"/>
    </w:rPr>
  </w:style>
  <w:style w:type="paragraph" w:styleId="21">
    <w:name w:val="Normal (Web)"/>
    <w:basedOn w:val="1"/>
    <w:qFormat/>
    <w:uiPriority w:val="0"/>
    <w:pPr>
      <w:spacing w:beforeAutospacing="1" w:afterAutospacing="1"/>
      <w:jc w:val="left"/>
    </w:pPr>
    <w:rPr>
      <w:kern w:val="0"/>
      <w:sz w:val="24"/>
    </w:rPr>
  </w:style>
  <w:style w:type="paragraph" w:styleId="22">
    <w:name w:val="index 1"/>
    <w:basedOn w:val="1"/>
    <w:next w:val="1"/>
    <w:qFormat/>
    <w:uiPriority w:val="0"/>
    <w:pPr>
      <w:jc w:val="center"/>
    </w:pPr>
    <w:rPr>
      <w:rFonts w:ascii="Arial" w:hAnsi="Arial" w:eastAsia="Arial" w:cs="Arial"/>
      <w:b/>
      <w:bCs/>
      <w:sz w:val="28"/>
    </w:rPr>
  </w:style>
  <w:style w:type="paragraph" w:styleId="23">
    <w:name w:val="annotation subject"/>
    <w:basedOn w:val="7"/>
    <w:next w:val="7"/>
    <w:link w:val="60"/>
    <w:unhideWhenUsed/>
    <w:qFormat/>
    <w:uiPriority w:val="99"/>
    <w:rPr>
      <w:rFonts w:ascii="@仿宋_GB2312" w:hAnsi="@仿宋_GB2312" w:eastAsia="@仿宋_GB2312" w:cs="@仿宋_GB2312"/>
      <w:b/>
      <w:bCs/>
    </w:rPr>
  </w:style>
  <w:style w:type="paragraph" w:styleId="24">
    <w:name w:val="Body Text First Indent"/>
    <w:basedOn w:val="8"/>
    <w:unhideWhenUsed/>
    <w:qFormat/>
    <w:uiPriority w:val="99"/>
    <w:pPr>
      <w:ind w:firstLine="420" w:firstLineChars="100"/>
    </w:pPr>
  </w:style>
  <w:style w:type="paragraph" w:styleId="25">
    <w:name w:val="Body Text First Indent 2"/>
    <w:basedOn w:val="9"/>
    <w:next w:val="19"/>
    <w:unhideWhenUsed/>
    <w:qFormat/>
    <w:uiPriority w:val="99"/>
    <w:pPr>
      <w:ind w:left="420" w:firstLine="420" w:firstLineChars="200"/>
    </w:pPr>
    <w:rPr>
      <w:rFonts w:ascii="Times New Roman" w:cs="Times New Roman"/>
    </w:rPr>
  </w:style>
  <w:style w:type="table" w:styleId="27">
    <w:name w:val="Table Grid"/>
    <w:basedOn w:val="26"/>
    <w:unhideWhenUsed/>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qFormat/>
    <w:uiPriority w:val="0"/>
    <w:rPr>
      <w:b/>
      <w:bCs/>
    </w:rPr>
  </w:style>
  <w:style w:type="character" w:styleId="30">
    <w:name w:val="Hyperlink"/>
    <w:basedOn w:val="28"/>
    <w:unhideWhenUsed/>
    <w:qFormat/>
    <w:uiPriority w:val="99"/>
    <w:rPr>
      <w:color w:val="0000FF"/>
      <w:u w:val="single"/>
    </w:rPr>
  </w:style>
  <w:style w:type="character" w:styleId="31">
    <w:name w:val="annotation reference"/>
    <w:basedOn w:val="28"/>
    <w:unhideWhenUsed/>
    <w:qFormat/>
    <w:uiPriority w:val="99"/>
    <w:rPr>
      <w:sz w:val="21"/>
      <w:szCs w:val="21"/>
    </w:rPr>
  </w:style>
  <w:style w:type="paragraph" w:customStyle="1" w:styleId="32">
    <w:name w:val="正文（缩进）"/>
    <w:basedOn w:val="1"/>
    <w:qFormat/>
    <w:uiPriority w:val="0"/>
    <w:pPr>
      <w:widowControl/>
      <w:spacing w:before="156" w:after="156"/>
      <w:ind w:firstLine="480" w:firstLineChars="200"/>
      <w:jc w:val="left"/>
    </w:pPr>
    <w:rPr>
      <w:kern w:val="0"/>
      <w:sz w:val="24"/>
      <w:szCs w:val="24"/>
    </w:rPr>
  </w:style>
  <w:style w:type="paragraph" w:customStyle="1" w:styleId="33">
    <w:name w:val="xl31"/>
    <w:basedOn w:val="1"/>
    <w:qFormat/>
    <w:uiPriority w:val="0"/>
    <w:pPr>
      <w:widowControl/>
      <w:spacing w:before="100" w:beforeAutospacing="1" w:after="100" w:afterAutospacing="1"/>
      <w:jc w:val="center"/>
    </w:pPr>
    <w:rPr>
      <w:b/>
      <w:bCs/>
      <w:kern w:val="0"/>
      <w:sz w:val="28"/>
      <w:szCs w:val="28"/>
    </w:rPr>
  </w:style>
  <w:style w:type="paragraph" w:customStyle="1" w:styleId="34">
    <w:name w:val="D&amp;L"/>
    <w:basedOn w:val="17"/>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35">
    <w:name w:val="列表段落1"/>
    <w:basedOn w:val="1"/>
    <w:qFormat/>
    <w:uiPriority w:val="34"/>
    <w:pPr>
      <w:ind w:firstLine="420" w:firstLineChars="200"/>
    </w:pPr>
  </w:style>
  <w:style w:type="paragraph" w:customStyle="1" w:styleId="36">
    <w:name w:val="Char Char Char Char Char Char Char1 Char"/>
    <w:basedOn w:val="1"/>
    <w:qFormat/>
    <w:uiPriority w:val="0"/>
    <w:rPr>
      <w:rFonts w:ascii="Arial" w:hAnsi="Arial" w:eastAsia="宋体" w:cs="Arial"/>
      <w:sz w:val="24"/>
    </w:rPr>
  </w:style>
  <w:style w:type="paragraph" w:customStyle="1" w:styleId="37">
    <w:name w:val="TOC 标题1"/>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38">
    <w:name w:val="Char"/>
    <w:basedOn w:val="1"/>
    <w:qFormat/>
    <w:uiPriority w:val="0"/>
    <w:rPr>
      <w:rFonts w:ascii="Tahoma" w:hAnsi="Tahoma"/>
      <w:sz w:val="24"/>
    </w:rPr>
  </w:style>
  <w:style w:type="paragraph" w:customStyle="1" w:styleId="39">
    <w:name w:val="列出段落1"/>
    <w:basedOn w:val="1"/>
    <w:qFormat/>
    <w:uiPriority w:val="34"/>
    <w:pPr>
      <w:ind w:firstLine="420" w:firstLineChars="200"/>
    </w:pPr>
  </w:style>
  <w:style w:type="character" w:customStyle="1" w:styleId="40">
    <w:name w:val="批注框文本 字符"/>
    <w:basedOn w:val="28"/>
    <w:link w:val="15"/>
    <w:semiHidden/>
    <w:qFormat/>
    <w:uiPriority w:val="99"/>
    <w:rPr>
      <w:rFonts w:ascii="@仿宋_GB2312" w:hAnsi="@仿宋_GB2312" w:eastAsia="@仿宋_GB2312" w:cs="@仿宋_GB2312"/>
      <w:sz w:val="18"/>
      <w:szCs w:val="18"/>
    </w:rPr>
  </w:style>
  <w:style w:type="character" w:customStyle="1" w:styleId="41">
    <w:name w:val="页眉 字符"/>
    <w:basedOn w:val="28"/>
    <w:link w:val="17"/>
    <w:qFormat/>
    <w:uiPriority w:val="99"/>
    <w:rPr>
      <w:rFonts w:ascii="@仿宋_GB2312" w:hAnsi="@仿宋_GB2312" w:eastAsia="@仿宋_GB2312" w:cs="@仿宋_GB2312"/>
      <w:sz w:val="18"/>
      <w:szCs w:val="18"/>
    </w:rPr>
  </w:style>
  <w:style w:type="character" w:customStyle="1" w:styleId="42">
    <w:name w:val="页脚 字符"/>
    <w:basedOn w:val="28"/>
    <w:link w:val="16"/>
    <w:qFormat/>
    <w:uiPriority w:val="99"/>
    <w:rPr>
      <w:rFonts w:ascii="@仿宋_GB2312" w:hAnsi="@仿宋_GB2312" w:eastAsia="@仿宋_GB2312" w:cs="@仿宋_GB2312"/>
      <w:sz w:val="18"/>
      <w:szCs w:val="18"/>
    </w:rPr>
  </w:style>
  <w:style w:type="character" w:customStyle="1" w:styleId="43">
    <w:name w:val="纯文本 字符"/>
    <w:link w:val="13"/>
    <w:qFormat/>
    <w:uiPriority w:val="0"/>
    <w:rPr>
      <w:rFonts w:ascii="宋体" w:hAnsi="Courier New"/>
    </w:rPr>
  </w:style>
  <w:style w:type="character" w:customStyle="1" w:styleId="44">
    <w:name w:val="纯文本 字符1"/>
    <w:basedOn w:val="28"/>
    <w:semiHidden/>
    <w:qFormat/>
    <w:uiPriority w:val="99"/>
    <w:rPr>
      <w:rFonts w:ascii="宋体" w:hAnsi="Courier New" w:cs="Courier New"/>
      <w:szCs w:val="20"/>
    </w:rPr>
  </w:style>
  <w:style w:type="character" w:customStyle="1" w:styleId="45">
    <w:name w:val="未处理的提及1"/>
    <w:basedOn w:val="28"/>
    <w:unhideWhenUsed/>
    <w:qFormat/>
    <w:uiPriority w:val="99"/>
    <w:rPr>
      <w:color w:val="605E5C"/>
      <w:shd w:val="clear" w:color="auto" w:fill="E1DFDD"/>
    </w:rPr>
  </w:style>
  <w:style w:type="character" w:customStyle="1" w:styleId="46">
    <w:name w:val="日期 字符"/>
    <w:basedOn w:val="28"/>
    <w:semiHidden/>
    <w:qFormat/>
    <w:uiPriority w:val="99"/>
    <w:rPr>
      <w:rFonts w:ascii="@仿宋_GB2312" w:hAnsi="@仿宋_GB2312" w:eastAsia="@仿宋_GB2312" w:cs="@仿宋_GB2312"/>
      <w:szCs w:val="20"/>
    </w:rPr>
  </w:style>
  <w:style w:type="character" w:customStyle="1" w:styleId="47">
    <w:name w:val="日期 字符1"/>
    <w:link w:val="14"/>
    <w:qFormat/>
    <w:uiPriority w:val="0"/>
    <w:rPr>
      <w:rFonts w:ascii="Arial" w:hAnsi="Arial" w:eastAsia="宋体" w:cs="Arial"/>
      <w:b/>
      <w:sz w:val="28"/>
      <w:szCs w:val="20"/>
    </w:rPr>
  </w:style>
  <w:style w:type="character" w:customStyle="1" w:styleId="48">
    <w:name w:val="纯文本 Char1"/>
    <w:qFormat/>
    <w:locked/>
    <w:uiPriority w:val="99"/>
    <w:rPr>
      <w:rFonts w:ascii="Arial" w:hAnsi="Arial" w:eastAsia="Arial"/>
      <w:kern w:val="2"/>
      <w:sz w:val="21"/>
      <w:lang w:val="en-US" w:eastAsia="zh-CN" w:bidi="ar-SA"/>
    </w:rPr>
  </w:style>
  <w:style w:type="character" w:customStyle="1" w:styleId="49">
    <w:name w:val="批注文字 Char"/>
    <w:basedOn w:val="28"/>
    <w:semiHidden/>
    <w:qFormat/>
    <w:uiPriority w:val="99"/>
    <w:rPr>
      <w:rFonts w:ascii="@仿宋_GB2312" w:hAnsi="@仿宋_GB2312" w:eastAsia="@仿宋_GB2312" w:cs="@仿宋_GB2312"/>
      <w:szCs w:val="20"/>
    </w:rPr>
  </w:style>
  <w:style w:type="character" w:customStyle="1" w:styleId="50">
    <w:name w:val="批注文字 字符"/>
    <w:link w:val="7"/>
    <w:qFormat/>
    <w:uiPriority w:val="99"/>
    <w:rPr>
      <w:rFonts w:ascii="Arial" w:hAnsi="Arial" w:eastAsia="黑体" w:cs="Arial"/>
      <w:szCs w:val="20"/>
    </w:rPr>
  </w:style>
  <w:style w:type="character" w:customStyle="1" w:styleId="51">
    <w:name w:val="标题 1 字符"/>
    <w:basedOn w:val="28"/>
    <w:link w:val="2"/>
    <w:qFormat/>
    <w:uiPriority w:val="9"/>
    <w:rPr>
      <w:rFonts w:ascii="@仿宋_GB2312" w:hAnsi="@仿宋_GB2312" w:eastAsia="@仿宋_GB2312" w:cs="@仿宋_GB2312"/>
      <w:b/>
      <w:bCs/>
      <w:kern w:val="44"/>
      <w:sz w:val="44"/>
      <w:szCs w:val="44"/>
    </w:rPr>
  </w:style>
  <w:style w:type="character" w:customStyle="1" w:styleId="52">
    <w:name w:val="标题 3 字符"/>
    <w:basedOn w:val="28"/>
    <w:link w:val="4"/>
    <w:semiHidden/>
    <w:qFormat/>
    <w:uiPriority w:val="9"/>
    <w:rPr>
      <w:rFonts w:ascii="@仿宋_GB2312" w:hAnsi="@仿宋_GB2312" w:eastAsia="@仿宋_GB2312" w:cs="@仿宋_GB2312"/>
      <w:b/>
      <w:bCs/>
      <w:sz w:val="32"/>
      <w:szCs w:val="32"/>
    </w:rPr>
  </w:style>
  <w:style w:type="character" w:customStyle="1" w:styleId="53">
    <w:name w:val="fontstyle01"/>
    <w:basedOn w:val="28"/>
    <w:qFormat/>
    <w:uiPriority w:val="0"/>
    <w:rPr>
      <w:rFonts w:hint="eastAsia" w:ascii="宋体" w:hAnsi="宋体" w:eastAsia="宋体"/>
      <w:color w:val="000000"/>
      <w:sz w:val="22"/>
      <w:szCs w:val="22"/>
    </w:rPr>
  </w:style>
  <w:style w:type="character" w:customStyle="1" w:styleId="54">
    <w:name w:val="fontstyle21"/>
    <w:basedOn w:val="28"/>
    <w:qFormat/>
    <w:uiPriority w:val="0"/>
    <w:rPr>
      <w:rFonts w:hint="default" w:ascii="TimesNewRomanPSMT" w:hAnsi="TimesNewRomanPSMT"/>
      <w:color w:val="000000"/>
      <w:sz w:val="22"/>
      <w:szCs w:val="22"/>
    </w:rPr>
  </w:style>
  <w:style w:type="character" w:customStyle="1" w:styleId="55">
    <w:name w:val="正文文本 (2) + Sylfaen2"/>
    <w:qFormat/>
    <w:uiPriority w:val="99"/>
    <w:rPr>
      <w:rFonts w:ascii="Sylfaen" w:hAnsi="Sylfaen" w:eastAsia="MingLiU" w:cs="Sylfaen"/>
      <w:spacing w:val="0"/>
      <w:sz w:val="23"/>
      <w:szCs w:val="23"/>
      <w:shd w:val="clear" w:color="auto" w:fill="FFFFFF"/>
      <w:lang w:val="en-US" w:eastAsia="en-US"/>
    </w:rPr>
  </w:style>
  <w:style w:type="character" w:customStyle="1" w:styleId="56">
    <w:name w:val="标题 4 字符"/>
    <w:basedOn w:val="28"/>
    <w:semiHidden/>
    <w:qFormat/>
    <w:uiPriority w:val="9"/>
    <w:rPr>
      <w:rFonts w:ascii="Cambria" w:hAnsi="Cambria" w:eastAsia="宋体" w:cs="黑体"/>
      <w:b/>
      <w:bCs/>
      <w:sz w:val="28"/>
      <w:szCs w:val="28"/>
    </w:rPr>
  </w:style>
  <w:style w:type="character" w:customStyle="1" w:styleId="57">
    <w:name w:val="标题 4 字符1"/>
    <w:link w:val="5"/>
    <w:qFormat/>
    <w:uiPriority w:val="0"/>
    <w:rPr>
      <w:rFonts w:ascii="@仿宋_GB2312" w:hAnsi="@仿宋_GB2312" w:eastAsia="@仿宋_GB2312" w:cs="@仿宋_GB2312"/>
      <w:b/>
      <w:bCs/>
      <w:sz w:val="28"/>
      <w:szCs w:val="28"/>
    </w:rPr>
  </w:style>
  <w:style w:type="character" w:customStyle="1" w:styleId="58">
    <w:name w:val="标题 4 Char"/>
    <w:qFormat/>
    <w:uiPriority w:val="0"/>
    <w:rPr>
      <w:rFonts w:ascii="Arial" w:hAnsi="Arial" w:eastAsia="Arial"/>
      <w:b/>
      <w:bCs/>
      <w:kern w:val="2"/>
      <w:sz w:val="28"/>
      <w:szCs w:val="28"/>
      <w:lang w:val="en-US" w:eastAsia="zh-CN" w:bidi="ar-SA"/>
    </w:rPr>
  </w:style>
  <w:style w:type="character" w:customStyle="1" w:styleId="59">
    <w:name w:val="fontstyle11"/>
    <w:basedOn w:val="28"/>
    <w:qFormat/>
    <w:uiPriority w:val="0"/>
    <w:rPr>
      <w:rFonts w:hint="eastAsia" w:ascii="宋体" w:hAnsi="宋体" w:eastAsia="宋体"/>
      <w:color w:val="000000"/>
      <w:sz w:val="22"/>
      <w:szCs w:val="22"/>
    </w:rPr>
  </w:style>
  <w:style w:type="character" w:customStyle="1" w:styleId="60">
    <w:name w:val="批注主题 字符"/>
    <w:basedOn w:val="50"/>
    <w:link w:val="23"/>
    <w:semiHidden/>
    <w:qFormat/>
    <w:uiPriority w:val="99"/>
    <w:rPr>
      <w:rFonts w:ascii="@仿宋_GB2312" w:hAnsi="@仿宋_GB2312" w:eastAsia="@仿宋_GB2312" w:cs="@仿宋_GB2312"/>
      <w:b/>
      <w:bCs/>
      <w:szCs w:val="20"/>
    </w:rPr>
  </w:style>
  <w:style w:type="table" w:customStyle="1" w:styleId="61">
    <w:name w:val="网格表 1 浅色1"/>
    <w:basedOn w:val="26"/>
    <w:qFormat/>
    <w:uiPriority w:val="46"/>
    <w:tblPr>
      <w:tblBorders>
        <w:top w:val="single" w:color="999999" w:sz="4" w:space="0"/>
        <w:left w:val="single" w:color="999999" w:sz="4" w:space="0"/>
        <w:bottom w:val="single" w:color="999999" w:sz="4" w:space="0"/>
        <w:right w:val="single" w:color="999999" w:sz="4" w:space="0"/>
        <w:insideH w:val="single" w:color="999999" w:sz="4" w:space="0"/>
        <w:insideV w:val="single" w:color="999999" w:sz="4" w:space="0"/>
      </w:tblBorders>
    </w:tblPr>
    <w:tblStylePr w:type="firstRow">
      <w:rPr>
        <w:b/>
        <w:bCs/>
      </w:rPr>
      <w:tcPr>
        <w:tcBorders>
          <w:top w:val="nil"/>
          <w:left w:val="nil"/>
          <w:bottom w:val="single" w:color="666666" w:sz="12" w:space="0"/>
          <w:right w:val="nil"/>
          <w:insideH w:val="nil"/>
          <w:insideV w:val="nil"/>
          <w:tl2br w:val="nil"/>
          <w:tr2bl w:val="nil"/>
        </w:tcBorders>
      </w:tcPr>
    </w:tblStylePr>
    <w:tblStylePr w:type="lastRow">
      <w:rPr>
        <w:b/>
        <w:bCs/>
      </w:rPr>
      <w:tcPr>
        <w:tcBorders>
          <w:top w:val="double" w:color="666666" w:sz="2" w:space="0"/>
          <w:left w:val="nil"/>
          <w:bottom w:val="nil"/>
          <w:right w:val="nil"/>
          <w:insideH w:val="nil"/>
          <w:insideV w:val="nil"/>
          <w:tl2br w:val="nil"/>
          <w:tr2bl w:val="nil"/>
        </w:tcBorders>
      </w:tcPr>
    </w:tblStylePr>
    <w:tblStylePr w:type="firstCol">
      <w:rPr>
        <w:b/>
        <w:bCs/>
      </w:rPr>
    </w:tblStylePr>
    <w:tblStylePr w:type="lastCol">
      <w:rPr>
        <w:b/>
        <w:bCs/>
      </w:rPr>
    </w:tblStylePr>
  </w:style>
  <w:style w:type="table" w:customStyle="1" w:styleId="62">
    <w:name w:val="网格型1"/>
    <w:basedOn w:val="2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3">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styleId="64">
    <w:name w:val="List Paragraph"/>
    <w:basedOn w:val="1"/>
    <w:qFormat/>
    <w:uiPriority w:val="34"/>
    <w:pPr>
      <w:ind w:firstLine="420" w:firstLineChars="200"/>
    </w:pPr>
  </w:style>
  <w:style w:type="character" w:customStyle="1" w:styleId="65">
    <w:name w:val="font41"/>
    <w:basedOn w:val="28"/>
    <w:qFormat/>
    <w:uiPriority w:val="0"/>
    <w:rPr>
      <w:rFonts w:hint="default" w:ascii="Times New Roman" w:hAnsi="Times New Roman" w:cs="Times New Roman"/>
      <w:color w:val="000000"/>
      <w:sz w:val="20"/>
      <w:szCs w:val="20"/>
      <w:u w:val="none"/>
    </w:rPr>
  </w:style>
  <w:style w:type="character" w:customStyle="1" w:styleId="66">
    <w:name w:val="font51"/>
    <w:basedOn w:val="28"/>
    <w:qFormat/>
    <w:uiPriority w:val="0"/>
    <w:rPr>
      <w:rFonts w:hint="default" w:ascii="Times New Roman" w:hAnsi="Times New Roman" w:cs="Times New Roman"/>
      <w:color w:val="000000"/>
      <w:sz w:val="20"/>
      <w:szCs w:val="20"/>
      <w:u w:val="none"/>
    </w:rPr>
  </w:style>
  <w:style w:type="character" w:customStyle="1" w:styleId="67">
    <w:name w:val="font11"/>
    <w:basedOn w:val="28"/>
    <w:qFormat/>
    <w:uiPriority w:val="0"/>
    <w:rPr>
      <w:rFonts w:hint="eastAsia" w:ascii="宋体" w:hAnsi="宋体" w:eastAsia="宋体" w:cs="宋体"/>
      <w:color w:val="000000"/>
      <w:sz w:val="20"/>
      <w:szCs w:val="20"/>
      <w:u w:val="none"/>
    </w:rPr>
  </w:style>
  <w:style w:type="character" w:customStyle="1" w:styleId="68">
    <w:name w:val="font31"/>
    <w:basedOn w:val="28"/>
    <w:qFormat/>
    <w:uiPriority w:val="0"/>
    <w:rPr>
      <w:rFonts w:hint="eastAsia" w:ascii="宋体" w:hAnsi="宋体" w:eastAsia="宋体" w:cs="宋体"/>
      <w:color w:val="FF0000"/>
      <w:sz w:val="20"/>
      <w:szCs w:val="20"/>
      <w:u w:val="none"/>
    </w:rPr>
  </w:style>
  <w:style w:type="paragraph" w:customStyle="1" w:styleId="69">
    <w:name w:val="修订1"/>
    <w:hidden/>
    <w:unhideWhenUsed/>
    <w:qFormat/>
    <w:uiPriority w:val="99"/>
    <w:rPr>
      <w:rFonts w:ascii="@仿宋_GB2312" w:hAnsi="@仿宋_GB2312" w:eastAsia="@仿宋_GB2312" w:cs="@仿宋_GB2312"/>
      <w:kern w:val="2"/>
      <w:sz w:val="21"/>
      <w:lang w:val="en-US" w:eastAsia="zh-CN" w:bidi="ar-SA"/>
    </w:rPr>
  </w:style>
  <w:style w:type="character" w:customStyle="1" w:styleId="70">
    <w:name w:val="标题 2 Char Char"/>
    <w:qFormat/>
    <w:uiPriority w:val="0"/>
    <w:rPr>
      <w:rFonts w:ascii="Arial" w:hAnsi="Arial" w:eastAsia="黑体" w:cs="Times New Roman"/>
      <w:b/>
      <w:bCs/>
      <w:kern w:val="2"/>
      <w:sz w:val="32"/>
      <w:szCs w:val="32"/>
      <w:lang w:val="en-US" w:eastAsia="zh-CN" w:bidi="ar-SA"/>
    </w:rPr>
  </w:style>
  <w:style w:type="table" w:customStyle="1" w:styleId="7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C601C27-0C91-4AFC-9A42-7F34AEB806DB}">
  <ds:schemaRefs/>
</ds:datastoreItem>
</file>

<file path=docProps/app.xml><?xml version="1.0" encoding="utf-8"?>
<Properties xmlns="http://schemas.openxmlformats.org/officeDocument/2006/extended-properties" xmlns:vt="http://schemas.openxmlformats.org/officeDocument/2006/docPropsVTypes">
  <Template>Normal.dotm</Template>
  <Company>akoosky</Company>
  <Pages>10</Pages>
  <Words>16682</Words>
  <Characters>17621</Characters>
  <Lines>267</Lines>
  <Paragraphs>75</Paragraphs>
  <TotalTime>4</TotalTime>
  <ScaleCrop>false</ScaleCrop>
  <LinksUpToDate>false</LinksUpToDate>
  <CharactersWithSpaces>17671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2024-08-05T02:33:00Z</dcterms:created>
  <dc:creator>Anakin</dc:creator>
  <cp:lastModifiedBy>admin</cp:lastModifiedBy>
  <cp:lastPrinted>2024-08-10T06:45:00Z</cp:lastPrinted>
  <dcterms:modified xsi:type="dcterms:W3CDTF">2025-04-25T08:48:55Z</dcterms:modified>
  <dc:title>某项目（项目编号：某编号）</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6BA95F7603F741D18ABDA3F8BDA4F46D_13</vt:lpwstr>
  </property>
  <property fmtid="{D5CDD505-2E9C-101B-9397-08002B2CF9AE}" pid="4" name="KSOTemplateDocerSaveRecord">
    <vt:lpwstr>eyJoZGlkIjoiMDE0ZTUxMGViMmE0YTUxNjRlNjY3YjAyMGZkODNiY2IiLCJ1c2VySWQiOiI2MTc2MzY2NTAifQ==</vt:lpwstr>
  </property>
</Properties>
</file>