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F543D">
      <w:pPr>
        <w:wordWrap w:val="0"/>
        <w:spacing w:line="360" w:lineRule="auto"/>
        <w:jc w:val="center"/>
        <w:outlineLvl w:val="1"/>
        <w:rPr>
          <w:rFonts w:ascii="华文中宋" w:hAnsi="华文中宋" w:eastAsia="华文中宋" w:cs="Times New Roman"/>
          <w:b/>
          <w:bCs/>
          <w:kern w:val="44"/>
          <w:sz w:val="44"/>
          <w:szCs w:val="44"/>
          <w:highlight w:val="none"/>
        </w:rPr>
      </w:pPr>
      <w:bookmarkStart w:id="0" w:name="_Toc17676"/>
      <w:bookmarkStart w:id="1" w:name="_Toc18843"/>
      <w:r>
        <w:rPr>
          <w:rFonts w:hint="eastAsia" w:ascii="华文中宋" w:hAnsi="华文中宋" w:eastAsia="华文中宋" w:cs="Times New Roman"/>
          <w:b/>
          <w:bCs/>
          <w:kern w:val="44"/>
          <w:sz w:val="44"/>
          <w:szCs w:val="44"/>
          <w:highlight w:val="none"/>
        </w:rPr>
        <w:t>采购需求</w:t>
      </w:r>
      <w:bookmarkEnd w:id="0"/>
      <w:bookmarkEnd w:id="1"/>
    </w:p>
    <w:p w14:paraId="6BA529BE">
      <w:pPr>
        <w:wordWrap w:val="0"/>
        <w:spacing w:line="440" w:lineRule="exact"/>
        <w:rPr>
          <w:rFonts w:ascii="宋体" w:hAnsi="宋体" w:eastAsia="宋体" w:cs="宋体"/>
          <w:b/>
          <w:sz w:val="24"/>
          <w:highlight w:val="none"/>
        </w:rPr>
      </w:pPr>
      <w:r>
        <w:rPr>
          <w:rFonts w:hint="eastAsia" w:ascii="宋体" w:hAnsi="宋体" w:eastAsia="宋体" w:cs="宋体"/>
          <w:b/>
          <w:sz w:val="24"/>
          <w:highlight w:val="none"/>
        </w:rPr>
        <w:t>前注：</w:t>
      </w:r>
    </w:p>
    <w:p w14:paraId="09D16F77">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1、本采购需求中提出的方案仅为参考，如无明确限制，投标人可以进行适当优化，提供满足采购人实际需要的更优（或者性能实质上不低于的）方案或者配置，且此方案或配置须经评标委员会评审认可。</w:t>
      </w:r>
    </w:p>
    <w:p w14:paraId="4AA25A0D">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2、为鼓励不同品牌的充分竞争，如某设备的某技术参数或要求属于个别品牌专有，则该技术参数及要求不具有限制性，投标人可对该参数或要求进行适当调整，并应当说明调整的理由，且此调整须经评标委员会评审认可。</w:t>
      </w:r>
    </w:p>
    <w:p w14:paraId="64DF5CE8">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3、为有助于投标人选择投标产品，本项目需求中可能提供了参考样图或以具体品牌（型号）进行技术指标描述等，这些样图、品牌（型号）仅供参考，并无限制性。投标人可以选择外观类似样图、性能不低于推荐（或参考）的品牌（或型号）的其他品牌产品，但投标时应当提供有关技术证明资料证明其功能满足采购人实际使用，且须经评标委员会认可，未提供证明材料的可能导致评委不予认可。</w:t>
      </w:r>
    </w:p>
    <w:p w14:paraId="0DD5BEBD">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4、投标人应自行踏勘项目现场，并在投标文件中列出完成本项目并通过验收所需的各项货物及服务的费用。如投标人因未及时踏勘现场而导致的报价缺项漏项或中标后无法完工，投标人自行承担一切后果；中标人必须确保整体通过采购人及有关部门验收，所发生的验收费用由中标人承担。</w:t>
      </w:r>
    </w:p>
    <w:p w14:paraId="568EEF94">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5、根据《关于规范政府采购进口产品有关工作的通知》及政府采购管理部门的相关规定，下列采购需求中标注进口产品的货物均已履行相关论证手续，经核准采购进口产品，但不限制满足招标文件要求的国内产品参与竞争。未标注进口产品的货物均为拒绝采购进口产品。</w:t>
      </w:r>
    </w:p>
    <w:p w14:paraId="6E7CC77B">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6、下列采购需求中：标注▲的产品为核心产品，系采购人根据采购项目技术构成、产品价格比重等合理确定的。投标人在投标文件《主要中标标的承诺函》中填写名称、规格、型号、数量、单价等信息，承诺函随评审结果一并公吿。</w:t>
      </w:r>
    </w:p>
    <w:p w14:paraId="3919B470">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7、建议投标人在证明材料中将关键评审要素重点标注出来，以便于评审。</w:t>
      </w:r>
    </w:p>
    <w:p w14:paraId="7A033B2C">
      <w:pPr>
        <w:wordWrap w:val="0"/>
        <w:spacing w:line="440" w:lineRule="exact"/>
        <w:ind w:firstLine="435"/>
        <w:rPr>
          <w:rFonts w:ascii="宋体" w:hAnsi="宋体" w:eastAsia="宋体" w:cs="宋体"/>
          <w:sz w:val="24"/>
          <w:highlight w:val="none"/>
        </w:rPr>
      </w:pPr>
    </w:p>
    <w:p w14:paraId="541BB753">
      <w:pPr>
        <w:wordWrap w:val="0"/>
        <w:spacing w:line="440" w:lineRule="exact"/>
        <w:ind w:firstLine="435"/>
        <w:rPr>
          <w:rFonts w:ascii="宋体" w:hAnsi="宋体" w:eastAsia="宋体" w:cs="宋体"/>
          <w:sz w:val="24"/>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16B7380A">
      <w:pPr>
        <w:spacing w:line="360" w:lineRule="auto"/>
        <w:ind w:firstLine="562" w:firstLineChars="200"/>
        <w:jc w:val="center"/>
        <w:outlineLvl w:val="2"/>
        <w:rPr>
          <w:rFonts w:ascii="宋体" w:hAnsi="宋体" w:eastAsia="宋体" w:cs="宋体"/>
          <w:b/>
          <w:sz w:val="28"/>
          <w:highlight w:val="none"/>
        </w:rPr>
      </w:pPr>
      <w:bookmarkStart w:id="2" w:name="_Toc24027"/>
      <w:bookmarkStart w:id="3" w:name="_Toc3581"/>
      <w:r>
        <w:rPr>
          <w:rFonts w:hint="eastAsia" w:ascii="宋体" w:hAnsi="宋体" w:eastAsia="宋体" w:cs="宋体"/>
          <w:b/>
          <w:sz w:val="28"/>
          <w:highlight w:val="none"/>
        </w:rPr>
        <w:t>采购需求前附表</w:t>
      </w:r>
    </w:p>
    <w:tbl>
      <w:tblPr>
        <w:tblStyle w:val="25"/>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556"/>
        <w:gridCol w:w="6146"/>
      </w:tblGrid>
      <w:tr w14:paraId="32EE2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15" w:type="dxa"/>
            <w:vAlign w:val="center"/>
          </w:tcPr>
          <w:p w14:paraId="3B6149C8">
            <w:pPr>
              <w:pStyle w:val="44"/>
              <w:pBdr>
                <w:bottom w:val="none" w:color="auto" w:sz="0" w:space="0"/>
              </w:pBdr>
              <w:tabs>
                <w:tab w:val="clear" w:pos="4153"/>
                <w:tab w:val="clear" w:pos="8306"/>
              </w:tabs>
              <w:adjustRightInd/>
              <w:spacing w:line="240" w:lineRule="auto"/>
              <w:textAlignment w:val="auto"/>
              <w:rPr>
                <w:rFonts w:ascii="宋体" w:hAnsi="宋体" w:eastAsia="宋体" w:cs="宋体"/>
                <w:b/>
                <w:kern w:val="2"/>
                <w:highlight w:val="none"/>
              </w:rPr>
            </w:pPr>
            <w:r>
              <w:rPr>
                <w:rFonts w:hint="eastAsia" w:ascii="宋体" w:hAnsi="宋体" w:eastAsia="宋体" w:cs="宋体"/>
                <w:b/>
                <w:kern w:val="2"/>
                <w:highlight w:val="none"/>
              </w:rPr>
              <w:t>序号</w:t>
            </w:r>
          </w:p>
        </w:tc>
        <w:tc>
          <w:tcPr>
            <w:tcW w:w="1556" w:type="dxa"/>
            <w:vAlign w:val="center"/>
          </w:tcPr>
          <w:p w14:paraId="67635892">
            <w:pPr>
              <w:pStyle w:val="43"/>
              <w:widowControl w:val="0"/>
              <w:spacing w:before="0" w:beforeAutospacing="0" w:after="0" w:afterAutospacing="0"/>
              <w:rPr>
                <w:rFonts w:ascii="宋体" w:hAnsi="宋体" w:eastAsia="宋体" w:cs="宋体"/>
                <w:bCs w:val="0"/>
                <w:sz w:val="24"/>
                <w:highlight w:val="none"/>
              </w:rPr>
            </w:pPr>
            <w:r>
              <w:rPr>
                <w:rFonts w:hint="eastAsia" w:ascii="宋体" w:hAnsi="宋体" w:eastAsia="宋体" w:cs="宋体"/>
                <w:bCs w:val="0"/>
                <w:sz w:val="24"/>
                <w:highlight w:val="none"/>
              </w:rPr>
              <w:t>条款名称</w:t>
            </w:r>
          </w:p>
        </w:tc>
        <w:tc>
          <w:tcPr>
            <w:tcW w:w="6146" w:type="dxa"/>
            <w:vAlign w:val="center"/>
          </w:tcPr>
          <w:p w14:paraId="37440CE3">
            <w:pPr>
              <w:pStyle w:val="43"/>
              <w:widowControl w:val="0"/>
              <w:spacing w:before="0" w:beforeAutospacing="0" w:after="0" w:afterAutospacing="0"/>
              <w:rPr>
                <w:rFonts w:ascii="宋体" w:hAnsi="宋体" w:eastAsia="宋体" w:cs="宋体"/>
                <w:bCs w:val="0"/>
                <w:sz w:val="24"/>
                <w:highlight w:val="none"/>
              </w:rPr>
            </w:pPr>
            <w:r>
              <w:rPr>
                <w:rFonts w:hint="eastAsia" w:ascii="宋体" w:hAnsi="宋体" w:eastAsia="宋体" w:cs="宋体"/>
                <w:bCs w:val="0"/>
                <w:sz w:val="24"/>
                <w:highlight w:val="none"/>
              </w:rPr>
              <w:t>内容、说明与要求</w:t>
            </w:r>
          </w:p>
        </w:tc>
      </w:tr>
      <w:tr w14:paraId="6211A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5" w:hRule="atLeast"/>
          <w:jc w:val="center"/>
        </w:trPr>
        <w:tc>
          <w:tcPr>
            <w:tcW w:w="815" w:type="dxa"/>
            <w:vAlign w:val="center"/>
          </w:tcPr>
          <w:p w14:paraId="27913C5F">
            <w:pPr>
              <w:pStyle w:val="44"/>
              <w:pBdr>
                <w:bottom w:val="none" w:color="auto" w:sz="0" w:space="0"/>
              </w:pBdr>
              <w:tabs>
                <w:tab w:val="clear" w:pos="4153"/>
                <w:tab w:val="clear" w:pos="8306"/>
              </w:tabs>
              <w:adjustRightInd/>
              <w:spacing w:line="240" w:lineRule="auto"/>
              <w:textAlignment w:val="auto"/>
              <w:rPr>
                <w:rFonts w:ascii="宋体" w:hAnsi="宋体" w:eastAsia="宋体" w:cs="宋体"/>
                <w:bCs/>
                <w:kern w:val="2"/>
                <w:highlight w:val="none"/>
              </w:rPr>
            </w:pPr>
            <w:r>
              <w:rPr>
                <w:rFonts w:hint="eastAsia" w:ascii="宋体" w:hAnsi="宋体" w:eastAsia="宋体" w:cs="宋体"/>
                <w:bCs/>
                <w:kern w:val="2"/>
                <w:highlight w:val="none"/>
              </w:rPr>
              <w:t>1</w:t>
            </w:r>
          </w:p>
        </w:tc>
        <w:tc>
          <w:tcPr>
            <w:tcW w:w="1556" w:type="dxa"/>
            <w:vAlign w:val="center"/>
          </w:tcPr>
          <w:p w14:paraId="4FB13578">
            <w:pPr>
              <w:pStyle w:val="43"/>
              <w:widowControl w:val="0"/>
              <w:spacing w:before="0" w:beforeAutospacing="0" w:after="0" w:afterAutospacing="0"/>
              <w:rPr>
                <w:rFonts w:ascii="宋体" w:hAnsi="宋体" w:eastAsia="宋体" w:cs="宋体"/>
                <w:b w:val="0"/>
                <w:sz w:val="24"/>
                <w:highlight w:val="none"/>
              </w:rPr>
            </w:pPr>
            <w:r>
              <w:rPr>
                <w:rFonts w:hint="eastAsia" w:ascii="宋体" w:hAnsi="宋体" w:eastAsia="宋体" w:cs="宋体"/>
                <w:b w:val="0"/>
                <w:sz w:val="24"/>
                <w:highlight w:val="none"/>
              </w:rPr>
              <w:t>付款方式</w:t>
            </w:r>
          </w:p>
        </w:tc>
        <w:tc>
          <w:tcPr>
            <w:tcW w:w="6146" w:type="dxa"/>
            <w:vAlign w:val="center"/>
          </w:tcPr>
          <w:p w14:paraId="108F0B19">
            <w:pPr>
              <w:pStyle w:val="43"/>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合同签订后，采购人向中标人支付合同总价30%的预付款；全部货物安装调试验收合格并经双方办理结算确认后支付至结算总价款的100%。如因合同约定的原因或质量问题而引起的采购人支出相关费用，则采购人在支付合同款项时一次性予以扣除。</w:t>
            </w:r>
          </w:p>
          <w:p w14:paraId="09FF77D4">
            <w:pPr>
              <w:pStyle w:val="43"/>
              <w:widowControl w:val="0"/>
              <w:spacing w:before="0" w:beforeAutospacing="0" w:after="0" w:afterAutospacing="0"/>
              <w:ind w:firstLine="480" w:firstLineChars="200"/>
              <w:jc w:val="both"/>
              <w:rPr>
                <w:rFonts w:ascii="宋体" w:hAnsi="宋体" w:eastAsia="宋体" w:cs="宋体"/>
                <w:b w:val="0"/>
                <w:sz w:val="24"/>
                <w:highlight w:val="none"/>
                <w:u w:val="single"/>
              </w:rPr>
            </w:pPr>
            <w:r>
              <w:rPr>
                <w:rFonts w:hint="eastAsia" w:ascii="宋体" w:hAnsi="宋体" w:eastAsia="宋体" w:cs="宋体"/>
                <w:b w:val="0"/>
                <w:bCs w:val="0"/>
                <w:kern w:val="2"/>
                <w:sz w:val="24"/>
                <w:szCs w:val="20"/>
                <w:highlight w:val="none"/>
              </w:rPr>
              <w:t>备注：付款前，中标人须向采购人提供等额的增值税发票。</w:t>
            </w:r>
          </w:p>
        </w:tc>
      </w:tr>
      <w:tr w14:paraId="6A78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15" w:type="dxa"/>
            <w:vAlign w:val="center"/>
          </w:tcPr>
          <w:p w14:paraId="6C494CDF">
            <w:pPr>
              <w:pStyle w:val="44"/>
              <w:pBdr>
                <w:bottom w:val="none" w:color="auto" w:sz="0" w:space="0"/>
              </w:pBdr>
              <w:tabs>
                <w:tab w:val="clear" w:pos="4153"/>
                <w:tab w:val="clear" w:pos="8306"/>
              </w:tabs>
              <w:adjustRightInd/>
              <w:spacing w:line="240" w:lineRule="auto"/>
              <w:textAlignment w:val="auto"/>
              <w:rPr>
                <w:rFonts w:ascii="宋体" w:hAnsi="宋体" w:eastAsia="宋体" w:cs="宋体"/>
                <w:bCs/>
                <w:kern w:val="2"/>
                <w:highlight w:val="none"/>
              </w:rPr>
            </w:pPr>
            <w:r>
              <w:rPr>
                <w:rFonts w:hint="eastAsia" w:ascii="宋体" w:hAnsi="宋体" w:eastAsia="宋体" w:cs="宋体"/>
                <w:bCs/>
                <w:kern w:val="2"/>
                <w:highlight w:val="none"/>
              </w:rPr>
              <w:t>2</w:t>
            </w:r>
          </w:p>
        </w:tc>
        <w:tc>
          <w:tcPr>
            <w:tcW w:w="1556" w:type="dxa"/>
            <w:vAlign w:val="center"/>
          </w:tcPr>
          <w:p w14:paraId="3E687AA8">
            <w:pPr>
              <w:pStyle w:val="43"/>
              <w:widowControl w:val="0"/>
              <w:spacing w:before="0" w:beforeAutospacing="0" w:after="0" w:afterAutospacing="0"/>
              <w:rPr>
                <w:rFonts w:ascii="宋体" w:hAnsi="宋体" w:eastAsia="宋体" w:cs="宋体"/>
                <w:b w:val="0"/>
                <w:sz w:val="24"/>
                <w:highlight w:val="none"/>
              </w:rPr>
            </w:pPr>
            <w:r>
              <w:rPr>
                <w:rFonts w:hint="eastAsia" w:ascii="宋体" w:hAnsi="宋体" w:eastAsia="宋体" w:cs="宋体"/>
                <w:b w:val="0"/>
                <w:sz w:val="24"/>
                <w:highlight w:val="none"/>
              </w:rPr>
              <w:t>供货及安装地点</w:t>
            </w:r>
          </w:p>
        </w:tc>
        <w:tc>
          <w:tcPr>
            <w:tcW w:w="6146" w:type="dxa"/>
            <w:vAlign w:val="center"/>
          </w:tcPr>
          <w:p w14:paraId="04E83EF4">
            <w:pPr>
              <w:pStyle w:val="43"/>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中国科学技术大学</w:t>
            </w:r>
            <w:r>
              <w:rPr>
                <w:rFonts w:hint="eastAsia" w:ascii="宋体" w:hAnsi="宋体" w:eastAsia="宋体" w:cs="宋体"/>
                <w:b w:val="0"/>
                <w:sz w:val="24"/>
                <w:highlight w:val="none"/>
                <w:lang w:val="en-US" w:eastAsia="zh-CN"/>
              </w:rPr>
              <w:t>内</w:t>
            </w:r>
            <w:r>
              <w:rPr>
                <w:rFonts w:hint="eastAsia" w:ascii="宋体" w:hAnsi="宋体" w:eastAsia="宋体" w:cs="宋体"/>
                <w:b w:val="0"/>
                <w:sz w:val="24"/>
                <w:highlight w:val="none"/>
              </w:rPr>
              <w:t>，具体位置由采购人指定。</w:t>
            </w:r>
          </w:p>
        </w:tc>
      </w:tr>
      <w:tr w14:paraId="3954B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815" w:type="dxa"/>
            <w:vAlign w:val="center"/>
          </w:tcPr>
          <w:p w14:paraId="1C9FE9AC">
            <w:pPr>
              <w:pStyle w:val="44"/>
              <w:pBdr>
                <w:bottom w:val="none" w:color="auto" w:sz="0" w:space="0"/>
              </w:pBdr>
              <w:tabs>
                <w:tab w:val="clear" w:pos="4153"/>
                <w:tab w:val="clear" w:pos="8306"/>
              </w:tabs>
              <w:adjustRightInd/>
              <w:spacing w:line="240" w:lineRule="auto"/>
              <w:textAlignment w:val="auto"/>
              <w:rPr>
                <w:rFonts w:ascii="宋体" w:hAnsi="宋体" w:eastAsia="宋体" w:cs="宋体"/>
                <w:bCs/>
                <w:kern w:val="2"/>
                <w:highlight w:val="none"/>
              </w:rPr>
            </w:pPr>
            <w:r>
              <w:rPr>
                <w:rFonts w:hint="eastAsia" w:ascii="宋体" w:hAnsi="宋体" w:eastAsia="宋体" w:cs="宋体"/>
                <w:bCs/>
                <w:kern w:val="2"/>
                <w:highlight w:val="none"/>
              </w:rPr>
              <w:t>3</w:t>
            </w:r>
          </w:p>
        </w:tc>
        <w:tc>
          <w:tcPr>
            <w:tcW w:w="1556" w:type="dxa"/>
            <w:vAlign w:val="center"/>
          </w:tcPr>
          <w:p w14:paraId="34171ECB">
            <w:pPr>
              <w:pStyle w:val="43"/>
              <w:widowControl w:val="0"/>
              <w:spacing w:before="0" w:beforeAutospacing="0" w:after="0" w:afterAutospacing="0"/>
              <w:rPr>
                <w:rFonts w:hint="eastAsia" w:ascii="宋体" w:hAnsi="宋体" w:eastAsia="宋体" w:cs="宋体"/>
                <w:b w:val="0"/>
                <w:sz w:val="24"/>
                <w:highlight w:val="none"/>
                <w:lang w:eastAsia="zh-CN"/>
              </w:rPr>
            </w:pPr>
            <w:r>
              <w:rPr>
                <w:rFonts w:hint="eastAsia" w:ascii="宋体" w:hAnsi="宋体" w:eastAsia="宋体" w:cs="宋体"/>
                <w:b w:val="0"/>
                <w:sz w:val="24"/>
                <w:highlight w:val="none"/>
                <w:lang w:eastAsia="zh-CN"/>
              </w:rPr>
              <w:t>供货安装调试期限</w:t>
            </w:r>
          </w:p>
        </w:tc>
        <w:tc>
          <w:tcPr>
            <w:tcW w:w="6146" w:type="dxa"/>
            <w:vAlign w:val="center"/>
          </w:tcPr>
          <w:p w14:paraId="698EC9F3">
            <w:pPr>
              <w:pStyle w:val="43"/>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合同签订之日起</w:t>
            </w:r>
            <w:r>
              <w:rPr>
                <w:rFonts w:hint="eastAsia" w:ascii="宋体" w:hAnsi="宋体" w:eastAsia="宋体" w:cs="宋体"/>
                <w:b w:val="0"/>
                <w:sz w:val="24"/>
                <w:highlight w:val="none"/>
                <w:lang w:val="en-US" w:eastAsia="zh-CN"/>
              </w:rPr>
              <w:t>30</w:t>
            </w:r>
            <w:r>
              <w:rPr>
                <w:rFonts w:hint="eastAsia" w:ascii="宋体" w:hAnsi="宋体" w:eastAsia="宋体" w:cs="宋体"/>
                <w:b w:val="0"/>
                <w:sz w:val="24"/>
                <w:highlight w:val="none"/>
              </w:rPr>
              <w:t>个日历天内完成供货安装调试工作。</w:t>
            </w:r>
          </w:p>
          <w:p w14:paraId="02A8661C">
            <w:pPr>
              <w:pStyle w:val="43"/>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备注：投标人应充分考虑到项目实施过程中的各种风险因素，并视为已含在投标总报价中，中标后不再因此另行增加费用。</w:t>
            </w:r>
          </w:p>
        </w:tc>
      </w:tr>
      <w:tr w14:paraId="431B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815" w:type="dxa"/>
            <w:vAlign w:val="center"/>
          </w:tcPr>
          <w:p w14:paraId="079DEF7C">
            <w:pPr>
              <w:pStyle w:val="44"/>
              <w:pBdr>
                <w:bottom w:val="none" w:color="auto" w:sz="0" w:space="0"/>
              </w:pBdr>
              <w:tabs>
                <w:tab w:val="clear" w:pos="4153"/>
                <w:tab w:val="clear" w:pos="8306"/>
              </w:tabs>
              <w:adjustRightInd/>
              <w:spacing w:line="240" w:lineRule="auto"/>
              <w:textAlignment w:val="auto"/>
              <w:rPr>
                <w:rFonts w:ascii="宋体" w:hAnsi="宋体" w:eastAsia="宋体" w:cs="宋体"/>
                <w:bCs/>
                <w:kern w:val="2"/>
                <w:highlight w:val="none"/>
              </w:rPr>
            </w:pPr>
            <w:r>
              <w:rPr>
                <w:rFonts w:hint="eastAsia" w:ascii="宋体" w:hAnsi="宋体" w:eastAsia="宋体" w:cs="宋体"/>
                <w:bCs/>
                <w:kern w:val="2"/>
                <w:highlight w:val="none"/>
              </w:rPr>
              <w:t>4</w:t>
            </w:r>
          </w:p>
        </w:tc>
        <w:tc>
          <w:tcPr>
            <w:tcW w:w="1556" w:type="dxa"/>
            <w:vAlign w:val="center"/>
          </w:tcPr>
          <w:p w14:paraId="68FA1BF5">
            <w:pPr>
              <w:pStyle w:val="43"/>
              <w:widowControl w:val="0"/>
              <w:spacing w:before="0" w:beforeAutospacing="0" w:after="0" w:afterAutospacing="0"/>
              <w:rPr>
                <w:rFonts w:hint="eastAsia" w:ascii="宋体" w:hAnsi="宋体" w:eastAsia="宋体" w:cs="宋体"/>
                <w:b w:val="0"/>
                <w:sz w:val="24"/>
                <w:highlight w:val="none"/>
                <w:lang w:eastAsia="zh-CN"/>
              </w:rPr>
            </w:pPr>
            <w:r>
              <w:rPr>
                <w:rFonts w:hint="eastAsia" w:ascii="宋体" w:hAnsi="宋体" w:eastAsia="宋体" w:cs="宋体"/>
                <w:b w:val="0"/>
                <w:sz w:val="24"/>
                <w:highlight w:val="none"/>
                <w:lang w:eastAsia="zh-CN"/>
              </w:rPr>
              <w:t>免费保修期</w:t>
            </w:r>
          </w:p>
        </w:tc>
        <w:tc>
          <w:tcPr>
            <w:tcW w:w="6146" w:type="dxa"/>
            <w:vAlign w:val="center"/>
          </w:tcPr>
          <w:p w14:paraId="6E9E532B">
            <w:pPr>
              <w:pStyle w:val="43"/>
              <w:widowControl w:val="0"/>
              <w:spacing w:before="0" w:beforeAutospacing="0" w:after="0" w:afterAutospacing="0"/>
              <w:ind w:firstLine="480" w:firstLineChars="200"/>
              <w:jc w:val="both"/>
              <w:rPr>
                <w:rFonts w:ascii="宋体" w:hAnsi="宋体" w:eastAsia="宋体" w:cs="宋体"/>
                <w:b w:val="0"/>
                <w:sz w:val="24"/>
                <w:highlight w:val="none"/>
              </w:rPr>
            </w:pPr>
            <w:r>
              <w:rPr>
                <w:rFonts w:hint="eastAsia" w:ascii="宋体" w:hAnsi="宋体" w:eastAsia="宋体" w:cs="宋体"/>
                <w:b w:val="0"/>
                <w:sz w:val="24"/>
                <w:highlight w:val="none"/>
              </w:rPr>
              <w:t>自验收合格之日起不低于</w:t>
            </w:r>
            <w:r>
              <w:rPr>
                <w:rFonts w:hint="eastAsia" w:ascii="宋体" w:hAnsi="宋体" w:eastAsia="宋体" w:cs="宋体"/>
                <w:b w:val="0"/>
                <w:sz w:val="24"/>
                <w:highlight w:val="none"/>
                <w:lang w:eastAsia="zh-CN"/>
              </w:rPr>
              <w:t>两</w:t>
            </w:r>
            <w:r>
              <w:rPr>
                <w:rFonts w:hint="eastAsia" w:ascii="宋体" w:hAnsi="宋体" w:eastAsia="宋体" w:cs="宋体"/>
                <w:b w:val="0"/>
                <w:sz w:val="24"/>
                <w:highlight w:val="none"/>
              </w:rPr>
              <w:t>年（整体质保）。</w:t>
            </w:r>
          </w:p>
        </w:tc>
      </w:tr>
      <w:tr w14:paraId="28E2C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815" w:type="dxa"/>
            <w:vAlign w:val="center"/>
          </w:tcPr>
          <w:p w14:paraId="00F5888A">
            <w:pPr>
              <w:pStyle w:val="44"/>
              <w:pBdr>
                <w:bottom w:val="none" w:color="auto" w:sz="0" w:space="0"/>
              </w:pBdr>
              <w:tabs>
                <w:tab w:val="clear" w:pos="4153"/>
                <w:tab w:val="clear" w:pos="8306"/>
              </w:tabs>
              <w:adjustRightInd/>
              <w:spacing w:line="240" w:lineRule="auto"/>
              <w:textAlignment w:val="auto"/>
              <w:rPr>
                <w:rFonts w:ascii="宋体" w:hAnsi="宋体" w:eastAsia="宋体" w:cs="宋体"/>
                <w:bCs/>
                <w:kern w:val="2"/>
                <w:highlight w:val="none"/>
              </w:rPr>
            </w:pPr>
            <w:r>
              <w:rPr>
                <w:rFonts w:hint="eastAsia" w:ascii="宋体" w:hAnsi="宋体" w:eastAsia="宋体" w:cs="宋体"/>
                <w:bCs/>
                <w:kern w:val="2"/>
                <w:highlight w:val="none"/>
              </w:rPr>
              <w:t>5</w:t>
            </w:r>
          </w:p>
        </w:tc>
        <w:tc>
          <w:tcPr>
            <w:tcW w:w="1556" w:type="dxa"/>
            <w:vAlign w:val="center"/>
          </w:tcPr>
          <w:p w14:paraId="6956FE93">
            <w:pPr>
              <w:jc w:val="center"/>
              <w:rPr>
                <w:rFonts w:ascii="宋体" w:hAnsi="宋体" w:eastAsia="宋体" w:cs="宋体"/>
                <w:sz w:val="24"/>
                <w:highlight w:val="none"/>
              </w:rPr>
            </w:pPr>
            <w:r>
              <w:rPr>
                <w:rFonts w:hint="eastAsia" w:ascii="宋体" w:hAnsi="宋体" w:eastAsia="宋体" w:cs="宋体"/>
                <w:sz w:val="24"/>
                <w:szCs w:val="24"/>
                <w:highlight w:val="none"/>
              </w:rPr>
              <w:t>售后服务要求</w:t>
            </w:r>
          </w:p>
        </w:tc>
        <w:tc>
          <w:tcPr>
            <w:tcW w:w="6146" w:type="dxa"/>
            <w:vAlign w:val="center"/>
          </w:tcPr>
          <w:p w14:paraId="4F265C54">
            <w:pPr>
              <w:pStyle w:val="46"/>
              <w:ind w:firstLine="480" w:firstLineChars="200"/>
              <w:rPr>
                <w:rFonts w:ascii="宋体" w:hAnsi="宋体" w:cs="宋体"/>
                <w:highlight w:val="none"/>
              </w:rPr>
            </w:pPr>
            <w:r>
              <w:rPr>
                <w:rFonts w:hint="eastAsia" w:ascii="宋体" w:hAnsi="宋体" w:cs="宋体"/>
                <w:szCs w:val="24"/>
                <w:highlight w:val="none"/>
              </w:rPr>
              <w:t>本项目要求由中标人提供免费质保服务。在免费保修期内，中标人应保证货物及服务的质量，针对损坏的产品，电话报修后1小时免费上门维修或更换，4小时内排除故障（人为故意损毁或不可抗力因素导致的损坏除外）。当产品在免费保修期内发生质量问题，中标人还应承担由此导致的其他经济损失。</w:t>
            </w:r>
          </w:p>
        </w:tc>
      </w:tr>
      <w:tr w14:paraId="6CA95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15" w:type="dxa"/>
            <w:vAlign w:val="center"/>
          </w:tcPr>
          <w:p w14:paraId="4E7F8294">
            <w:pPr>
              <w:pStyle w:val="44"/>
              <w:pBdr>
                <w:bottom w:val="none" w:color="auto" w:sz="0" w:space="0"/>
              </w:pBdr>
              <w:tabs>
                <w:tab w:val="clear" w:pos="4153"/>
                <w:tab w:val="clear" w:pos="8306"/>
              </w:tabs>
              <w:adjustRightInd/>
              <w:spacing w:line="240" w:lineRule="auto"/>
              <w:textAlignment w:val="auto"/>
              <w:rPr>
                <w:rFonts w:ascii="宋体" w:hAnsi="宋体" w:eastAsia="宋体" w:cs="宋体"/>
                <w:bCs/>
                <w:kern w:val="2"/>
                <w:highlight w:val="none"/>
              </w:rPr>
            </w:pPr>
            <w:r>
              <w:rPr>
                <w:rFonts w:hint="eastAsia" w:ascii="宋体" w:hAnsi="宋体" w:eastAsia="宋体" w:cs="宋体"/>
                <w:bCs/>
                <w:kern w:val="2"/>
                <w:highlight w:val="none"/>
              </w:rPr>
              <w:t>6</w:t>
            </w:r>
          </w:p>
        </w:tc>
        <w:tc>
          <w:tcPr>
            <w:tcW w:w="1556" w:type="dxa"/>
            <w:vAlign w:val="center"/>
          </w:tcPr>
          <w:p w14:paraId="690FE82F">
            <w:pPr>
              <w:jc w:val="center"/>
              <w:rPr>
                <w:rFonts w:ascii="宋体" w:hAnsi="宋体" w:eastAsia="宋体" w:cs="宋体"/>
                <w:sz w:val="24"/>
                <w:highlight w:val="none"/>
                <w:lang w:val="zh-CN"/>
              </w:rPr>
            </w:pPr>
            <w:r>
              <w:rPr>
                <w:rFonts w:hint="eastAsia" w:ascii="宋体" w:hAnsi="宋体" w:eastAsia="宋体" w:cs="宋体"/>
                <w:sz w:val="24"/>
                <w:highlight w:val="none"/>
                <w:lang w:val="zh-CN"/>
              </w:rPr>
              <w:t>备注</w:t>
            </w:r>
          </w:p>
        </w:tc>
        <w:tc>
          <w:tcPr>
            <w:tcW w:w="6146" w:type="dxa"/>
            <w:vAlign w:val="center"/>
          </w:tcPr>
          <w:p w14:paraId="03CB32BC">
            <w:pPr>
              <w:pStyle w:val="46"/>
              <w:ind w:firstLine="480" w:firstLineChars="200"/>
              <w:rPr>
                <w:rFonts w:ascii="宋体" w:hAnsi="宋体" w:cs="宋体"/>
                <w:highlight w:val="none"/>
                <w:lang w:val="zh-CN"/>
              </w:rPr>
            </w:pPr>
            <w:r>
              <w:rPr>
                <w:rFonts w:hint="eastAsia" w:ascii="宋体" w:hAnsi="宋体" w:cs="宋体"/>
                <w:highlight w:val="none"/>
              </w:rPr>
              <w:t>以下采购产品，按照国家相关规定，其所属行业均为工业。</w:t>
            </w:r>
          </w:p>
        </w:tc>
      </w:tr>
    </w:tbl>
    <w:p w14:paraId="1A675F72">
      <w:pPr>
        <w:spacing w:line="360" w:lineRule="auto"/>
        <w:ind w:firstLine="437"/>
        <w:rPr>
          <w:rFonts w:ascii="宋体" w:hAnsi="宋体" w:eastAsia="宋体" w:cs="宋体"/>
          <w:b/>
          <w:bCs/>
          <w:sz w:val="24"/>
          <w:szCs w:val="18"/>
          <w:highlight w:val="none"/>
        </w:rPr>
        <w:sectPr>
          <w:pgSz w:w="11906" w:h="16838"/>
          <w:pgMar w:top="1440" w:right="1800" w:bottom="1440" w:left="1800" w:header="851" w:footer="992" w:gutter="0"/>
          <w:cols w:space="425" w:num="1"/>
          <w:docGrid w:type="lines" w:linePitch="312" w:charSpace="0"/>
        </w:sectPr>
      </w:pPr>
    </w:p>
    <w:p w14:paraId="606F6C87">
      <w:pPr>
        <w:spacing w:line="360" w:lineRule="auto"/>
        <w:ind w:firstLine="482" w:firstLineChars="200"/>
        <w:outlineLvl w:val="2"/>
        <w:rPr>
          <w:rFonts w:hint="default" w:ascii="宋体" w:hAnsi="宋体" w:eastAsia="宋体" w:cs="宋体"/>
          <w:b/>
          <w:sz w:val="24"/>
          <w:szCs w:val="18"/>
          <w:highlight w:val="none"/>
          <w:lang w:val="en-US" w:eastAsia="zh-CN"/>
        </w:rPr>
      </w:pPr>
      <w:r>
        <w:rPr>
          <w:rFonts w:hint="eastAsia" w:ascii="宋体" w:hAnsi="宋体" w:eastAsia="宋体" w:cs="宋体"/>
          <w:b/>
          <w:sz w:val="24"/>
          <w:szCs w:val="18"/>
          <w:highlight w:val="none"/>
        </w:rPr>
        <w:t>二、</w:t>
      </w:r>
      <w:r>
        <w:rPr>
          <w:rFonts w:hint="eastAsia" w:ascii="宋体" w:hAnsi="宋体" w:eastAsia="宋体" w:cs="宋体"/>
          <w:b/>
          <w:sz w:val="24"/>
          <w:szCs w:val="18"/>
          <w:highlight w:val="none"/>
          <w:lang w:val="en-US" w:eastAsia="zh-CN"/>
        </w:rPr>
        <w:t>总体要求</w:t>
      </w:r>
    </w:p>
    <w:p w14:paraId="414AC26B">
      <w:pPr>
        <w:spacing w:line="360" w:lineRule="auto"/>
        <w:ind w:firstLine="480" w:firstLineChars="200"/>
        <w:rPr>
          <w:rFonts w:hint="eastAsia" w:ascii="宋体" w:hAnsi="宋体" w:eastAsia="宋体" w:cs="宋体"/>
          <w:bCs/>
          <w:sz w:val="24"/>
          <w:szCs w:val="18"/>
          <w:highlight w:val="none"/>
        </w:rPr>
      </w:pPr>
      <w:r>
        <w:rPr>
          <w:rFonts w:hint="eastAsia" w:ascii="宋体" w:hAnsi="宋体" w:eastAsia="宋体" w:cs="宋体"/>
          <w:bCs/>
          <w:sz w:val="24"/>
          <w:szCs w:val="18"/>
          <w:highlight w:val="none"/>
        </w:rPr>
        <w:t>1、本次招标范围包括下表所列设备的供货、包装</w:t>
      </w:r>
      <w:r>
        <w:rPr>
          <w:rFonts w:hint="eastAsia" w:ascii="宋体" w:hAnsi="宋体" w:eastAsia="宋体" w:cs="宋体"/>
          <w:bCs/>
          <w:sz w:val="24"/>
          <w:szCs w:val="18"/>
          <w:highlight w:val="none"/>
          <w:lang w:eastAsia="zh-CN"/>
        </w:rPr>
        <w:t>、</w:t>
      </w:r>
      <w:r>
        <w:rPr>
          <w:rFonts w:hint="eastAsia" w:ascii="宋体" w:hAnsi="宋体" w:eastAsia="宋体" w:cs="宋体"/>
          <w:bCs/>
          <w:sz w:val="24"/>
          <w:szCs w:val="18"/>
          <w:highlight w:val="none"/>
        </w:rPr>
        <w:t>运输及保险、装卸、安装、调试、考核（检测）验收、培训及</w:t>
      </w:r>
      <w:r>
        <w:rPr>
          <w:rFonts w:hint="eastAsia" w:ascii="宋体" w:hAnsi="宋体" w:eastAsia="宋体" w:cs="宋体"/>
          <w:bCs/>
          <w:sz w:val="24"/>
          <w:szCs w:val="18"/>
          <w:highlight w:val="none"/>
          <w:lang w:val="en-US" w:eastAsia="zh-CN"/>
        </w:rPr>
        <w:t>免费保修期</w:t>
      </w:r>
      <w:r>
        <w:rPr>
          <w:rFonts w:hint="eastAsia" w:ascii="宋体" w:hAnsi="宋体" w:eastAsia="宋体" w:cs="宋体"/>
          <w:bCs/>
          <w:sz w:val="24"/>
          <w:szCs w:val="18"/>
          <w:highlight w:val="none"/>
        </w:rPr>
        <w:t>内免费维修保养服务等全部内容。</w:t>
      </w:r>
    </w:p>
    <w:p w14:paraId="58DC04EE">
      <w:pPr>
        <w:spacing w:line="360" w:lineRule="auto"/>
        <w:ind w:firstLine="480" w:firstLineChars="200"/>
        <w:rPr>
          <w:rFonts w:hint="eastAsia" w:ascii="宋体" w:hAnsi="宋体" w:eastAsia="宋体" w:cs="宋体"/>
          <w:bCs/>
          <w:sz w:val="24"/>
          <w:szCs w:val="18"/>
          <w:highlight w:val="none"/>
        </w:rPr>
      </w:pPr>
      <w:r>
        <w:rPr>
          <w:rFonts w:hint="eastAsia" w:ascii="宋体" w:hAnsi="宋体" w:eastAsia="宋体" w:cs="宋体"/>
          <w:bCs/>
          <w:sz w:val="24"/>
          <w:szCs w:val="18"/>
          <w:highlight w:val="none"/>
          <w:lang w:val="en-US" w:eastAsia="zh-CN"/>
        </w:rPr>
        <w:t>2</w:t>
      </w:r>
      <w:r>
        <w:rPr>
          <w:rFonts w:hint="eastAsia" w:ascii="宋体" w:hAnsi="宋体" w:eastAsia="宋体" w:cs="宋体"/>
          <w:bCs/>
          <w:sz w:val="24"/>
          <w:szCs w:val="18"/>
          <w:highlight w:val="none"/>
        </w:rPr>
        <w:t>、清单中提出的技术参数要求为最低限度的技术要求，并未对一切技术细节做出规定，也未充分引述有关标准和规范的条文，投标人应保证提供符合或优于本技术参数要求和有关标准、规范的优质产品。</w:t>
      </w:r>
    </w:p>
    <w:p w14:paraId="67A6B853">
      <w:pPr>
        <w:spacing w:line="360" w:lineRule="auto"/>
        <w:ind w:firstLine="480" w:firstLineChars="200"/>
        <w:rPr>
          <w:rFonts w:ascii="宋体" w:hAnsi="宋体" w:eastAsia="宋体" w:cs="宋体"/>
          <w:bCs/>
          <w:sz w:val="24"/>
          <w:szCs w:val="18"/>
          <w:highlight w:val="none"/>
        </w:rPr>
      </w:pPr>
      <w:r>
        <w:rPr>
          <w:rFonts w:hint="eastAsia" w:ascii="宋体" w:hAnsi="宋体" w:eastAsia="宋体" w:cs="宋体"/>
          <w:bCs/>
          <w:sz w:val="24"/>
          <w:szCs w:val="18"/>
          <w:highlight w:val="none"/>
          <w:lang w:val="en-US" w:eastAsia="zh-CN"/>
        </w:rPr>
        <w:t>3</w:t>
      </w:r>
      <w:r>
        <w:rPr>
          <w:rFonts w:hint="eastAsia" w:ascii="宋体" w:hAnsi="宋体" w:eastAsia="宋体" w:cs="宋体"/>
          <w:bCs/>
          <w:sz w:val="24"/>
          <w:szCs w:val="18"/>
          <w:highlight w:val="none"/>
        </w:rPr>
        <w:t>、投标人应自行踏勘本项目实施现场，核对现场的土建尺寸等可能影响后期安装的全部因素，确保所投空调满足现场实际安装要求。</w:t>
      </w:r>
    </w:p>
    <w:p w14:paraId="4B4C4337">
      <w:pPr>
        <w:spacing w:line="360" w:lineRule="auto"/>
        <w:ind w:firstLine="482" w:firstLineChars="200"/>
        <w:outlineLvl w:val="2"/>
        <w:rPr>
          <w:rFonts w:ascii="宋体" w:hAnsi="宋体" w:eastAsia="宋体" w:cs="宋体"/>
          <w:b/>
          <w:sz w:val="24"/>
          <w:szCs w:val="18"/>
          <w:highlight w:val="none"/>
        </w:rPr>
      </w:pPr>
      <w:r>
        <w:rPr>
          <w:rFonts w:hint="eastAsia" w:ascii="宋体" w:hAnsi="宋体" w:eastAsia="宋体" w:cs="宋体"/>
          <w:b/>
          <w:sz w:val="24"/>
          <w:szCs w:val="18"/>
          <w:highlight w:val="none"/>
        </w:rPr>
        <w:t>三、货物需求一览表</w:t>
      </w:r>
    </w:p>
    <w:tbl>
      <w:tblPr>
        <w:tblStyle w:val="25"/>
        <w:tblW w:w="9692" w:type="dxa"/>
        <w:jc w:val="center"/>
        <w:tblLayout w:type="fixed"/>
        <w:tblCellMar>
          <w:top w:w="0" w:type="dxa"/>
          <w:left w:w="108" w:type="dxa"/>
          <w:bottom w:w="0" w:type="dxa"/>
          <w:right w:w="108" w:type="dxa"/>
        </w:tblCellMar>
      </w:tblPr>
      <w:tblGrid>
        <w:gridCol w:w="713"/>
        <w:gridCol w:w="1721"/>
        <w:gridCol w:w="5403"/>
        <w:gridCol w:w="873"/>
        <w:gridCol w:w="982"/>
      </w:tblGrid>
      <w:tr w14:paraId="371D84DF">
        <w:tblPrEx>
          <w:tblCellMar>
            <w:top w:w="0" w:type="dxa"/>
            <w:left w:w="108" w:type="dxa"/>
            <w:bottom w:w="0" w:type="dxa"/>
            <w:right w:w="108" w:type="dxa"/>
          </w:tblCellMar>
        </w:tblPrEx>
        <w:trPr>
          <w:trHeight w:val="702"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3C859F74">
            <w:pPr>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序号</w:t>
            </w:r>
          </w:p>
        </w:tc>
        <w:tc>
          <w:tcPr>
            <w:tcW w:w="1721" w:type="dxa"/>
            <w:tcBorders>
              <w:top w:val="single" w:color="auto" w:sz="4" w:space="0"/>
              <w:left w:val="nil"/>
              <w:bottom w:val="single" w:color="auto" w:sz="4" w:space="0"/>
              <w:right w:val="single" w:color="auto" w:sz="4" w:space="0"/>
            </w:tcBorders>
            <w:noWrap w:val="0"/>
            <w:vAlign w:val="center"/>
          </w:tcPr>
          <w:p w14:paraId="09B6A740">
            <w:pPr>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设备名称</w:t>
            </w:r>
          </w:p>
        </w:tc>
        <w:tc>
          <w:tcPr>
            <w:tcW w:w="5403" w:type="dxa"/>
            <w:tcBorders>
              <w:top w:val="single" w:color="auto" w:sz="4" w:space="0"/>
              <w:left w:val="nil"/>
              <w:bottom w:val="single" w:color="auto" w:sz="4" w:space="0"/>
              <w:right w:val="single" w:color="auto" w:sz="4" w:space="0"/>
            </w:tcBorders>
            <w:noWrap w:val="0"/>
            <w:vAlign w:val="center"/>
          </w:tcPr>
          <w:p w14:paraId="1CA5CA5C">
            <w:pPr>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主要技术参数要求</w:t>
            </w:r>
          </w:p>
        </w:tc>
        <w:tc>
          <w:tcPr>
            <w:tcW w:w="873" w:type="dxa"/>
            <w:tcBorders>
              <w:top w:val="single" w:color="auto" w:sz="4" w:space="0"/>
              <w:left w:val="nil"/>
              <w:bottom w:val="single" w:color="auto" w:sz="4" w:space="0"/>
              <w:right w:val="single" w:color="auto" w:sz="4" w:space="0"/>
            </w:tcBorders>
            <w:noWrap w:val="0"/>
            <w:vAlign w:val="center"/>
          </w:tcPr>
          <w:p w14:paraId="52CA3F5C">
            <w:pPr>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数量</w:t>
            </w:r>
          </w:p>
        </w:tc>
        <w:tc>
          <w:tcPr>
            <w:tcW w:w="982" w:type="dxa"/>
            <w:tcBorders>
              <w:top w:val="single" w:color="auto" w:sz="4" w:space="0"/>
              <w:left w:val="nil"/>
              <w:bottom w:val="single" w:color="auto" w:sz="4" w:space="0"/>
              <w:right w:val="single" w:color="auto" w:sz="4" w:space="0"/>
            </w:tcBorders>
            <w:noWrap w:val="0"/>
            <w:vAlign w:val="center"/>
          </w:tcPr>
          <w:p w14:paraId="5142E0E0">
            <w:pPr>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单位</w:t>
            </w:r>
          </w:p>
        </w:tc>
      </w:tr>
      <w:tr w14:paraId="1D5B3563">
        <w:tblPrEx>
          <w:tblCellMar>
            <w:top w:w="0" w:type="dxa"/>
            <w:left w:w="108" w:type="dxa"/>
            <w:bottom w:w="0" w:type="dxa"/>
            <w:right w:w="108" w:type="dxa"/>
          </w:tblCellMar>
        </w:tblPrEx>
        <w:trPr>
          <w:trHeight w:val="1407" w:hRule="atLeast"/>
          <w:jc w:val="center"/>
        </w:trPr>
        <w:tc>
          <w:tcPr>
            <w:tcW w:w="713" w:type="dxa"/>
            <w:tcBorders>
              <w:top w:val="nil"/>
              <w:left w:val="single" w:color="auto" w:sz="4" w:space="0"/>
              <w:bottom w:val="single" w:color="auto" w:sz="4" w:space="0"/>
              <w:right w:val="single" w:color="auto" w:sz="4" w:space="0"/>
            </w:tcBorders>
            <w:noWrap w:val="0"/>
            <w:vAlign w:val="center"/>
          </w:tcPr>
          <w:p w14:paraId="37436A32">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721" w:type="dxa"/>
            <w:tcBorders>
              <w:top w:val="single" w:color="auto" w:sz="4" w:space="0"/>
              <w:left w:val="nil"/>
              <w:bottom w:val="single" w:color="auto" w:sz="4" w:space="0"/>
              <w:right w:val="single" w:color="auto" w:sz="4" w:space="0"/>
            </w:tcBorders>
            <w:noWrap w:val="0"/>
            <w:vAlign w:val="center"/>
          </w:tcPr>
          <w:p w14:paraId="6EF588B4">
            <w:pPr>
              <w:pStyle w:val="41"/>
              <w:ind w:left="0" w:leftChars="0" w:firstLine="0" w:firstLineChars="0"/>
              <w:jc w:val="center"/>
              <w:rPr>
                <w:rStyle w:val="76"/>
                <w:rFonts w:hint="eastAsia" w:ascii="宋体" w:hAnsi="宋体" w:eastAsia="@仿宋_GB2312" w:cs="宋体"/>
                <w:color w:val="auto"/>
                <w:sz w:val="24"/>
                <w:szCs w:val="24"/>
                <w:highlight w:val="none"/>
                <w:lang w:val="en-US" w:eastAsia="zh-CN" w:bidi="ar"/>
              </w:rPr>
            </w:pPr>
            <w:r>
              <w:rPr>
                <w:rFonts w:hint="eastAsia" w:ascii="宋体" w:hAnsi="宋体" w:eastAsia="宋体" w:cs="宋体"/>
                <w:sz w:val="24"/>
                <w:highlight w:val="none"/>
              </w:rPr>
              <w:t>▲</w:t>
            </w:r>
            <w:r>
              <w:rPr>
                <w:rFonts w:hint="eastAsia" w:ascii="宋体" w:hAnsi="宋体" w:eastAsia="宋体" w:cs="宋体"/>
                <w:color w:val="auto"/>
                <w:sz w:val="24"/>
                <w:szCs w:val="24"/>
                <w:highlight w:val="none"/>
                <w:lang w:val="en-US" w:eastAsia="zh-CN"/>
              </w:rPr>
              <w:t>中央空调</w:t>
            </w:r>
          </w:p>
        </w:tc>
        <w:tc>
          <w:tcPr>
            <w:tcW w:w="5403" w:type="dxa"/>
            <w:tcBorders>
              <w:top w:val="single" w:color="auto" w:sz="4" w:space="0"/>
              <w:left w:val="nil"/>
              <w:bottom w:val="single" w:color="auto" w:sz="4" w:space="0"/>
              <w:right w:val="single" w:color="auto" w:sz="4" w:space="0"/>
            </w:tcBorders>
            <w:noWrap w:val="0"/>
            <w:vAlign w:val="center"/>
          </w:tcPr>
          <w:p w14:paraId="46833CED">
            <w:pPr>
              <w:pStyle w:val="41"/>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制冷量</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sz w:val="24"/>
                <w:szCs w:val="24"/>
                <w:highlight w:val="none"/>
                <w:lang w:val="en-US" w:eastAsia="zh-CN"/>
              </w:rPr>
              <w:t>600</w:t>
            </w:r>
            <w:r>
              <w:rPr>
                <w:rFonts w:hint="eastAsia" w:ascii="宋体" w:hAnsi="宋体" w:eastAsia="宋体" w:cs="宋体"/>
                <w:color w:val="auto"/>
                <w:sz w:val="24"/>
                <w:szCs w:val="24"/>
                <w:highlight w:val="none"/>
              </w:rPr>
              <w:t>KW</w:t>
            </w:r>
            <w:r>
              <w:rPr>
                <w:rFonts w:hint="eastAsia" w:ascii="宋体" w:hAnsi="宋体" w:eastAsia="宋体" w:cs="宋体"/>
                <w:color w:val="auto"/>
                <w:sz w:val="24"/>
                <w:szCs w:val="24"/>
                <w:highlight w:val="none"/>
                <w:lang w:eastAsia="zh-CN"/>
              </w:rPr>
              <w:t>；</w:t>
            </w:r>
          </w:p>
          <w:p w14:paraId="48DC5503">
            <w:pPr>
              <w:pStyle w:val="41"/>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制热量</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sz w:val="24"/>
                <w:szCs w:val="24"/>
                <w:highlight w:val="none"/>
                <w:lang w:val="en-US" w:eastAsia="zh-CN"/>
              </w:rPr>
              <w:t>640</w:t>
            </w:r>
            <w:r>
              <w:rPr>
                <w:rFonts w:hint="eastAsia" w:ascii="宋体" w:hAnsi="宋体" w:eastAsia="宋体" w:cs="宋体"/>
                <w:color w:val="auto"/>
                <w:sz w:val="24"/>
                <w:szCs w:val="24"/>
                <w:highlight w:val="none"/>
              </w:rPr>
              <w:t>KW</w:t>
            </w:r>
            <w:r>
              <w:rPr>
                <w:rFonts w:hint="eastAsia" w:ascii="宋体" w:hAnsi="宋体" w:eastAsia="宋体" w:cs="宋体"/>
                <w:color w:val="auto"/>
                <w:sz w:val="24"/>
                <w:szCs w:val="24"/>
                <w:highlight w:val="none"/>
                <w:lang w:eastAsia="zh-CN"/>
              </w:rPr>
              <w:t>；</w:t>
            </w:r>
          </w:p>
          <w:p w14:paraId="52B43E62">
            <w:pPr>
              <w:pStyle w:val="41"/>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制冷额定功率</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205</w:t>
            </w:r>
            <w:r>
              <w:rPr>
                <w:rFonts w:hint="eastAsia" w:ascii="宋体" w:hAnsi="宋体" w:eastAsia="宋体" w:cs="宋体"/>
                <w:color w:val="auto"/>
                <w:sz w:val="24"/>
                <w:szCs w:val="24"/>
                <w:highlight w:val="none"/>
              </w:rPr>
              <w:t>KW</w:t>
            </w:r>
            <w:r>
              <w:rPr>
                <w:rFonts w:hint="eastAsia" w:ascii="宋体" w:hAnsi="宋体" w:eastAsia="宋体" w:cs="宋体"/>
                <w:color w:val="auto"/>
                <w:sz w:val="24"/>
                <w:szCs w:val="24"/>
                <w:highlight w:val="none"/>
                <w:lang w:eastAsia="zh-CN"/>
              </w:rPr>
              <w:t>；</w:t>
            </w:r>
          </w:p>
          <w:p w14:paraId="724B3080">
            <w:pPr>
              <w:pStyle w:val="41"/>
              <w:ind w:left="0" w:leftChars="0" w:firstLine="0" w:firstLineChars="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制</w:t>
            </w:r>
            <w:r>
              <w:rPr>
                <w:rFonts w:hint="eastAsia" w:ascii="宋体" w:hAnsi="宋体" w:eastAsia="宋体" w:cs="宋体"/>
                <w:color w:val="auto"/>
                <w:sz w:val="24"/>
                <w:szCs w:val="24"/>
                <w:highlight w:val="none"/>
                <w:lang w:val="en-US" w:eastAsia="zh-CN"/>
              </w:rPr>
              <w:t>热</w:t>
            </w:r>
            <w:r>
              <w:rPr>
                <w:rFonts w:hint="eastAsia" w:ascii="宋体" w:hAnsi="宋体" w:eastAsia="宋体" w:cs="宋体"/>
                <w:color w:val="auto"/>
                <w:sz w:val="24"/>
                <w:szCs w:val="24"/>
                <w:highlight w:val="none"/>
              </w:rPr>
              <w:t>额定功率</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205</w:t>
            </w:r>
            <w:r>
              <w:rPr>
                <w:rFonts w:hint="eastAsia" w:ascii="宋体" w:hAnsi="宋体" w:eastAsia="宋体" w:cs="宋体"/>
                <w:color w:val="auto"/>
                <w:sz w:val="24"/>
                <w:szCs w:val="24"/>
                <w:highlight w:val="none"/>
              </w:rPr>
              <w:t>KW</w:t>
            </w:r>
            <w:r>
              <w:rPr>
                <w:rFonts w:hint="eastAsia" w:ascii="宋体" w:hAnsi="宋体" w:eastAsia="宋体" w:cs="宋体"/>
                <w:color w:val="auto"/>
                <w:sz w:val="24"/>
                <w:szCs w:val="24"/>
                <w:highlight w:val="none"/>
                <w:lang w:eastAsia="zh-CN"/>
              </w:rPr>
              <w:t>；</w:t>
            </w:r>
          </w:p>
          <w:p w14:paraId="514316DD">
            <w:pPr>
              <w:keepNext w:val="0"/>
              <w:keepLines w:val="0"/>
              <w:widowControl/>
              <w:suppressLineNumbers w:val="0"/>
              <w:jc w:val="both"/>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最大噪音值</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73</w:t>
            </w:r>
            <w:r>
              <w:rPr>
                <w:rFonts w:hint="eastAsia" w:ascii="宋体" w:hAnsi="宋体" w:eastAsia="宋体" w:cs="宋体"/>
                <w:color w:val="auto"/>
                <w:sz w:val="24"/>
                <w:szCs w:val="24"/>
                <w:highlight w:val="none"/>
              </w:rPr>
              <w:t>dB</w:t>
            </w:r>
            <w:r>
              <w:rPr>
                <w:rFonts w:hint="eastAsia" w:ascii="宋体" w:hAnsi="宋体" w:eastAsia="宋体" w:cs="宋体"/>
                <w:color w:val="auto"/>
                <w:sz w:val="24"/>
                <w:szCs w:val="24"/>
                <w:highlight w:val="none"/>
                <w:lang w:eastAsia="zh-CN"/>
              </w:rPr>
              <w:t>；</w:t>
            </w:r>
          </w:p>
          <w:p w14:paraId="7EB47F81">
            <w:pPr>
              <w:pStyle w:val="41"/>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6、报价包含所</w:t>
            </w:r>
            <w:r>
              <w:rPr>
                <w:rFonts w:hint="eastAsia" w:ascii="宋体" w:hAnsi="宋体" w:eastAsia="宋体" w:cs="宋体"/>
                <w:color w:val="auto"/>
                <w:kern w:val="2"/>
                <w:sz w:val="24"/>
                <w:szCs w:val="24"/>
                <w:highlight w:val="none"/>
                <w:lang w:val="en-US" w:eastAsia="zh-CN" w:bidi="ar-SA"/>
              </w:rPr>
              <w:t>有原吊顶内供水及回水管路的清洗（原吊顶内管道不进行更换，但因与本次更换的室内机房和室外设备区域的管道属于同一个系统，为保证后期的使用效果，因此要求全部需要清洗）、电缆（从设备处的配电箱AP14到空调机组）、桥架、设备基础及所有安装辅材。</w:t>
            </w:r>
          </w:p>
          <w:p w14:paraId="794CBB74">
            <w:pPr>
              <w:pStyle w:val="41"/>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7、控制系统：配置RS485接口和远程开关机干接点，配置水泵输出、辅助电加热输出，需要满足原有的自控系统需求。</w:t>
            </w:r>
          </w:p>
        </w:tc>
        <w:tc>
          <w:tcPr>
            <w:tcW w:w="873" w:type="dxa"/>
            <w:tcBorders>
              <w:top w:val="single" w:color="auto" w:sz="4" w:space="0"/>
              <w:left w:val="nil"/>
              <w:bottom w:val="single" w:color="auto" w:sz="4" w:space="0"/>
              <w:right w:val="single" w:color="auto" w:sz="4" w:space="0"/>
            </w:tcBorders>
            <w:noWrap w:val="0"/>
            <w:vAlign w:val="center"/>
          </w:tcPr>
          <w:p w14:paraId="73CD8E4A">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w:t>
            </w:r>
          </w:p>
        </w:tc>
        <w:tc>
          <w:tcPr>
            <w:tcW w:w="982" w:type="dxa"/>
            <w:tcBorders>
              <w:top w:val="single" w:color="auto" w:sz="4" w:space="0"/>
              <w:left w:val="nil"/>
              <w:bottom w:val="single" w:color="auto" w:sz="4" w:space="0"/>
              <w:right w:val="single" w:color="auto" w:sz="4" w:space="0"/>
            </w:tcBorders>
            <w:noWrap w:val="0"/>
            <w:vAlign w:val="center"/>
          </w:tcPr>
          <w:p w14:paraId="34240D9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套</w:t>
            </w:r>
          </w:p>
        </w:tc>
      </w:tr>
      <w:tr w14:paraId="180FE2A0">
        <w:tblPrEx>
          <w:tblCellMar>
            <w:top w:w="0" w:type="dxa"/>
            <w:left w:w="108" w:type="dxa"/>
            <w:bottom w:w="0" w:type="dxa"/>
            <w:right w:w="108" w:type="dxa"/>
          </w:tblCellMar>
        </w:tblPrEx>
        <w:trPr>
          <w:trHeight w:val="2033" w:hRule="atLeast"/>
          <w:jc w:val="center"/>
        </w:trPr>
        <w:tc>
          <w:tcPr>
            <w:tcW w:w="713" w:type="dxa"/>
            <w:tcBorders>
              <w:top w:val="nil"/>
              <w:left w:val="single" w:color="auto" w:sz="4" w:space="0"/>
              <w:bottom w:val="single" w:color="auto" w:sz="4" w:space="0"/>
              <w:right w:val="single" w:color="auto" w:sz="4" w:space="0"/>
            </w:tcBorders>
            <w:noWrap w:val="0"/>
            <w:vAlign w:val="center"/>
          </w:tcPr>
          <w:p w14:paraId="7FA3B64D">
            <w:pPr>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2</w:t>
            </w:r>
          </w:p>
        </w:tc>
        <w:tc>
          <w:tcPr>
            <w:tcW w:w="1721" w:type="dxa"/>
            <w:tcBorders>
              <w:top w:val="single" w:color="auto" w:sz="4" w:space="0"/>
              <w:left w:val="nil"/>
              <w:bottom w:val="single" w:color="auto" w:sz="4" w:space="0"/>
              <w:right w:val="single" w:color="auto" w:sz="4" w:space="0"/>
            </w:tcBorders>
            <w:noWrap w:val="0"/>
            <w:vAlign w:val="center"/>
          </w:tcPr>
          <w:p w14:paraId="3CF36972">
            <w:pPr>
              <w:keepNext w:val="0"/>
              <w:keepLines w:val="0"/>
              <w:widowControl/>
              <w:suppressLineNumbers w:val="0"/>
              <w:jc w:val="center"/>
              <w:textAlignment w:val="center"/>
              <w:rPr>
                <w:rStyle w:val="76"/>
                <w:rFonts w:hint="eastAsia" w:ascii="宋体" w:hAnsi="宋体" w:eastAsia="宋体" w:cs="宋体"/>
                <w:sz w:val="24"/>
                <w:szCs w:val="24"/>
                <w:highlight w:val="none"/>
                <w:lang w:val="en-US" w:eastAsia="zh-CN" w:bidi="ar"/>
              </w:rPr>
            </w:pPr>
            <w:r>
              <w:rPr>
                <w:rStyle w:val="76"/>
                <w:rFonts w:hint="eastAsia" w:ascii="宋体" w:hAnsi="宋体" w:eastAsia="宋体" w:cs="宋体"/>
                <w:sz w:val="24"/>
                <w:szCs w:val="24"/>
                <w:highlight w:val="none"/>
                <w:lang w:val="en-US" w:eastAsia="zh-CN" w:bidi="ar"/>
              </w:rPr>
              <w:t>水系统循环水泵（</w:t>
            </w:r>
            <w:r>
              <w:rPr>
                <w:rFonts w:hint="eastAsia" w:ascii="宋体" w:hAnsi="宋体" w:eastAsia="宋体" w:cs="宋体"/>
                <w:sz w:val="24"/>
                <w:szCs w:val="24"/>
                <w:highlight w:val="none"/>
                <w:lang w:val="en-US" w:eastAsia="zh-CN"/>
              </w:rPr>
              <w:t>一用一备</w:t>
            </w:r>
            <w:r>
              <w:rPr>
                <w:rStyle w:val="76"/>
                <w:rFonts w:hint="eastAsia" w:ascii="宋体" w:hAnsi="宋体" w:eastAsia="宋体" w:cs="宋体"/>
                <w:sz w:val="24"/>
                <w:szCs w:val="24"/>
                <w:highlight w:val="none"/>
                <w:lang w:val="en-US" w:eastAsia="zh-CN" w:bidi="ar"/>
              </w:rPr>
              <w:t>）</w:t>
            </w:r>
          </w:p>
        </w:tc>
        <w:tc>
          <w:tcPr>
            <w:tcW w:w="5403" w:type="dxa"/>
            <w:tcBorders>
              <w:top w:val="single" w:color="auto" w:sz="4" w:space="0"/>
              <w:left w:val="nil"/>
              <w:bottom w:val="single" w:color="auto" w:sz="4" w:space="0"/>
              <w:right w:val="single" w:color="auto" w:sz="4" w:space="0"/>
            </w:tcBorders>
            <w:noWrap w:val="0"/>
            <w:vAlign w:val="center"/>
          </w:tcPr>
          <w:p w14:paraId="17389254">
            <w:pPr>
              <w:keepNext w:val="0"/>
              <w:keepLines w:val="0"/>
              <w:widowControl/>
              <w:suppressLineNumbers w:val="0"/>
              <w:jc w:val="both"/>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1、功率</w:t>
            </w:r>
            <w:r>
              <w:rPr>
                <w:rFonts w:hint="eastAsia" w:ascii="宋体" w:hAnsi="宋体" w:eastAsia="宋体" w:cs="宋体"/>
                <w:color w:val="auto"/>
                <w:sz w:val="24"/>
                <w:szCs w:val="24"/>
                <w:highlight w:val="none"/>
                <w:lang w:eastAsia="zh-CN"/>
              </w:rPr>
              <w:t>≥</w:t>
            </w: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rPr>
              <w:t>KW</w:t>
            </w:r>
            <w:r>
              <w:rPr>
                <w:rFonts w:hint="eastAsia" w:ascii="宋体" w:hAnsi="宋体" w:eastAsia="宋体" w:cs="宋体"/>
                <w:sz w:val="24"/>
                <w:szCs w:val="24"/>
                <w:highlight w:val="none"/>
                <w:lang w:eastAsia="zh-CN"/>
              </w:rPr>
              <w:t>；</w:t>
            </w:r>
          </w:p>
          <w:p w14:paraId="51FFF4C7">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2、流量</w:t>
            </w:r>
            <w:r>
              <w:rPr>
                <w:rFonts w:hint="eastAsia" w:ascii="宋体" w:hAnsi="宋体" w:eastAsia="宋体" w:cs="宋体"/>
                <w:color w:val="auto"/>
                <w:sz w:val="24"/>
                <w:szCs w:val="24"/>
                <w:highlight w:val="none"/>
                <w:lang w:eastAsia="zh-CN"/>
              </w:rPr>
              <w:t>≥</w:t>
            </w:r>
            <w:r>
              <w:rPr>
                <w:rFonts w:hint="eastAsia" w:ascii="宋体" w:hAnsi="宋体" w:eastAsia="宋体" w:cs="宋体"/>
                <w:sz w:val="24"/>
                <w:szCs w:val="24"/>
                <w:highlight w:val="none"/>
                <w:lang w:val="en-US" w:eastAsia="zh-CN"/>
              </w:rPr>
              <w:t>100m</w:t>
            </w:r>
            <w:r>
              <w:rPr>
                <w:rFonts w:hint="eastAsia" w:ascii="宋体" w:hAnsi="宋体" w:eastAsia="宋体" w:cs="宋体"/>
                <w:sz w:val="24"/>
                <w:szCs w:val="24"/>
                <w:highlight w:val="none"/>
                <w:vertAlign w:val="superscript"/>
                <w:lang w:val="en-US" w:eastAsia="zh-CN"/>
              </w:rPr>
              <w:t>3</w:t>
            </w:r>
            <w:r>
              <w:rPr>
                <w:rFonts w:hint="eastAsia" w:ascii="宋体" w:hAnsi="宋体" w:eastAsia="宋体" w:cs="宋体"/>
                <w:sz w:val="24"/>
                <w:szCs w:val="24"/>
                <w:highlight w:val="none"/>
                <w:lang w:val="en-US" w:eastAsia="zh-CN"/>
              </w:rPr>
              <w:t>/h；</w:t>
            </w:r>
          </w:p>
          <w:p w14:paraId="0F9F8A8A">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3、扬程</w:t>
            </w:r>
            <w:r>
              <w:rPr>
                <w:rFonts w:hint="eastAsia" w:ascii="宋体" w:hAnsi="宋体" w:eastAsia="宋体" w:cs="宋体"/>
                <w:color w:val="auto"/>
                <w:sz w:val="24"/>
                <w:szCs w:val="24"/>
                <w:highlight w:val="none"/>
                <w:lang w:eastAsia="zh-CN"/>
              </w:rPr>
              <w:t>≥</w:t>
            </w:r>
            <w:r>
              <w:rPr>
                <w:rFonts w:hint="eastAsia" w:ascii="宋体" w:hAnsi="宋体" w:eastAsia="宋体" w:cs="宋体"/>
                <w:sz w:val="24"/>
                <w:szCs w:val="24"/>
                <w:highlight w:val="none"/>
                <w:lang w:val="en-US" w:eastAsia="zh-CN"/>
              </w:rPr>
              <w:t>50m；</w:t>
            </w:r>
          </w:p>
          <w:p w14:paraId="1FAB1827">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4、电源380V；</w:t>
            </w:r>
          </w:p>
          <w:p w14:paraId="1A24C86A">
            <w:pPr>
              <w:pStyle w:val="41"/>
              <w:ind w:left="0" w:leftChars="0" w:firstLine="0" w:firstLineChars="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5、报价包含</w:t>
            </w:r>
            <w:r>
              <w:rPr>
                <w:rFonts w:ascii="宋体" w:hAnsi="宋体" w:eastAsia="宋体" w:cs="宋体"/>
                <w:sz w:val="24"/>
                <w:szCs w:val="24"/>
                <w:highlight w:val="none"/>
              </w:rPr>
              <w:t>阀门</w:t>
            </w:r>
            <w:r>
              <w:rPr>
                <w:rFonts w:hint="eastAsia" w:ascii="宋体" w:hAnsi="宋体" w:eastAsia="宋体" w:cs="宋体"/>
                <w:sz w:val="24"/>
                <w:szCs w:val="24"/>
                <w:highlight w:val="none"/>
                <w:lang w:val="en-US" w:eastAsia="zh-CN"/>
              </w:rPr>
              <w:t>、电缆</w:t>
            </w:r>
            <w:r>
              <w:rPr>
                <w:rFonts w:hint="eastAsia"/>
                <w:highlight w:val="none"/>
                <w:lang w:eastAsia="zh-CN"/>
              </w:rPr>
              <w:t>（</w:t>
            </w:r>
            <w:r>
              <w:rPr>
                <w:rFonts w:hint="eastAsia" w:ascii="宋体" w:hAnsi="宋体" w:eastAsia="宋体" w:cs="宋体"/>
                <w:color w:val="auto"/>
                <w:sz w:val="24"/>
                <w:szCs w:val="24"/>
                <w:highlight w:val="none"/>
                <w:lang w:val="en-US" w:eastAsia="zh-CN"/>
              </w:rPr>
              <w:t>从设备处的配电箱AP14到水泵）</w:t>
            </w:r>
            <w:r>
              <w:rPr>
                <w:rFonts w:hint="eastAsia" w:ascii="宋体" w:hAnsi="宋体" w:eastAsia="宋体" w:cs="宋体"/>
                <w:sz w:val="24"/>
                <w:szCs w:val="24"/>
                <w:highlight w:val="none"/>
                <w:lang w:val="en-US" w:eastAsia="zh-CN"/>
              </w:rPr>
              <w:t>、设备基础、</w:t>
            </w:r>
            <w:r>
              <w:rPr>
                <w:rFonts w:hint="eastAsia" w:ascii="宋体" w:hAnsi="宋体" w:eastAsia="宋体" w:cs="宋体"/>
                <w:color w:val="auto"/>
                <w:kern w:val="2"/>
                <w:sz w:val="24"/>
                <w:szCs w:val="24"/>
                <w:highlight w:val="none"/>
                <w:lang w:val="en-US" w:eastAsia="zh-CN" w:bidi="ar-SA"/>
              </w:rPr>
              <w:t>不锈钢防雨帽</w:t>
            </w:r>
            <w:r>
              <w:rPr>
                <w:rFonts w:hint="eastAsia" w:ascii="宋体" w:hAnsi="宋体" w:eastAsia="宋体" w:cs="宋体"/>
                <w:sz w:val="24"/>
                <w:szCs w:val="24"/>
                <w:highlight w:val="none"/>
                <w:lang w:val="en-US" w:eastAsia="zh-CN"/>
              </w:rPr>
              <w:t>及所有安装辅材。</w:t>
            </w:r>
          </w:p>
        </w:tc>
        <w:tc>
          <w:tcPr>
            <w:tcW w:w="873" w:type="dxa"/>
            <w:tcBorders>
              <w:top w:val="single" w:color="auto" w:sz="4" w:space="0"/>
              <w:left w:val="nil"/>
              <w:bottom w:val="single" w:color="auto" w:sz="4" w:space="0"/>
              <w:right w:val="single" w:color="auto" w:sz="4" w:space="0"/>
            </w:tcBorders>
            <w:noWrap w:val="0"/>
            <w:vAlign w:val="center"/>
          </w:tcPr>
          <w:p w14:paraId="090C4E3E">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w:t>
            </w:r>
          </w:p>
        </w:tc>
        <w:tc>
          <w:tcPr>
            <w:tcW w:w="982" w:type="dxa"/>
            <w:tcBorders>
              <w:top w:val="single" w:color="auto" w:sz="4" w:space="0"/>
              <w:left w:val="nil"/>
              <w:bottom w:val="single" w:color="auto" w:sz="4" w:space="0"/>
              <w:right w:val="single" w:color="auto" w:sz="4" w:space="0"/>
            </w:tcBorders>
            <w:noWrap w:val="0"/>
            <w:vAlign w:val="center"/>
          </w:tcPr>
          <w:p w14:paraId="0894D1A1">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台</w:t>
            </w:r>
          </w:p>
        </w:tc>
      </w:tr>
      <w:tr w14:paraId="51846189">
        <w:tblPrEx>
          <w:tblCellMar>
            <w:top w:w="0" w:type="dxa"/>
            <w:left w:w="108" w:type="dxa"/>
            <w:bottom w:w="0" w:type="dxa"/>
            <w:right w:w="108" w:type="dxa"/>
          </w:tblCellMar>
        </w:tblPrEx>
        <w:trPr>
          <w:trHeight w:val="424" w:hRule="atLeast"/>
          <w:jc w:val="center"/>
        </w:trPr>
        <w:tc>
          <w:tcPr>
            <w:tcW w:w="713" w:type="dxa"/>
            <w:tcBorders>
              <w:top w:val="nil"/>
              <w:left w:val="single" w:color="auto" w:sz="4" w:space="0"/>
              <w:bottom w:val="single" w:color="auto" w:sz="4" w:space="0"/>
              <w:right w:val="single" w:color="auto" w:sz="4" w:space="0"/>
            </w:tcBorders>
            <w:noWrap w:val="0"/>
            <w:vAlign w:val="center"/>
          </w:tcPr>
          <w:p w14:paraId="467BA0EF">
            <w:pPr>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3</w:t>
            </w:r>
          </w:p>
        </w:tc>
        <w:tc>
          <w:tcPr>
            <w:tcW w:w="1721" w:type="dxa"/>
            <w:tcBorders>
              <w:top w:val="single" w:color="auto" w:sz="4" w:space="0"/>
              <w:left w:val="nil"/>
              <w:bottom w:val="single" w:color="auto" w:sz="4" w:space="0"/>
              <w:right w:val="single" w:color="auto" w:sz="4" w:space="0"/>
            </w:tcBorders>
            <w:noWrap w:val="0"/>
            <w:vAlign w:val="center"/>
          </w:tcPr>
          <w:p w14:paraId="667C9E8C">
            <w:pPr>
              <w:keepNext w:val="0"/>
              <w:keepLines w:val="0"/>
              <w:widowControl/>
              <w:suppressLineNumbers w:val="0"/>
              <w:jc w:val="center"/>
              <w:textAlignment w:val="center"/>
              <w:rPr>
                <w:rStyle w:val="76"/>
                <w:rFonts w:hint="eastAsia" w:ascii="宋体" w:hAnsi="宋体" w:eastAsia="宋体" w:cs="宋体"/>
                <w:sz w:val="24"/>
                <w:szCs w:val="24"/>
                <w:highlight w:val="none"/>
                <w:lang w:val="en-US" w:eastAsia="zh-CN" w:bidi="ar"/>
              </w:rPr>
            </w:pPr>
            <w:r>
              <w:rPr>
                <w:rStyle w:val="76"/>
                <w:rFonts w:hint="eastAsia" w:ascii="宋体" w:hAnsi="宋体" w:eastAsia="宋体" w:cs="宋体"/>
                <w:sz w:val="24"/>
                <w:szCs w:val="24"/>
                <w:highlight w:val="none"/>
                <w:lang w:val="en-US" w:eastAsia="zh-CN" w:bidi="ar"/>
              </w:rPr>
              <w:t>定压自动补水装置</w:t>
            </w:r>
          </w:p>
        </w:tc>
        <w:tc>
          <w:tcPr>
            <w:tcW w:w="5403" w:type="dxa"/>
            <w:tcBorders>
              <w:top w:val="single" w:color="auto" w:sz="4" w:space="0"/>
              <w:left w:val="nil"/>
              <w:bottom w:val="single" w:color="auto" w:sz="4" w:space="0"/>
              <w:right w:val="single" w:color="auto" w:sz="4" w:space="0"/>
            </w:tcBorders>
            <w:noWrap w:val="0"/>
            <w:vAlign w:val="center"/>
          </w:tcPr>
          <w:p w14:paraId="6581F51F">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1、配备两台补水系统水泵，每台功率</w:t>
            </w:r>
            <w:r>
              <w:rPr>
                <w:rFonts w:hint="eastAsia" w:ascii="宋体" w:hAnsi="宋体" w:eastAsia="宋体" w:cs="宋体"/>
                <w:color w:val="auto"/>
                <w:sz w:val="24"/>
                <w:szCs w:val="24"/>
                <w:highlight w:val="none"/>
                <w:lang w:eastAsia="zh-CN"/>
              </w:rPr>
              <w:t>≥</w:t>
            </w:r>
            <w:r>
              <w:rPr>
                <w:rFonts w:hint="eastAsia" w:ascii="宋体" w:hAnsi="宋体" w:eastAsia="宋体" w:cs="宋体"/>
                <w:sz w:val="24"/>
                <w:szCs w:val="24"/>
                <w:highlight w:val="none"/>
                <w:lang w:val="en-US" w:eastAsia="zh-CN"/>
              </w:rPr>
              <w:t>1.1KW（一用一备）；</w:t>
            </w:r>
          </w:p>
          <w:p w14:paraId="4C26004C">
            <w:pPr>
              <w:keepNext w:val="0"/>
              <w:keepLines w:val="0"/>
              <w:widowControl/>
              <w:suppressLineNumbers w:val="0"/>
              <w:jc w:val="both"/>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ascii="宋体" w:hAnsi="宋体" w:eastAsia="宋体" w:cs="宋体"/>
                <w:sz w:val="24"/>
                <w:szCs w:val="24"/>
                <w:highlight w:val="none"/>
              </w:rPr>
              <w:t>补水流量：</w:t>
            </w:r>
            <w:r>
              <w:rPr>
                <w:rFonts w:hint="eastAsia" w:ascii="宋体" w:hAnsi="宋体" w:eastAsia="宋体" w:cs="宋体"/>
                <w:color w:val="auto"/>
                <w:sz w:val="24"/>
                <w:szCs w:val="24"/>
                <w:highlight w:val="none"/>
                <w:lang w:eastAsia="zh-CN"/>
              </w:rPr>
              <w:t>≥</w:t>
            </w:r>
            <w:r>
              <w:rPr>
                <w:rFonts w:ascii="宋体" w:hAnsi="宋体" w:eastAsia="宋体" w:cs="宋体"/>
                <w:sz w:val="24"/>
                <w:szCs w:val="24"/>
                <w:highlight w:val="none"/>
              </w:rPr>
              <w:t>2.5m³/h</w:t>
            </w:r>
            <w:r>
              <w:rPr>
                <w:rFonts w:hint="eastAsia" w:ascii="宋体" w:hAnsi="宋体" w:eastAsia="宋体" w:cs="宋体"/>
                <w:sz w:val="24"/>
                <w:szCs w:val="24"/>
                <w:highlight w:val="none"/>
                <w:lang w:eastAsia="zh-CN"/>
              </w:rPr>
              <w:t>；</w:t>
            </w:r>
          </w:p>
          <w:p w14:paraId="5009D495">
            <w:pPr>
              <w:keepNext w:val="0"/>
              <w:keepLines w:val="0"/>
              <w:widowControl/>
              <w:suppressLineNumbers w:val="0"/>
              <w:jc w:val="both"/>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ascii="宋体" w:hAnsi="宋体" w:eastAsia="宋体" w:cs="宋体"/>
                <w:sz w:val="24"/>
                <w:szCs w:val="24"/>
                <w:highlight w:val="none"/>
              </w:rPr>
              <w:t>设备扬程：</w:t>
            </w:r>
            <w:r>
              <w:rPr>
                <w:rFonts w:hint="eastAsia" w:ascii="宋体" w:hAnsi="宋体" w:eastAsia="宋体" w:cs="宋体"/>
                <w:color w:val="auto"/>
                <w:sz w:val="24"/>
                <w:szCs w:val="24"/>
                <w:highlight w:val="none"/>
                <w:lang w:eastAsia="zh-CN"/>
              </w:rPr>
              <w:t>≥</w:t>
            </w:r>
            <w:r>
              <w:rPr>
                <w:rFonts w:ascii="宋体" w:hAnsi="宋体" w:eastAsia="宋体" w:cs="宋体"/>
                <w:sz w:val="24"/>
                <w:szCs w:val="24"/>
                <w:highlight w:val="none"/>
              </w:rPr>
              <w:t>32m</w:t>
            </w:r>
            <w:r>
              <w:rPr>
                <w:rFonts w:hint="eastAsia" w:ascii="宋体" w:hAnsi="宋体" w:eastAsia="宋体" w:cs="宋体"/>
                <w:sz w:val="24"/>
                <w:szCs w:val="24"/>
                <w:highlight w:val="none"/>
                <w:lang w:eastAsia="zh-CN"/>
              </w:rPr>
              <w:t>；</w:t>
            </w:r>
          </w:p>
          <w:p w14:paraId="73AE79D8">
            <w:pPr>
              <w:keepNext w:val="0"/>
              <w:keepLines w:val="0"/>
              <w:widowControl/>
              <w:suppressLineNumbers w:val="0"/>
              <w:jc w:val="both"/>
              <w:textAlignment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4、配置</w:t>
            </w:r>
            <w:r>
              <w:rPr>
                <w:rFonts w:ascii="宋体" w:hAnsi="宋体" w:eastAsia="宋体" w:cs="宋体"/>
                <w:sz w:val="24"/>
                <w:szCs w:val="24"/>
                <w:highlight w:val="none"/>
              </w:rPr>
              <w:t>远传485接口</w:t>
            </w:r>
            <w:r>
              <w:rPr>
                <w:rFonts w:hint="eastAsia" w:ascii="宋体" w:hAnsi="宋体" w:eastAsia="宋体" w:cs="宋体"/>
                <w:sz w:val="24"/>
                <w:szCs w:val="24"/>
                <w:highlight w:val="none"/>
                <w:lang w:eastAsia="zh-CN"/>
              </w:rPr>
              <w:t>；</w:t>
            </w:r>
          </w:p>
          <w:p w14:paraId="17246F00">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r>
              <w:rPr>
                <w:rFonts w:ascii="宋体" w:hAnsi="宋体" w:eastAsia="宋体" w:cs="宋体"/>
                <w:sz w:val="24"/>
                <w:szCs w:val="24"/>
                <w:highlight w:val="none"/>
              </w:rPr>
              <w:t>管道阀门为不锈钢等成套设备</w:t>
            </w:r>
            <w:r>
              <w:rPr>
                <w:rFonts w:hint="eastAsia" w:ascii="宋体" w:hAnsi="宋体" w:eastAsia="宋体" w:cs="宋体"/>
                <w:sz w:val="24"/>
                <w:szCs w:val="24"/>
                <w:highlight w:val="none"/>
                <w:lang w:val="en-US" w:eastAsia="zh-CN"/>
              </w:rPr>
              <w:t>，报价包含控制器、设备基础、</w:t>
            </w:r>
            <w:r>
              <w:rPr>
                <w:rFonts w:hint="eastAsia" w:ascii="宋体" w:hAnsi="宋体" w:eastAsia="宋体" w:cs="宋体"/>
                <w:color w:val="auto"/>
                <w:kern w:val="2"/>
                <w:sz w:val="24"/>
                <w:szCs w:val="24"/>
                <w:highlight w:val="none"/>
                <w:lang w:val="en-US" w:eastAsia="zh-CN" w:bidi="ar-SA"/>
              </w:rPr>
              <w:t>不锈钢防雨帽</w:t>
            </w:r>
            <w:r>
              <w:rPr>
                <w:rFonts w:hint="eastAsia" w:ascii="宋体" w:hAnsi="宋体" w:eastAsia="宋体" w:cs="宋体"/>
                <w:sz w:val="24"/>
                <w:szCs w:val="24"/>
                <w:highlight w:val="none"/>
                <w:lang w:val="en-US" w:eastAsia="zh-CN"/>
              </w:rPr>
              <w:t>及所有安装辅材。</w:t>
            </w:r>
          </w:p>
        </w:tc>
        <w:tc>
          <w:tcPr>
            <w:tcW w:w="873" w:type="dxa"/>
            <w:tcBorders>
              <w:top w:val="single" w:color="auto" w:sz="4" w:space="0"/>
              <w:left w:val="nil"/>
              <w:bottom w:val="single" w:color="auto" w:sz="4" w:space="0"/>
              <w:right w:val="single" w:color="auto" w:sz="4" w:space="0"/>
            </w:tcBorders>
            <w:noWrap w:val="0"/>
            <w:vAlign w:val="center"/>
          </w:tcPr>
          <w:p w14:paraId="07E20F97">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w:t>
            </w:r>
          </w:p>
        </w:tc>
        <w:tc>
          <w:tcPr>
            <w:tcW w:w="982" w:type="dxa"/>
            <w:tcBorders>
              <w:top w:val="single" w:color="auto" w:sz="4" w:space="0"/>
              <w:left w:val="nil"/>
              <w:bottom w:val="single" w:color="auto" w:sz="4" w:space="0"/>
              <w:right w:val="single" w:color="auto" w:sz="4" w:space="0"/>
            </w:tcBorders>
            <w:noWrap w:val="0"/>
            <w:vAlign w:val="center"/>
          </w:tcPr>
          <w:p w14:paraId="678D3FAB">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套</w:t>
            </w:r>
          </w:p>
        </w:tc>
      </w:tr>
      <w:tr w14:paraId="340B4619">
        <w:tblPrEx>
          <w:tblCellMar>
            <w:top w:w="0" w:type="dxa"/>
            <w:left w:w="108" w:type="dxa"/>
            <w:bottom w:w="0" w:type="dxa"/>
            <w:right w:w="108" w:type="dxa"/>
          </w:tblCellMar>
        </w:tblPrEx>
        <w:trPr>
          <w:trHeight w:val="696"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5A763A85">
            <w:pPr>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4</w:t>
            </w:r>
          </w:p>
        </w:tc>
        <w:tc>
          <w:tcPr>
            <w:tcW w:w="1721" w:type="dxa"/>
            <w:tcBorders>
              <w:top w:val="single" w:color="auto" w:sz="4" w:space="0"/>
              <w:left w:val="nil"/>
              <w:bottom w:val="single" w:color="auto" w:sz="4" w:space="0"/>
              <w:right w:val="single" w:color="auto" w:sz="4" w:space="0"/>
            </w:tcBorders>
            <w:noWrap w:val="0"/>
            <w:vAlign w:val="center"/>
          </w:tcPr>
          <w:p w14:paraId="65B43B64">
            <w:pPr>
              <w:keepNext w:val="0"/>
              <w:keepLines w:val="0"/>
              <w:widowControl/>
              <w:suppressLineNumbers w:val="0"/>
              <w:jc w:val="center"/>
              <w:textAlignment w:val="center"/>
              <w:rPr>
                <w:rStyle w:val="76"/>
                <w:rFonts w:hint="eastAsia" w:ascii="宋体" w:hAnsi="宋体" w:eastAsia="宋体" w:cs="宋体"/>
                <w:sz w:val="24"/>
                <w:szCs w:val="24"/>
                <w:highlight w:val="none"/>
                <w:lang w:val="en-US" w:eastAsia="zh-CN" w:bidi="ar"/>
              </w:rPr>
            </w:pPr>
            <w:r>
              <w:rPr>
                <w:rStyle w:val="76"/>
                <w:rFonts w:hint="eastAsia" w:ascii="宋体" w:hAnsi="宋体" w:eastAsia="宋体" w:cs="宋体"/>
                <w:sz w:val="24"/>
                <w:szCs w:val="24"/>
                <w:highlight w:val="none"/>
                <w:lang w:val="en-US" w:eastAsia="zh-CN" w:bidi="ar"/>
              </w:rPr>
              <w:t>电子水处理仪</w:t>
            </w:r>
          </w:p>
        </w:tc>
        <w:tc>
          <w:tcPr>
            <w:tcW w:w="5403" w:type="dxa"/>
            <w:tcBorders>
              <w:top w:val="single" w:color="auto" w:sz="4" w:space="0"/>
              <w:left w:val="nil"/>
              <w:bottom w:val="single" w:color="auto" w:sz="4" w:space="0"/>
              <w:right w:val="single" w:color="auto" w:sz="4" w:space="0"/>
            </w:tcBorders>
            <w:noWrap w:val="0"/>
            <w:vAlign w:val="center"/>
          </w:tcPr>
          <w:p w14:paraId="38027468">
            <w:pPr>
              <w:keepNext w:val="0"/>
              <w:keepLines w:val="0"/>
              <w:widowControl/>
              <w:numPr>
                <w:ilvl w:val="0"/>
                <w:numId w:val="0"/>
              </w:numPr>
              <w:suppressLineNumbers w:val="0"/>
              <w:jc w:val="left"/>
              <w:textAlignment w:val="center"/>
              <w:rPr>
                <w:rStyle w:val="76"/>
                <w:rFonts w:hint="eastAsia" w:ascii="宋体" w:hAnsi="宋体" w:eastAsia="宋体" w:cs="宋体"/>
                <w:sz w:val="24"/>
                <w:szCs w:val="24"/>
                <w:highlight w:val="none"/>
                <w:lang w:val="en-US" w:eastAsia="zh-CN" w:bidi="ar"/>
              </w:rPr>
            </w:pPr>
            <w:r>
              <w:rPr>
                <w:rFonts w:hint="eastAsia" w:ascii="宋体" w:hAnsi="宋体" w:eastAsia="宋体" w:cs="宋体"/>
                <w:color w:val="000000"/>
                <w:kern w:val="2"/>
                <w:sz w:val="24"/>
                <w:szCs w:val="24"/>
                <w:highlight w:val="none"/>
                <w:lang w:val="en-US" w:eastAsia="zh-CN" w:bidi="ar"/>
              </w:rPr>
              <w:t>1、</w:t>
            </w:r>
            <w:r>
              <w:rPr>
                <w:rStyle w:val="76"/>
                <w:rFonts w:hint="eastAsia" w:ascii="宋体" w:hAnsi="宋体" w:eastAsia="宋体" w:cs="宋体"/>
                <w:sz w:val="24"/>
                <w:szCs w:val="24"/>
                <w:highlight w:val="none"/>
                <w:lang w:val="en-US" w:eastAsia="zh-CN" w:bidi="ar"/>
              </w:rPr>
              <w:t>DN150，220V，功率＜0.1KW</w:t>
            </w:r>
          </w:p>
          <w:p w14:paraId="3CD7C13C">
            <w:pPr>
              <w:keepNext w:val="0"/>
              <w:keepLines w:val="0"/>
              <w:widowControl/>
              <w:numPr>
                <w:ilvl w:val="0"/>
                <w:numId w:val="0"/>
              </w:numPr>
              <w:suppressLineNumbers w:val="0"/>
              <w:jc w:val="left"/>
              <w:textAlignment w:val="center"/>
              <w:rPr>
                <w:rStyle w:val="76"/>
                <w:rFonts w:hint="eastAsia" w:ascii="宋体" w:hAnsi="宋体" w:eastAsia="宋体" w:cs="宋体"/>
                <w:sz w:val="24"/>
                <w:szCs w:val="24"/>
                <w:highlight w:val="none"/>
                <w:lang w:val="en-US" w:eastAsia="zh-CN" w:bidi="ar"/>
              </w:rPr>
            </w:pPr>
            <w:r>
              <w:rPr>
                <w:rFonts w:hint="eastAsia" w:ascii="宋体" w:hAnsi="宋体" w:eastAsia="宋体" w:cs="宋体"/>
                <w:color w:val="000000"/>
                <w:kern w:val="2"/>
                <w:sz w:val="24"/>
                <w:szCs w:val="24"/>
                <w:highlight w:val="none"/>
                <w:lang w:val="en-US" w:eastAsia="zh-CN" w:bidi="ar"/>
              </w:rPr>
              <w:t>2、</w:t>
            </w:r>
            <w:r>
              <w:rPr>
                <w:rFonts w:hint="eastAsia" w:ascii="宋体" w:hAnsi="宋体" w:eastAsia="宋体" w:cs="宋体"/>
                <w:sz w:val="24"/>
                <w:szCs w:val="24"/>
                <w:highlight w:val="none"/>
                <w:lang w:val="en-US" w:eastAsia="zh-CN"/>
              </w:rPr>
              <w:t>报价</w:t>
            </w:r>
            <w:r>
              <w:rPr>
                <w:rStyle w:val="76"/>
                <w:rFonts w:hint="eastAsia" w:ascii="宋体" w:hAnsi="宋体" w:eastAsia="宋体" w:cs="宋体"/>
                <w:sz w:val="24"/>
                <w:szCs w:val="24"/>
                <w:highlight w:val="none"/>
                <w:lang w:val="en-US" w:eastAsia="zh-CN" w:bidi="ar"/>
              </w:rPr>
              <w:t>包含所有</w:t>
            </w:r>
            <w:r>
              <w:rPr>
                <w:rFonts w:ascii="宋体" w:hAnsi="宋体" w:eastAsia="宋体" w:cs="宋体"/>
                <w:sz w:val="24"/>
                <w:szCs w:val="24"/>
                <w:highlight w:val="none"/>
              </w:rPr>
              <w:t>阀门</w:t>
            </w:r>
            <w:r>
              <w:rPr>
                <w:rFonts w:hint="eastAsia" w:ascii="宋体" w:hAnsi="宋体" w:eastAsia="宋体" w:cs="宋体"/>
                <w:sz w:val="24"/>
                <w:szCs w:val="24"/>
                <w:highlight w:val="none"/>
                <w:lang w:val="en-US" w:eastAsia="zh-CN"/>
              </w:rPr>
              <w:t>等</w:t>
            </w:r>
            <w:r>
              <w:rPr>
                <w:rStyle w:val="76"/>
                <w:rFonts w:hint="eastAsia" w:ascii="宋体" w:hAnsi="宋体" w:eastAsia="宋体" w:cs="宋体"/>
                <w:sz w:val="24"/>
                <w:szCs w:val="24"/>
                <w:highlight w:val="none"/>
                <w:lang w:val="en-US" w:eastAsia="zh-CN" w:bidi="ar"/>
              </w:rPr>
              <w:t>安装辅材。</w:t>
            </w:r>
          </w:p>
        </w:tc>
        <w:tc>
          <w:tcPr>
            <w:tcW w:w="873" w:type="dxa"/>
            <w:tcBorders>
              <w:top w:val="single" w:color="auto" w:sz="4" w:space="0"/>
              <w:left w:val="nil"/>
              <w:bottom w:val="single" w:color="auto" w:sz="4" w:space="0"/>
              <w:right w:val="single" w:color="auto" w:sz="4" w:space="0"/>
            </w:tcBorders>
            <w:noWrap w:val="0"/>
            <w:vAlign w:val="center"/>
          </w:tcPr>
          <w:p w14:paraId="7D5C36EB">
            <w:pPr>
              <w:keepNext w:val="0"/>
              <w:keepLines w:val="0"/>
              <w:widowControl/>
              <w:suppressLineNumbers w:val="0"/>
              <w:jc w:val="center"/>
              <w:textAlignment w:val="center"/>
              <w:rPr>
                <w:rStyle w:val="76"/>
                <w:rFonts w:hint="eastAsia" w:ascii="宋体" w:hAnsi="宋体" w:eastAsia="宋体" w:cs="宋体"/>
                <w:sz w:val="24"/>
                <w:szCs w:val="24"/>
                <w:highlight w:val="none"/>
                <w:lang w:val="en-US" w:eastAsia="zh-CN" w:bidi="ar"/>
              </w:rPr>
            </w:pPr>
            <w:r>
              <w:rPr>
                <w:rStyle w:val="76"/>
                <w:rFonts w:hint="eastAsia" w:ascii="宋体" w:hAnsi="宋体" w:eastAsia="宋体" w:cs="宋体"/>
                <w:sz w:val="24"/>
                <w:szCs w:val="24"/>
                <w:highlight w:val="none"/>
                <w:lang w:val="en-US" w:eastAsia="zh-CN" w:bidi="ar"/>
              </w:rPr>
              <w:t>1</w:t>
            </w:r>
          </w:p>
        </w:tc>
        <w:tc>
          <w:tcPr>
            <w:tcW w:w="982" w:type="dxa"/>
            <w:tcBorders>
              <w:top w:val="single" w:color="auto" w:sz="4" w:space="0"/>
              <w:left w:val="nil"/>
              <w:bottom w:val="single" w:color="auto" w:sz="4" w:space="0"/>
              <w:right w:val="single" w:color="auto" w:sz="4" w:space="0"/>
            </w:tcBorders>
            <w:noWrap w:val="0"/>
            <w:vAlign w:val="center"/>
          </w:tcPr>
          <w:p w14:paraId="64DFAD92">
            <w:pPr>
              <w:keepNext w:val="0"/>
              <w:keepLines w:val="0"/>
              <w:widowControl/>
              <w:suppressLineNumbers w:val="0"/>
              <w:jc w:val="center"/>
              <w:textAlignment w:val="center"/>
              <w:rPr>
                <w:rStyle w:val="76"/>
                <w:rFonts w:hint="eastAsia" w:ascii="宋体" w:hAnsi="宋体" w:eastAsia="宋体" w:cs="宋体"/>
                <w:sz w:val="24"/>
                <w:szCs w:val="24"/>
                <w:highlight w:val="none"/>
                <w:lang w:val="en-US" w:eastAsia="zh-CN" w:bidi="ar"/>
              </w:rPr>
            </w:pPr>
            <w:r>
              <w:rPr>
                <w:rStyle w:val="76"/>
                <w:rFonts w:hint="eastAsia" w:ascii="宋体" w:hAnsi="宋体" w:eastAsia="宋体" w:cs="宋体"/>
                <w:sz w:val="24"/>
                <w:szCs w:val="24"/>
                <w:highlight w:val="none"/>
                <w:lang w:val="en-US" w:eastAsia="zh-CN" w:bidi="ar"/>
              </w:rPr>
              <w:t>台</w:t>
            </w:r>
          </w:p>
        </w:tc>
      </w:tr>
      <w:tr w14:paraId="4D50CD3D">
        <w:tblPrEx>
          <w:tblCellMar>
            <w:top w:w="0" w:type="dxa"/>
            <w:left w:w="108" w:type="dxa"/>
            <w:bottom w:w="0" w:type="dxa"/>
            <w:right w:w="108" w:type="dxa"/>
          </w:tblCellMar>
        </w:tblPrEx>
        <w:trPr>
          <w:trHeight w:val="2638"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257106AC">
            <w:pPr>
              <w:jc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5</w:t>
            </w:r>
          </w:p>
        </w:tc>
        <w:tc>
          <w:tcPr>
            <w:tcW w:w="1721" w:type="dxa"/>
            <w:tcBorders>
              <w:top w:val="single" w:color="auto" w:sz="4" w:space="0"/>
              <w:left w:val="single" w:color="auto" w:sz="4" w:space="0"/>
              <w:bottom w:val="single" w:color="auto" w:sz="4" w:space="0"/>
              <w:right w:val="single" w:color="auto" w:sz="4" w:space="0"/>
            </w:tcBorders>
            <w:noWrap w:val="0"/>
            <w:vAlign w:val="center"/>
          </w:tcPr>
          <w:p w14:paraId="1817F6D9">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室外空调水管管道1</w:t>
            </w:r>
          </w:p>
        </w:tc>
        <w:tc>
          <w:tcPr>
            <w:tcW w:w="5403" w:type="dxa"/>
            <w:tcBorders>
              <w:top w:val="single" w:color="auto" w:sz="4" w:space="0"/>
              <w:left w:val="single" w:color="auto" w:sz="4" w:space="0"/>
              <w:bottom w:val="single" w:color="auto" w:sz="4" w:space="0"/>
              <w:right w:val="single" w:color="auto" w:sz="4" w:space="0"/>
            </w:tcBorders>
            <w:noWrap w:val="0"/>
            <w:vAlign w:val="center"/>
          </w:tcPr>
          <w:p w14:paraId="2F215899">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1、材质：DN32钢管</w:t>
            </w:r>
          </w:p>
          <w:p w14:paraId="48BA2224">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2、包含：管件、阀门、过滤器、仪表、铝皮厚度≥0.5mm。</w:t>
            </w:r>
          </w:p>
          <w:p w14:paraId="1E5BFF7C">
            <w:pPr>
              <w:keepNext w:val="0"/>
              <w:keepLines w:val="0"/>
              <w:widowControl/>
              <w:suppressLineNumbers w:val="0"/>
              <w:jc w:val="both"/>
              <w:textAlignment w:val="center"/>
              <w:rPr>
                <w:rFonts w:hint="default"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3、采用B1级橡塑保温板，厚度≥30mm，保温材料应具有无毒、无腐蚀、无异味、不起尘、不吸湿的性能，并符合有关建筑防火规范的要求。保温材料粘贴应平整、牢固，不得有附着不良、剥落和霉烂等现象。</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45B65259">
            <w:pPr>
              <w:keepNext w:val="0"/>
              <w:keepLines w:val="0"/>
              <w:widowControl/>
              <w:suppressLineNumbers w:val="0"/>
              <w:jc w:val="center"/>
              <w:textAlignment w:val="center"/>
              <w:rPr>
                <w:rFonts w:hint="eastAsia"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7</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67CFC79A">
            <w:pPr>
              <w:keepNext w:val="0"/>
              <w:keepLines w:val="0"/>
              <w:widowControl/>
              <w:suppressLineNumbers w:val="0"/>
              <w:jc w:val="center"/>
              <w:textAlignment w:val="center"/>
              <w:rPr>
                <w:rFonts w:hint="default" w:ascii="宋体" w:hAnsi="宋体" w:eastAsia="宋体" w:cs="宋体"/>
                <w:color w:val="000000"/>
                <w:kern w:val="2"/>
                <w:sz w:val="24"/>
                <w:szCs w:val="24"/>
                <w:highlight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米</w:t>
            </w:r>
          </w:p>
        </w:tc>
      </w:tr>
      <w:tr w14:paraId="1563B335">
        <w:tblPrEx>
          <w:tblCellMar>
            <w:top w:w="0" w:type="dxa"/>
            <w:left w:w="108" w:type="dxa"/>
            <w:bottom w:w="0" w:type="dxa"/>
            <w:right w:w="108" w:type="dxa"/>
          </w:tblCellMar>
        </w:tblPrEx>
        <w:trPr>
          <w:trHeight w:val="2482"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18BFCBB4">
            <w:pPr>
              <w:jc w:val="center"/>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w:t>
            </w:r>
          </w:p>
        </w:tc>
        <w:tc>
          <w:tcPr>
            <w:tcW w:w="1721" w:type="dxa"/>
            <w:tcBorders>
              <w:top w:val="single" w:color="auto" w:sz="4" w:space="0"/>
              <w:left w:val="single" w:color="auto" w:sz="4" w:space="0"/>
              <w:bottom w:val="single" w:color="auto" w:sz="4" w:space="0"/>
              <w:right w:val="single" w:color="auto" w:sz="4" w:space="0"/>
            </w:tcBorders>
            <w:noWrap w:val="0"/>
            <w:vAlign w:val="center"/>
          </w:tcPr>
          <w:p w14:paraId="75AD58D8">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室外空调水管管道2</w:t>
            </w:r>
          </w:p>
        </w:tc>
        <w:tc>
          <w:tcPr>
            <w:tcW w:w="5403" w:type="dxa"/>
            <w:tcBorders>
              <w:top w:val="single" w:color="auto" w:sz="4" w:space="0"/>
              <w:left w:val="single" w:color="auto" w:sz="4" w:space="0"/>
              <w:bottom w:val="single" w:color="auto" w:sz="4" w:space="0"/>
              <w:right w:val="single" w:color="auto" w:sz="4" w:space="0"/>
            </w:tcBorders>
            <w:noWrap w:val="0"/>
            <w:vAlign w:val="center"/>
          </w:tcPr>
          <w:p w14:paraId="2F54522E">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1、材质：DN100钢管</w:t>
            </w:r>
          </w:p>
          <w:p w14:paraId="61CF0954">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2、包含：管件、阀门、过滤器、仪表、铝皮厚度≥0.5mm。</w:t>
            </w:r>
          </w:p>
          <w:p w14:paraId="720C6016">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3、采用B1级橡塑保温板，厚度≥30mm，保温材料应具有无毒、无腐蚀、无异味、不起尘、不吸湿的性能，并符合有关建筑防火规范的要求。保温材料粘贴应平整、牢固，不得有附着不良、剥落和霉烂等现象。</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1E5AB568">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28</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4947F5B8">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米</w:t>
            </w:r>
          </w:p>
        </w:tc>
      </w:tr>
      <w:tr w14:paraId="74309930">
        <w:tblPrEx>
          <w:tblCellMar>
            <w:top w:w="0" w:type="dxa"/>
            <w:left w:w="108" w:type="dxa"/>
            <w:bottom w:w="0" w:type="dxa"/>
            <w:right w:w="108" w:type="dxa"/>
          </w:tblCellMar>
        </w:tblPrEx>
        <w:trPr>
          <w:trHeight w:val="2574"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1EF4268A">
            <w:pPr>
              <w:jc w:val="center"/>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w:t>
            </w:r>
          </w:p>
        </w:tc>
        <w:tc>
          <w:tcPr>
            <w:tcW w:w="1721" w:type="dxa"/>
            <w:tcBorders>
              <w:top w:val="single" w:color="auto" w:sz="4" w:space="0"/>
              <w:left w:val="single" w:color="auto" w:sz="4" w:space="0"/>
              <w:bottom w:val="single" w:color="auto" w:sz="4" w:space="0"/>
              <w:right w:val="single" w:color="auto" w:sz="4" w:space="0"/>
            </w:tcBorders>
            <w:noWrap w:val="0"/>
            <w:vAlign w:val="center"/>
          </w:tcPr>
          <w:p w14:paraId="3C4CB67E">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室外空调水管管道3</w:t>
            </w:r>
          </w:p>
        </w:tc>
        <w:tc>
          <w:tcPr>
            <w:tcW w:w="5403" w:type="dxa"/>
            <w:tcBorders>
              <w:top w:val="single" w:color="auto" w:sz="4" w:space="0"/>
              <w:left w:val="single" w:color="auto" w:sz="4" w:space="0"/>
              <w:bottom w:val="single" w:color="auto" w:sz="4" w:space="0"/>
              <w:right w:val="single" w:color="auto" w:sz="4" w:space="0"/>
            </w:tcBorders>
            <w:noWrap w:val="0"/>
            <w:vAlign w:val="center"/>
          </w:tcPr>
          <w:p w14:paraId="3D16D28E">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1、材质：DN150钢管</w:t>
            </w:r>
          </w:p>
          <w:p w14:paraId="7AB1C0D1">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2、包含：管件、阀门、过滤器、仪表、铝皮厚度≥0.5mm。</w:t>
            </w:r>
          </w:p>
          <w:p w14:paraId="2699C270">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3、采用B1级橡塑保温板，厚度≥30mm，保温材料应具有无毒、无腐蚀、无异味、不起尘、不吸湿的性能，并符合有关建筑防火规范的要求。保温材料粘贴应平整、牢固，不得有附着不良、剥落和霉烂等现象。</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1C7FD453">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25</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70077DA4">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米</w:t>
            </w:r>
          </w:p>
        </w:tc>
      </w:tr>
      <w:tr w14:paraId="5D2E550A">
        <w:tblPrEx>
          <w:tblCellMar>
            <w:top w:w="0" w:type="dxa"/>
            <w:left w:w="108" w:type="dxa"/>
            <w:bottom w:w="0" w:type="dxa"/>
            <w:right w:w="108" w:type="dxa"/>
          </w:tblCellMar>
        </w:tblPrEx>
        <w:trPr>
          <w:trHeight w:val="1642"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009B2DD8">
            <w:pPr>
              <w:jc w:val="center"/>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w:t>
            </w:r>
          </w:p>
        </w:tc>
        <w:tc>
          <w:tcPr>
            <w:tcW w:w="1721" w:type="dxa"/>
            <w:tcBorders>
              <w:top w:val="single" w:color="auto" w:sz="4" w:space="0"/>
              <w:left w:val="single" w:color="auto" w:sz="4" w:space="0"/>
              <w:bottom w:val="single" w:color="auto" w:sz="4" w:space="0"/>
              <w:right w:val="single" w:color="auto" w:sz="4" w:space="0"/>
            </w:tcBorders>
            <w:noWrap w:val="0"/>
            <w:vAlign w:val="center"/>
          </w:tcPr>
          <w:p w14:paraId="4A872452">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室内机房空调水管管道1</w:t>
            </w:r>
          </w:p>
        </w:tc>
        <w:tc>
          <w:tcPr>
            <w:tcW w:w="5403" w:type="dxa"/>
            <w:tcBorders>
              <w:top w:val="single" w:color="auto" w:sz="4" w:space="0"/>
              <w:left w:val="single" w:color="auto" w:sz="4" w:space="0"/>
              <w:bottom w:val="single" w:color="auto" w:sz="4" w:space="0"/>
              <w:right w:val="single" w:color="auto" w:sz="4" w:space="0"/>
            </w:tcBorders>
            <w:noWrap w:val="0"/>
            <w:vAlign w:val="center"/>
          </w:tcPr>
          <w:p w14:paraId="4C6A5EB1">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1、材质：DN65钢管</w:t>
            </w:r>
          </w:p>
          <w:p w14:paraId="7BA3589E">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2、包含：包含：管件、阀门、过滤器、仪表、铝皮厚度≥0.5mm。</w:t>
            </w:r>
          </w:p>
          <w:p w14:paraId="73D84BBA">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3、采用B1级橡塑保温板，厚度≥30mm，保温材料应具有无毒、无腐蚀、无异味、不起尘、不吸湿的性能，并符合有关建筑防火规范的要求。粘贴应平整、牢固，不得有附着不良、剥落和霉烂等现象。</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42F8B43A">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10</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7135CC69">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米</w:t>
            </w:r>
          </w:p>
        </w:tc>
      </w:tr>
      <w:tr w14:paraId="6E41080B">
        <w:tblPrEx>
          <w:tblCellMar>
            <w:top w:w="0" w:type="dxa"/>
            <w:left w:w="108" w:type="dxa"/>
            <w:bottom w:w="0" w:type="dxa"/>
            <w:right w:w="108" w:type="dxa"/>
          </w:tblCellMar>
        </w:tblPrEx>
        <w:trPr>
          <w:trHeight w:val="2284" w:hRule="atLeast"/>
          <w:jc w:val="center"/>
        </w:trPr>
        <w:tc>
          <w:tcPr>
            <w:tcW w:w="713" w:type="dxa"/>
            <w:tcBorders>
              <w:top w:val="single" w:color="auto" w:sz="4" w:space="0"/>
              <w:left w:val="single" w:color="auto" w:sz="4" w:space="0"/>
              <w:bottom w:val="single" w:color="auto" w:sz="4" w:space="0"/>
              <w:right w:val="single" w:color="auto" w:sz="4" w:space="0"/>
            </w:tcBorders>
            <w:noWrap w:val="0"/>
            <w:vAlign w:val="center"/>
          </w:tcPr>
          <w:p w14:paraId="44AC48D6">
            <w:pPr>
              <w:jc w:val="center"/>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9</w:t>
            </w:r>
          </w:p>
        </w:tc>
        <w:tc>
          <w:tcPr>
            <w:tcW w:w="1721" w:type="dxa"/>
            <w:tcBorders>
              <w:top w:val="single" w:color="auto" w:sz="4" w:space="0"/>
              <w:left w:val="single" w:color="auto" w:sz="4" w:space="0"/>
              <w:bottom w:val="single" w:color="auto" w:sz="4" w:space="0"/>
              <w:right w:val="single" w:color="auto" w:sz="4" w:space="0"/>
            </w:tcBorders>
            <w:noWrap w:val="0"/>
            <w:vAlign w:val="center"/>
          </w:tcPr>
          <w:p w14:paraId="53729676">
            <w:pPr>
              <w:keepNext w:val="0"/>
              <w:keepLines w:val="0"/>
              <w:widowControl/>
              <w:suppressLineNumbers w:val="0"/>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室内机房空调水管管道2</w:t>
            </w:r>
          </w:p>
        </w:tc>
        <w:tc>
          <w:tcPr>
            <w:tcW w:w="5403" w:type="dxa"/>
            <w:tcBorders>
              <w:top w:val="single" w:color="auto" w:sz="4" w:space="0"/>
              <w:left w:val="single" w:color="auto" w:sz="4" w:space="0"/>
              <w:bottom w:val="single" w:color="auto" w:sz="4" w:space="0"/>
              <w:right w:val="single" w:color="auto" w:sz="4" w:space="0"/>
            </w:tcBorders>
            <w:noWrap w:val="0"/>
            <w:vAlign w:val="center"/>
          </w:tcPr>
          <w:p w14:paraId="711D098E">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1、材质：DN100钢管</w:t>
            </w:r>
          </w:p>
          <w:p w14:paraId="651D95D6">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2、包含：包含：管件、阀门、过滤器、仪表、铝皮厚度≥0.5mm。</w:t>
            </w:r>
          </w:p>
          <w:p w14:paraId="739D65A4">
            <w:pPr>
              <w:keepNext w:val="0"/>
              <w:keepLines w:val="0"/>
              <w:widowControl/>
              <w:suppressLineNumbers w:val="0"/>
              <w:jc w:val="both"/>
              <w:textAlignment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3、采用B1级橡塑保温板，厚度≥30mm，保温材料应具有无毒、无腐蚀、无异味、不起尘、不吸湿的性能，并符合有关建筑防火规范的要求。粘贴应平整、牢固，不得有附着不良、剥落和霉烂等现象。</w:t>
            </w:r>
          </w:p>
        </w:tc>
        <w:tc>
          <w:tcPr>
            <w:tcW w:w="873" w:type="dxa"/>
            <w:tcBorders>
              <w:top w:val="single" w:color="auto" w:sz="4" w:space="0"/>
              <w:left w:val="single" w:color="auto" w:sz="4" w:space="0"/>
              <w:bottom w:val="single" w:color="auto" w:sz="4" w:space="0"/>
              <w:right w:val="single" w:color="auto" w:sz="4" w:space="0"/>
            </w:tcBorders>
            <w:noWrap w:val="0"/>
            <w:vAlign w:val="center"/>
          </w:tcPr>
          <w:p w14:paraId="15382B10">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30</w:t>
            </w:r>
          </w:p>
        </w:tc>
        <w:tc>
          <w:tcPr>
            <w:tcW w:w="982" w:type="dxa"/>
            <w:tcBorders>
              <w:top w:val="single" w:color="auto" w:sz="4" w:space="0"/>
              <w:left w:val="single" w:color="auto" w:sz="4" w:space="0"/>
              <w:bottom w:val="single" w:color="auto" w:sz="4" w:space="0"/>
              <w:right w:val="single" w:color="auto" w:sz="4" w:space="0"/>
            </w:tcBorders>
            <w:noWrap w:val="0"/>
            <w:vAlign w:val="center"/>
          </w:tcPr>
          <w:p w14:paraId="7BB1F52F">
            <w:pPr>
              <w:keepNext w:val="0"/>
              <w:keepLines w:val="0"/>
              <w:widowControl/>
              <w:suppressLineNumbers w:val="0"/>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米</w:t>
            </w:r>
          </w:p>
        </w:tc>
      </w:tr>
    </w:tbl>
    <w:p w14:paraId="329FD263">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备注：</w:t>
      </w:r>
    </w:p>
    <w:p w14:paraId="2EFD7E06">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（1）以上数量为暂定数量，实际结算时，按照实际采购数量进行结算。投标人应充分预估项目实施过程中可能存在的风险，谨慎报价，中标后不得以实际采购数量与招标数量存在差异向采购人提出索赔。</w:t>
      </w:r>
    </w:p>
    <w:p w14:paraId="199377A7">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（2）上述设备的生产、储存、运输、装卸、送货到现场、安装所需的各种辅材、系统综合调试等为完成本项目所发生的一切费用包含在投标报价中，采购人后期不再单独支付。</w:t>
      </w:r>
      <w:bookmarkStart w:id="4" w:name="_Toc1622"/>
      <w:bookmarkStart w:id="5" w:name="_Toc9161"/>
      <w:bookmarkStart w:id="6" w:name="_Toc22044"/>
      <w:bookmarkStart w:id="7" w:name="_Toc26859"/>
    </w:p>
    <w:p w14:paraId="4F69FB6C">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3）投标人所投机组应维修方便，运行中有良好的保障。机组应具有良好的防雷击、防积雪、防腐性能。外壳应有足够的强度并作耐盐和防腐处理，在运输和安装、运行过程中不得出现凹凸变形。机组表面应无划伤、锈斑和压痕，表面光洁，喷涂层均匀，色调一致，不得有剥落、卷皮、裂纹、气泡、流痕、杂色等现象。机组应有隔振装置，运转过程中不得出现异常声响和振动，设备噪音应符合国家标准。</w:t>
      </w:r>
    </w:p>
    <w:p w14:paraId="431CEB1D">
      <w:pPr>
        <w:spacing w:line="360" w:lineRule="auto"/>
        <w:ind w:firstLine="482" w:firstLineChars="200"/>
        <w:rPr>
          <w:rFonts w:hint="eastAsia" w:ascii="宋体" w:hAnsi="宋体" w:eastAsia="宋体" w:cs="Calibri Light"/>
          <w:b/>
          <w:bCs/>
          <w:color w:val="0000FF"/>
          <w:kern w:val="0"/>
          <w:sz w:val="24"/>
          <w:szCs w:val="24"/>
          <w:highlight w:val="none"/>
          <w:lang w:val="en-US" w:eastAsia="zh-CN" w:bidi="ar-SA"/>
        </w:rPr>
      </w:pPr>
      <w:r>
        <w:rPr>
          <w:rFonts w:hint="eastAsia" w:ascii="宋体" w:hAnsi="宋体" w:eastAsia="宋体" w:cs="Calibri Light"/>
          <w:b/>
          <w:bCs/>
          <w:color w:val="0000FF"/>
          <w:kern w:val="0"/>
          <w:sz w:val="24"/>
          <w:szCs w:val="24"/>
          <w:highlight w:val="none"/>
          <w:lang w:val="en-US" w:eastAsia="zh-CN" w:bidi="ar-SA"/>
        </w:rPr>
        <w:t>（4）除上述设备采购内容外，投标人还须承担旧机拆除工作（主要为现有空调室外主机2台、水系统循环水泵2台及相对应的室外区域管线，室内3个机房的室内机组区域的管线拆除），拆除后放置到采购人指定位置（拆除的设备所有权归采购人所有，由采购人进行资产报废）。上述费用包含在投标报价中，采购人后期不再单独支付。</w:t>
      </w:r>
      <w:bookmarkEnd w:id="4"/>
      <w:bookmarkEnd w:id="5"/>
      <w:bookmarkEnd w:id="6"/>
      <w:bookmarkEnd w:id="7"/>
    </w:p>
    <w:p w14:paraId="0F8F6BA7">
      <w:pPr>
        <w:spacing w:line="360" w:lineRule="auto"/>
        <w:ind w:firstLine="482" w:firstLineChars="200"/>
        <w:rPr>
          <w:rFonts w:hint="eastAsia" w:ascii="宋体" w:hAnsi="宋体" w:eastAsia="宋体" w:cs="Calibri Light"/>
          <w:b/>
          <w:bCs/>
          <w:color w:val="0000FF"/>
          <w:kern w:val="0"/>
          <w:sz w:val="24"/>
          <w:szCs w:val="24"/>
          <w:highlight w:val="none"/>
          <w:lang w:val="en-US" w:eastAsia="zh-CN" w:bidi="ar-SA"/>
        </w:rPr>
      </w:pPr>
      <w:r>
        <w:rPr>
          <w:rFonts w:hint="eastAsia" w:ascii="宋体" w:hAnsi="宋体" w:eastAsia="宋体" w:cs="Calibri Light"/>
          <w:b/>
          <w:bCs/>
          <w:color w:val="0000FF"/>
          <w:kern w:val="0"/>
          <w:sz w:val="24"/>
          <w:szCs w:val="24"/>
          <w:highlight w:val="none"/>
          <w:lang w:val="en-US" w:eastAsia="zh-CN" w:bidi="ar-SA"/>
        </w:rPr>
        <w:t>（5）楼栋无电梯垂直运输，投标人须充分考虑人工搬运货物上下楼的费用，上述费用包含在投标总价中，后期不再另行支付。</w:t>
      </w:r>
    </w:p>
    <w:p w14:paraId="32DAED92">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（6）在空调安装过程中，中标人须确保对建筑内已有设施进行防护，如出现因安装造成已有设施设备损坏的应予以赔偿，投标人在投标时应考虑相应的防护措施费用。</w:t>
      </w:r>
    </w:p>
    <w:p w14:paraId="0B88B37F">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（7）空调安装需保证建筑内墙、顶、地面的卫生，安装产生的垃圾和污染需及时清理，投标人在投标时应考虑相应的费用。</w:t>
      </w:r>
    </w:p>
    <w:p w14:paraId="4DC6E8B7">
      <w:pPr>
        <w:spacing w:line="360" w:lineRule="auto"/>
        <w:ind w:firstLine="482" w:firstLineChars="200"/>
        <w:rPr>
          <w:rFonts w:hint="eastAsia" w:ascii="宋体" w:hAnsi="宋体" w:eastAsia="宋体" w:cs="Calibri Light"/>
          <w:b/>
          <w:bCs/>
          <w:color w:val="auto"/>
          <w:kern w:val="0"/>
          <w:sz w:val="24"/>
          <w:szCs w:val="24"/>
          <w:highlight w:val="none"/>
          <w:lang w:val="en-US" w:eastAsia="zh-CN" w:bidi="ar-SA"/>
        </w:rPr>
      </w:pPr>
      <w:r>
        <w:rPr>
          <w:rFonts w:hint="eastAsia" w:ascii="宋体" w:hAnsi="宋体" w:eastAsia="宋体" w:cs="Calibri Light"/>
          <w:b/>
          <w:bCs/>
          <w:color w:val="auto"/>
          <w:kern w:val="0"/>
          <w:sz w:val="24"/>
          <w:szCs w:val="24"/>
          <w:highlight w:val="none"/>
          <w:lang w:val="en-US" w:eastAsia="zh-CN" w:bidi="ar-SA"/>
        </w:rPr>
        <w:t>（8）投标人承担安装过程中的所发生的一切安全责任和风险。</w:t>
      </w:r>
    </w:p>
    <w:p w14:paraId="4FFDD8F1">
      <w:pPr>
        <w:spacing w:line="360"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四、</w:t>
      </w:r>
      <w:r>
        <w:rPr>
          <w:rFonts w:hint="eastAsia" w:ascii="宋体" w:hAnsi="宋体" w:eastAsia="宋体" w:cs="宋体"/>
          <w:b/>
          <w:bCs/>
          <w:sz w:val="24"/>
          <w:szCs w:val="24"/>
          <w:highlight w:val="none"/>
        </w:rPr>
        <w:t>调试、验收</w:t>
      </w:r>
    </w:p>
    <w:p w14:paraId="16F5D2A8">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1、现场验收：设备、附件及备件的开箱检验，应在货物到达交货地点时在合同指定的现场完成。</w:t>
      </w:r>
    </w:p>
    <w:p w14:paraId="594BE2E1">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2、场地环境：货物到达安装现场后，按有关技术规程的规定存放和保管，如投标人有特殊要求，应向采购人及早提出。投标人的设备安装工程师去安装调试现场之前，应通知采购人安排和落实安装场地及设施。</w:t>
      </w:r>
    </w:p>
    <w:p w14:paraId="0E4F5D88">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3、安装调试：现场安装、调试及试运行由中标人负责，确保安装规范，须经采购人检验合格后交付使用。一切在安装、调试过程中造成的货物损坏，责任均在</w:t>
      </w:r>
      <w:r>
        <w:rPr>
          <w:rFonts w:hint="eastAsia" w:ascii="宋体" w:hAnsi="宋体" w:eastAsia="宋体" w:cs="宋体"/>
          <w:sz w:val="24"/>
          <w:szCs w:val="24"/>
          <w:highlight w:val="none"/>
          <w:lang w:val="en-US" w:eastAsia="zh-CN"/>
        </w:rPr>
        <w:t>中</w:t>
      </w:r>
      <w:r>
        <w:rPr>
          <w:rFonts w:hint="eastAsia" w:ascii="宋体" w:hAnsi="宋体" w:eastAsia="宋体" w:cs="宋体"/>
          <w:sz w:val="24"/>
          <w:szCs w:val="24"/>
          <w:highlight w:val="none"/>
        </w:rPr>
        <w:t>标人。</w:t>
      </w:r>
    </w:p>
    <w:p w14:paraId="6E957875">
      <w:pPr>
        <w:spacing w:line="360"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lang w:val="en-US" w:eastAsia="zh-CN"/>
        </w:rPr>
        <w:t>五、</w:t>
      </w:r>
      <w:r>
        <w:rPr>
          <w:rFonts w:hint="eastAsia" w:ascii="宋体" w:hAnsi="宋体" w:eastAsia="宋体" w:cs="宋体"/>
          <w:b/>
          <w:bCs/>
          <w:sz w:val="24"/>
          <w:szCs w:val="24"/>
          <w:highlight w:val="none"/>
        </w:rPr>
        <w:t>技术服务</w:t>
      </w:r>
    </w:p>
    <w:p w14:paraId="0395A57C">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投标人须依照要求，派遣有经验的技术人员到采购人现场实施售前及售后技术服务。</w:t>
      </w:r>
      <w:r>
        <w:rPr>
          <w:rFonts w:hint="eastAsia" w:ascii="宋体" w:hAnsi="宋体" w:eastAsia="宋体" w:cs="宋体"/>
          <w:sz w:val="24"/>
          <w:szCs w:val="24"/>
          <w:highlight w:val="none"/>
          <w:lang w:val="en-US" w:eastAsia="zh-CN"/>
        </w:rPr>
        <w:t>同时，</w:t>
      </w:r>
      <w:r>
        <w:rPr>
          <w:rFonts w:hint="eastAsia" w:ascii="宋体" w:hAnsi="宋体" w:eastAsia="宋体" w:cs="宋体"/>
          <w:sz w:val="24"/>
          <w:szCs w:val="24"/>
          <w:highlight w:val="none"/>
        </w:rPr>
        <w:t>技术人员应对采购人</w:t>
      </w:r>
      <w:r>
        <w:rPr>
          <w:rFonts w:hint="eastAsia" w:ascii="宋体" w:hAnsi="宋体" w:eastAsia="宋体" w:cs="宋体"/>
          <w:sz w:val="24"/>
          <w:szCs w:val="24"/>
          <w:highlight w:val="none"/>
          <w:lang w:val="en-US" w:eastAsia="zh-CN"/>
        </w:rPr>
        <w:t>相关负责</w:t>
      </w:r>
      <w:r>
        <w:rPr>
          <w:rFonts w:hint="eastAsia" w:ascii="宋体" w:hAnsi="宋体" w:eastAsia="宋体" w:cs="宋体"/>
          <w:sz w:val="24"/>
          <w:szCs w:val="24"/>
          <w:highlight w:val="none"/>
        </w:rPr>
        <w:t>人员进行现场培训，向采购人讲授说明设备的安装、操作、保养和应该注意的事项，使采购人能够尽快地熟悉设备的性能和使用。</w:t>
      </w:r>
    </w:p>
    <w:p w14:paraId="244EAEB5">
      <w:pPr>
        <w:spacing w:line="360"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六、</w:t>
      </w:r>
      <w:r>
        <w:rPr>
          <w:rFonts w:hint="eastAsia" w:ascii="宋体" w:hAnsi="宋体" w:eastAsia="宋体" w:cs="宋体"/>
          <w:b/>
          <w:bCs/>
          <w:sz w:val="24"/>
          <w:szCs w:val="24"/>
          <w:highlight w:val="none"/>
        </w:rPr>
        <w:t>报价要求</w:t>
      </w:r>
    </w:p>
    <w:p w14:paraId="70B1D1C4">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投标人所报报价包括但不限于以下内容：</w:t>
      </w:r>
    </w:p>
    <w:p w14:paraId="06074BAC">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投标报价包括：全部设备材料及相关配套/附属设备、器件、备品备件、专用工具的供货、包装、运输（包括装卸）至工地现场采购人指定地点、仓储、安装、调试、检验、检测、验收、试运行、伴随服务费（包括但不限于技术资料、人员培训、现场配合等）、售后服务（包含</w:t>
      </w:r>
      <w:r>
        <w:rPr>
          <w:rFonts w:hint="eastAsia" w:ascii="宋体" w:hAnsi="宋体" w:eastAsia="宋体" w:cs="宋体"/>
          <w:sz w:val="24"/>
          <w:szCs w:val="24"/>
          <w:highlight w:val="none"/>
          <w:lang w:eastAsia="zh-CN"/>
        </w:rPr>
        <w:t>免费保修期</w:t>
      </w:r>
      <w:r>
        <w:rPr>
          <w:rFonts w:hint="eastAsia" w:ascii="宋体" w:hAnsi="宋体" w:eastAsia="宋体" w:cs="宋体"/>
          <w:sz w:val="24"/>
          <w:szCs w:val="24"/>
          <w:highlight w:val="none"/>
        </w:rPr>
        <w:t>内的全包维修保养服务）、人工、机械、保险、各种税费、劳保、专利技术等为实现合同目的而发生的一切费用。</w:t>
      </w:r>
    </w:p>
    <w:p w14:paraId="4F9CABF6">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各投标人可到现场了解相关情况，以准确的了解安装尺寸等情况，投标人所投货物须满足现场情况的要求，所涉及的费用均含在本次报价中。在中标后，中标人不得对于各项尺寸及现场情况提出任何异议，所有可能发生的该部分费用均含在本次投标报价中。</w:t>
      </w:r>
    </w:p>
    <w:p w14:paraId="061462FC">
      <w:pPr>
        <w:spacing w:line="360" w:lineRule="auto"/>
        <w:ind w:firstLine="480" w:firstLineChars="200"/>
        <w:rPr>
          <w:highlight w:val="none"/>
        </w:rPr>
      </w:pPr>
      <w:r>
        <w:rPr>
          <w:rFonts w:hint="eastAsia" w:ascii="宋体" w:hAnsi="宋体" w:eastAsia="宋体" w:cs="宋体"/>
          <w:sz w:val="24"/>
          <w:szCs w:val="24"/>
          <w:highlight w:val="none"/>
        </w:rPr>
        <w:t>3、投标人提供因进行本空调安装工程所需的一切设施并承担相关费用。</w:t>
      </w:r>
      <w:bookmarkEnd w:id="2"/>
      <w:bookmarkEnd w:id="3"/>
      <w:bookmarkStart w:id="8" w:name="_GoBack"/>
      <w:bookmarkEnd w:id="8"/>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华文中宋">
    <w:altName w:val="宋体"/>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swiss"/>
    <w:pitch w:val="default"/>
    <w:sig w:usb0="00000000" w:usb1="00000000" w:usb2="00000009" w:usb3="00000000" w:csb0="200001F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27D4B">
    <w:pPr>
      <w:pStyle w:val="16"/>
      <w:jc w:val="both"/>
      <w:rPr>
        <w:rFonts w:ascii="Arial" w:hAnsi="Arial" w:eastAsia="宋体" w:cs="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14:paraId="19FF49B7">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w:t>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Q6jy0QAAAAMBAAAPAAAAAAAAAAEAIAAAACIAAABkcnMvZG93bnJldi54bWxQSwEC&#10;FAAUAAAACACHTuJAFtCILPsBAAAEBAAADgAAAAAAAAABACAAAAAgAQAAZHJzL2Uyb0RvYy54bWxQ&#10;SwUGAAAAAAYABgBZAQAAjQUAAAAA&#10;">
              <v:fill on="f" focussize="0,0"/>
              <v:stroke on="f"/>
              <v:imagedata o:title=""/>
              <o:lock v:ext="edit" aspectratio="f"/>
              <v:textbox inset="0mm,0mm,0mm,0mm" style="mso-fit-shape-to-text:t;">
                <w:txbxContent>
                  <w:p w14:paraId="19FF49B7">
                    <w:pPr>
                      <w:pStyle w:val="16"/>
                      <w:rPr>
                        <w:rFonts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E1360">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57835" cy="147955"/>
              <wp:effectExtent l="0" t="0" r="0" b="0"/>
              <wp:wrapNone/>
              <wp:docPr id="2" name="文本框 3"/>
              <wp:cNvGraphicFramePr/>
              <a:graphic xmlns:a="http://schemas.openxmlformats.org/drawingml/2006/main">
                <a:graphicData uri="http://schemas.microsoft.com/office/word/2010/wordprocessingShape">
                  <wps:wsp>
                    <wps:cNvSpPr txBox="1"/>
                    <wps:spPr>
                      <a:xfrm>
                        <a:off x="0" y="0"/>
                        <a:ext cx="457835" cy="147955"/>
                      </a:xfrm>
                      <a:prstGeom prst="rect">
                        <a:avLst/>
                      </a:prstGeom>
                      <a:noFill/>
                      <a:ln w="6350">
                        <a:noFill/>
                      </a:ln>
                    </wps:spPr>
                    <wps:txbx>
                      <w:txbxContent>
                        <w:p w14:paraId="059A8C9C">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33</w:t>
                          </w:r>
                          <w:r>
                            <w:rPr>
                              <w:rFonts w:hint="eastAsia" w:ascii="宋体" w:hAnsi="宋体" w:eastAsia="宋体" w:cs="宋体"/>
                              <w:sz w:val="18"/>
                            </w:rPr>
                            <w:fldChar w:fldCharType="end"/>
                          </w:r>
                          <w:r>
                            <w:rPr>
                              <w:rFonts w:hint="eastAsia" w:ascii="宋体" w:hAnsi="宋体" w:eastAsia="宋体" w:cs="宋体"/>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1.65pt;width:36.05pt;mso-position-horizontal:center;mso-position-horizontal-relative:margin;mso-wrap-style:none;z-index:251660288;mso-width-relative:page;mso-height-relative:page;" filled="f" stroked="f" coordsize="21600,21600" o:gfxdata="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l4FrNEAAAADAQAADwAAAAAAAAABACAAAAAiAAAAZHJzL2Rvd25yZXYueG1sUEsBAhQA&#10;FAAAAAgAh07iQIyeuAoyAgAAUwQAAA4AAAAAAAAAAQAgAAAAIAEAAGRycy9lMm9Eb2MueG1sUEsF&#10;BgAAAAAGAAYAWQEAAMQFAAAAAA==&#10;">
              <v:fill on="f" focussize="0,0"/>
              <v:stroke on="f" weight="0.5pt"/>
              <v:imagedata o:title=""/>
              <o:lock v:ext="edit" aspectratio="f"/>
              <v:textbox inset="0mm,0mm,0mm,0mm" style="mso-fit-shape-to-text:t;">
                <w:txbxContent>
                  <w:p w14:paraId="059A8C9C">
                    <w:pPr>
                      <w:snapToGrid w:val="0"/>
                      <w:rPr>
                        <w:rFonts w:ascii="宋体" w:hAnsi="宋体" w:eastAsia="宋体" w:cs="宋体"/>
                        <w:sz w:val="18"/>
                      </w:rPr>
                    </w:pPr>
                    <w:r>
                      <w:rPr>
                        <w:rFonts w:hint="eastAsia" w:ascii="宋体" w:hAnsi="宋体" w:eastAsia="宋体" w:cs="宋体"/>
                        <w:sz w:val="18"/>
                      </w:rPr>
                      <w:t xml:space="preserve">第 </w:t>
                    </w:r>
                    <w:r>
                      <w:rPr>
                        <w:rFonts w:hint="eastAsia" w:ascii="宋体" w:hAnsi="宋体" w:eastAsia="宋体" w:cs="宋体"/>
                        <w:sz w:val="18"/>
                      </w:rPr>
                      <w:fldChar w:fldCharType="begin"/>
                    </w:r>
                    <w:r>
                      <w:rPr>
                        <w:rFonts w:hint="eastAsia" w:ascii="宋体" w:hAnsi="宋体" w:eastAsia="宋体" w:cs="宋体"/>
                        <w:sz w:val="18"/>
                      </w:rPr>
                      <w:instrText xml:space="preserve"> PAGE  \* MERGEFORMAT </w:instrText>
                    </w:r>
                    <w:r>
                      <w:rPr>
                        <w:rFonts w:hint="eastAsia" w:ascii="宋体" w:hAnsi="宋体" w:eastAsia="宋体" w:cs="宋体"/>
                        <w:sz w:val="18"/>
                      </w:rPr>
                      <w:fldChar w:fldCharType="separate"/>
                    </w:r>
                    <w:r>
                      <w:rPr>
                        <w:rFonts w:ascii="宋体" w:hAnsi="宋体" w:eastAsia="宋体" w:cs="宋体"/>
                        <w:sz w:val="18"/>
                      </w:rPr>
                      <w:t>33</w:t>
                    </w:r>
                    <w:r>
                      <w:rPr>
                        <w:rFonts w:hint="eastAsia" w:ascii="宋体" w:hAnsi="宋体" w:eastAsia="宋体" w:cs="宋体"/>
                        <w:sz w:val="18"/>
                      </w:rPr>
                      <w:fldChar w:fldCharType="end"/>
                    </w:r>
                    <w:r>
                      <w:rPr>
                        <w:rFonts w:hint="eastAsia" w:ascii="宋体" w:hAnsi="宋体" w:eastAsia="宋体" w:cs="宋体"/>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04567">
    <w:pPr>
      <w:pStyle w:val="17"/>
      <w:ind w:left="4500" w:hanging="4500" w:hangingChars="2500"/>
      <w:jc w:val="left"/>
      <w:rPr>
        <w:rFonts w:ascii="宋体" w:hAnsi="宋体" w:eastAsia="宋体"/>
      </w:rPr>
    </w:pPr>
    <w:r>
      <w:rPr>
        <w:rFonts w:hint="eastAsia" w:ascii="宋体" w:hAnsi="宋体" w:eastAsia="宋体"/>
      </w:rPr>
      <w:t>鼎信数智技术集团股份有限公司                                                       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0ZTUxMGViMmE0YTUxNjRlNjY3YjAyMGZkODNiY2IifQ=="/>
  </w:docVars>
  <w:rsids>
    <w:rsidRoot w:val="00172A27"/>
    <w:rsid w:val="0000043F"/>
    <w:rsid w:val="00002818"/>
    <w:rsid w:val="000049DA"/>
    <w:rsid w:val="000056B7"/>
    <w:rsid w:val="00011E15"/>
    <w:rsid w:val="00012A13"/>
    <w:rsid w:val="000131F7"/>
    <w:rsid w:val="00016B6C"/>
    <w:rsid w:val="00020B57"/>
    <w:rsid w:val="00037DBE"/>
    <w:rsid w:val="00042139"/>
    <w:rsid w:val="00042B14"/>
    <w:rsid w:val="00044F49"/>
    <w:rsid w:val="000450C3"/>
    <w:rsid w:val="00050A3F"/>
    <w:rsid w:val="000530EC"/>
    <w:rsid w:val="000544DE"/>
    <w:rsid w:val="000648D2"/>
    <w:rsid w:val="00070E0E"/>
    <w:rsid w:val="0007292E"/>
    <w:rsid w:val="0007666F"/>
    <w:rsid w:val="00076DB7"/>
    <w:rsid w:val="00080FEB"/>
    <w:rsid w:val="000868D6"/>
    <w:rsid w:val="00091FF1"/>
    <w:rsid w:val="00094D41"/>
    <w:rsid w:val="00097CB9"/>
    <w:rsid w:val="000A4640"/>
    <w:rsid w:val="000A6345"/>
    <w:rsid w:val="000A6693"/>
    <w:rsid w:val="000A6B73"/>
    <w:rsid w:val="000A7D94"/>
    <w:rsid w:val="000B11A0"/>
    <w:rsid w:val="000B1511"/>
    <w:rsid w:val="000B54F4"/>
    <w:rsid w:val="000C1DB1"/>
    <w:rsid w:val="000D39BB"/>
    <w:rsid w:val="000D3F37"/>
    <w:rsid w:val="000D6F42"/>
    <w:rsid w:val="000E3C74"/>
    <w:rsid w:val="000E3F9B"/>
    <w:rsid w:val="000E6689"/>
    <w:rsid w:val="000F014C"/>
    <w:rsid w:val="000F172B"/>
    <w:rsid w:val="000F2198"/>
    <w:rsid w:val="000F39B6"/>
    <w:rsid w:val="000F6B7B"/>
    <w:rsid w:val="000F7386"/>
    <w:rsid w:val="00100B0F"/>
    <w:rsid w:val="0010187C"/>
    <w:rsid w:val="001037E3"/>
    <w:rsid w:val="00110911"/>
    <w:rsid w:val="00112B58"/>
    <w:rsid w:val="00116A70"/>
    <w:rsid w:val="0012143A"/>
    <w:rsid w:val="001222C6"/>
    <w:rsid w:val="001363BB"/>
    <w:rsid w:val="00136D80"/>
    <w:rsid w:val="00137C00"/>
    <w:rsid w:val="00137C7C"/>
    <w:rsid w:val="00140687"/>
    <w:rsid w:val="00141707"/>
    <w:rsid w:val="00146421"/>
    <w:rsid w:val="001479CF"/>
    <w:rsid w:val="00147C18"/>
    <w:rsid w:val="00155F64"/>
    <w:rsid w:val="001562EB"/>
    <w:rsid w:val="00157856"/>
    <w:rsid w:val="00160729"/>
    <w:rsid w:val="00160D83"/>
    <w:rsid w:val="001644D1"/>
    <w:rsid w:val="00166ED8"/>
    <w:rsid w:val="00170C62"/>
    <w:rsid w:val="001714C9"/>
    <w:rsid w:val="00172A27"/>
    <w:rsid w:val="001751E5"/>
    <w:rsid w:val="0018119B"/>
    <w:rsid w:val="001826D0"/>
    <w:rsid w:val="00183897"/>
    <w:rsid w:val="001844AB"/>
    <w:rsid w:val="00190F1F"/>
    <w:rsid w:val="001944B8"/>
    <w:rsid w:val="00196DA3"/>
    <w:rsid w:val="00197AC4"/>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5F6"/>
    <w:rsid w:val="001F74CA"/>
    <w:rsid w:val="002003B6"/>
    <w:rsid w:val="00204022"/>
    <w:rsid w:val="002049B4"/>
    <w:rsid w:val="0020520B"/>
    <w:rsid w:val="00213C55"/>
    <w:rsid w:val="002163CF"/>
    <w:rsid w:val="0021678B"/>
    <w:rsid w:val="002168C4"/>
    <w:rsid w:val="002178B1"/>
    <w:rsid w:val="00223CF4"/>
    <w:rsid w:val="00224C4A"/>
    <w:rsid w:val="0022769B"/>
    <w:rsid w:val="0023407E"/>
    <w:rsid w:val="00236F8C"/>
    <w:rsid w:val="00240B40"/>
    <w:rsid w:val="002440D8"/>
    <w:rsid w:val="00244182"/>
    <w:rsid w:val="00247222"/>
    <w:rsid w:val="00260B94"/>
    <w:rsid w:val="0026362D"/>
    <w:rsid w:val="00264F2E"/>
    <w:rsid w:val="00271245"/>
    <w:rsid w:val="00272E6E"/>
    <w:rsid w:val="00274A9E"/>
    <w:rsid w:val="00276292"/>
    <w:rsid w:val="00276BA1"/>
    <w:rsid w:val="00277094"/>
    <w:rsid w:val="002A0C9D"/>
    <w:rsid w:val="002A1A1D"/>
    <w:rsid w:val="002A28AD"/>
    <w:rsid w:val="002A3AEE"/>
    <w:rsid w:val="002B2F5A"/>
    <w:rsid w:val="002B5318"/>
    <w:rsid w:val="002B6D27"/>
    <w:rsid w:val="002C4BA9"/>
    <w:rsid w:val="002D1258"/>
    <w:rsid w:val="002D2965"/>
    <w:rsid w:val="002D3D02"/>
    <w:rsid w:val="002D4CB5"/>
    <w:rsid w:val="002D5712"/>
    <w:rsid w:val="002D684B"/>
    <w:rsid w:val="002E24F4"/>
    <w:rsid w:val="002E3B26"/>
    <w:rsid w:val="002E4AB8"/>
    <w:rsid w:val="002F092B"/>
    <w:rsid w:val="00300808"/>
    <w:rsid w:val="00307A22"/>
    <w:rsid w:val="00310070"/>
    <w:rsid w:val="003110EC"/>
    <w:rsid w:val="003149DA"/>
    <w:rsid w:val="00327C92"/>
    <w:rsid w:val="003322E9"/>
    <w:rsid w:val="00333292"/>
    <w:rsid w:val="003344E7"/>
    <w:rsid w:val="0033580B"/>
    <w:rsid w:val="0033628B"/>
    <w:rsid w:val="003365E7"/>
    <w:rsid w:val="003378D5"/>
    <w:rsid w:val="003442BD"/>
    <w:rsid w:val="003447AE"/>
    <w:rsid w:val="003473D7"/>
    <w:rsid w:val="00351AC8"/>
    <w:rsid w:val="00353075"/>
    <w:rsid w:val="00353C9C"/>
    <w:rsid w:val="00363E02"/>
    <w:rsid w:val="00364A1E"/>
    <w:rsid w:val="00373A96"/>
    <w:rsid w:val="003826C2"/>
    <w:rsid w:val="00383728"/>
    <w:rsid w:val="00391586"/>
    <w:rsid w:val="00394128"/>
    <w:rsid w:val="003947A4"/>
    <w:rsid w:val="00395235"/>
    <w:rsid w:val="0039561A"/>
    <w:rsid w:val="00397C7D"/>
    <w:rsid w:val="003A004F"/>
    <w:rsid w:val="003A59B7"/>
    <w:rsid w:val="003B4130"/>
    <w:rsid w:val="003B67D3"/>
    <w:rsid w:val="003B715B"/>
    <w:rsid w:val="003D19E1"/>
    <w:rsid w:val="003D1D14"/>
    <w:rsid w:val="003D6C7C"/>
    <w:rsid w:val="003D6EFB"/>
    <w:rsid w:val="003D7E52"/>
    <w:rsid w:val="003E2010"/>
    <w:rsid w:val="003E25C6"/>
    <w:rsid w:val="003F145B"/>
    <w:rsid w:val="003F721F"/>
    <w:rsid w:val="004011AA"/>
    <w:rsid w:val="00401546"/>
    <w:rsid w:val="0040202C"/>
    <w:rsid w:val="00406508"/>
    <w:rsid w:val="0041456E"/>
    <w:rsid w:val="00414761"/>
    <w:rsid w:val="00414F7E"/>
    <w:rsid w:val="004163C4"/>
    <w:rsid w:val="004164F8"/>
    <w:rsid w:val="00420B7F"/>
    <w:rsid w:val="004427B7"/>
    <w:rsid w:val="00442A3D"/>
    <w:rsid w:val="0044349F"/>
    <w:rsid w:val="00445F1F"/>
    <w:rsid w:val="00451F60"/>
    <w:rsid w:val="00452BB2"/>
    <w:rsid w:val="0045656D"/>
    <w:rsid w:val="00462B44"/>
    <w:rsid w:val="00462D98"/>
    <w:rsid w:val="00471F7A"/>
    <w:rsid w:val="00472A44"/>
    <w:rsid w:val="00473A89"/>
    <w:rsid w:val="00475316"/>
    <w:rsid w:val="00475899"/>
    <w:rsid w:val="00482C78"/>
    <w:rsid w:val="004874AE"/>
    <w:rsid w:val="00492F27"/>
    <w:rsid w:val="004945B4"/>
    <w:rsid w:val="00494D24"/>
    <w:rsid w:val="004951D1"/>
    <w:rsid w:val="004A27D0"/>
    <w:rsid w:val="004A4D67"/>
    <w:rsid w:val="004B2811"/>
    <w:rsid w:val="004B2D4C"/>
    <w:rsid w:val="004C36E8"/>
    <w:rsid w:val="004D3D4B"/>
    <w:rsid w:val="004D5498"/>
    <w:rsid w:val="004D66A5"/>
    <w:rsid w:val="004D6B00"/>
    <w:rsid w:val="004E1D50"/>
    <w:rsid w:val="004F0396"/>
    <w:rsid w:val="004F30FA"/>
    <w:rsid w:val="005003A4"/>
    <w:rsid w:val="00501382"/>
    <w:rsid w:val="005054B9"/>
    <w:rsid w:val="00506E4F"/>
    <w:rsid w:val="00510798"/>
    <w:rsid w:val="00515F12"/>
    <w:rsid w:val="0052202B"/>
    <w:rsid w:val="00524A11"/>
    <w:rsid w:val="00526424"/>
    <w:rsid w:val="00527768"/>
    <w:rsid w:val="005327FB"/>
    <w:rsid w:val="00533FCA"/>
    <w:rsid w:val="00546D49"/>
    <w:rsid w:val="005616B5"/>
    <w:rsid w:val="00582075"/>
    <w:rsid w:val="00585EB3"/>
    <w:rsid w:val="0058703D"/>
    <w:rsid w:val="00592509"/>
    <w:rsid w:val="00597B15"/>
    <w:rsid w:val="005A044C"/>
    <w:rsid w:val="005A0CF1"/>
    <w:rsid w:val="005B5C95"/>
    <w:rsid w:val="005B7D26"/>
    <w:rsid w:val="005D0200"/>
    <w:rsid w:val="005D3870"/>
    <w:rsid w:val="005D44EF"/>
    <w:rsid w:val="005D4814"/>
    <w:rsid w:val="005D5112"/>
    <w:rsid w:val="005F3914"/>
    <w:rsid w:val="005F3B5A"/>
    <w:rsid w:val="005F6AB4"/>
    <w:rsid w:val="00610A66"/>
    <w:rsid w:val="00613177"/>
    <w:rsid w:val="00613F7C"/>
    <w:rsid w:val="00614BF2"/>
    <w:rsid w:val="006208CB"/>
    <w:rsid w:val="00623DE2"/>
    <w:rsid w:val="00627601"/>
    <w:rsid w:val="006300D0"/>
    <w:rsid w:val="00630771"/>
    <w:rsid w:val="00632012"/>
    <w:rsid w:val="00634694"/>
    <w:rsid w:val="00635F9D"/>
    <w:rsid w:val="00636517"/>
    <w:rsid w:val="00637690"/>
    <w:rsid w:val="0064049F"/>
    <w:rsid w:val="00640E1E"/>
    <w:rsid w:val="0064389A"/>
    <w:rsid w:val="00645442"/>
    <w:rsid w:val="006525CD"/>
    <w:rsid w:val="00653F7F"/>
    <w:rsid w:val="006609F5"/>
    <w:rsid w:val="00662EE8"/>
    <w:rsid w:val="00663813"/>
    <w:rsid w:val="00663C3B"/>
    <w:rsid w:val="00664AFD"/>
    <w:rsid w:val="00667567"/>
    <w:rsid w:val="0067391A"/>
    <w:rsid w:val="00674173"/>
    <w:rsid w:val="0067535A"/>
    <w:rsid w:val="0068207B"/>
    <w:rsid w:val="00683CA0"/>
    <w:rsid w:val="00690DB1"/>
    <w:rsid w:val="00693404"/>
    <w:rsid w:val="006953D9"/>
    <w:rsid w:val="006A1AA2"/>
    <w:rsid w:val="006B1242"/>
    <w:rsid w:val="006B1DBC"/>
    <w:rsid w:val="006B63B7"/>
    <w:rsid w:val="006B7D9A"/>
    <w:rsid w:val="006C06D9"/>
    <w:rsid w:val="006C2B83"/>
    <w:rsid w:val="006C5716"/>
    <w:rsid w:val="006C74A9"/>
    <w:rsid w:val="006D07DE"/>
    <w:rsid w:val="006D394E"/>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200D3"/>
    <w:rsid w:val="007231E9"/>
    <w:rsid w:val="00727C59"/>
    <w:rsid w:val="00734E5D"/>
    <w:rsid w:val="00736013"/>
    <w:rsid w:val="00737661"/>
    <w:rsid w:val="00741BD0"/>
    <w:rsid w:val="00746744"/>
    <w:rsid w:val="00750594"/>
    <w:rsid w:val="00755D75"/>
    <w:rsid w:val="00756245"/>
    <w:rsid w:val="00761662"/>
    <w:rsid w:val="00764043"/>
    <w:rsid w:val="00775222"/>
    <w:rsid w:val="007757CF"/>
    <w:rsid w:val="00776FFC"/>
    <w:rsid w:val="007770AF"/>
    <w:rsid w:val="0078128F"/>
    <w:rsid w:val="00782083"/>
    <w:rsid w:val="0078683C"/>
    <w:rsid w:val="00790EDB"/>
    <w:rsid w:val="00791538"/>
    <w:rsid w:val="0079326E"/>
    <w:rsid w:val="00796EDE"/>
    <w:rsid w:val="007A27A9"/>
    <w:rsid w:val="007A5A58"/>
    <w:rsid w:val="007A6740"/>
    <w:rsid w:val="007B1C56"/>
    <w:rsid w:val="007B1C62"/>
    <w:rsid w:val="007B2A00"/>
    <w:rsid w:val="007B4996"/>
    <w:rsid w:val="007C3CD5"/>
    <w:rsid w:val="007C61EF"/>
    <w:rsid w:val="007C7004"/>
    <w:rsid w:val="007D000A"/>
    <w:rsid w:val="007D040D"/>
    <w:rsid w:val="007D1C0D"/>
    <w:rsid w:val="007D2D23"/>
    <w:rsid w:val="007E27D6"/>
    <w:rsid w:val="007E3921"/>
    <w:rsid w:val="00801028"/>
    <w:rsid w:val="00803793"/>
    <w:rsid w:val="008047E9"/>
    <w:rsid w:val="008149FD"/>
    <w:rsid w:val="00817A01"/>
    <w:rsid w:val="00822ADF"/>
    <w:rsid w:val="00825E35"/>
    <w:rsid w:val="008334F8"/>
    <w:rsid w:val="008341AA"/>
    <w:rsid w:val="00835D8E"/>
    <w:rsid w:val="00844D03"/>
    <w:rsid w:val="00847B0F"/>
    <w:rsid w:val="00851E11"/>
    <w:rsid w:val="00852111"/>
    <w:rsid w:val="00867411"/>
    <w:rsid w:val="0086781A"/>
    <w:rsid w:val="00876659"/>
    <w:rsid w:val="0087734C"/>
    <w:rsid w:val="00882141"/>
    <w:rsid w:val="00883012"/>
    <w:rsid w:val="00883667"/>
    <w:rsid w:val="008922A8"/>
    <w:rsid w:val="00895BD5"/>
    <w:rsid w:val="008A16C4"/>
    <w:rsid w:val="008A6FED"/>
    <w:rsid w:val="008B39C5"/>
    <w:rsid w:val="008B51AA"/>
    <w:rsid w:val="008C67F2"/>
    <w:rsid w:val="008D064A"/>
    <w:rsid w:val="008D2B0F"/>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CAE"/>
    <w:rsid w:val="0094257D"/>
    <w:rsid w:val="00942F60"/>
    <w:rsid w:val="0095467C"/>
    <w:rsid w:val="00954A61"/>
    <w:rsid w:val="00955C6F"/>
    <w:rsid w:val="00966C7B"/>
    <w:rsid w:val="009701DC"/>
    <w:rsid w:val="009715D8"/>
    <w:rsid w:val="009733C7"/>
    <w:rsid w:val="00983350"/>
    <w:rsid w:val="00985C4B"/>
    <w:rsid w:val="00995BF9"/>
    <w:rsid w:val="009A0CAF"/>
    <w:rsid w:val="009A1474"/>
    <w:rsid w:val="009A2207"/>
    <w:rsid w:val="009B5CB7"/>
    <w:rsid w:val="009B6C42"/>
    <w:rsid w:val="009D31F7"/>
    <w:rsid w:val="009D32C2"/>
    <w:rsid w:val="009D50DB"/>
    <w:rsid w:val="009E3A0A"/>
    <w:rsid w:val="009F3E91"/>
    <w:rsid w:val="009F4442"/>
    <w:rsid w:val="009F5CAD"/>
    <w:rsid w:val="009F6CE7"/>
    <w:rsid w:val="00A06ACD"/>
    <w:rsid w:val="00A1225F"/>
    <w:rsid w:val="00A1499B"/>
    <w:rsid w:val="00A159D6"/>
    <w:rsid w:val="00A168B4"/>
    <w:rsid w:val="00A16DA7"/>
    <w:rsid w:val="00A20879"/>
    <w:rsid w:val="00A314C2"/>
    <w:rsid w:val="00A33946"/>
    <w:rsid w:val="00A53155"/>
    <w:rsid w:val="00A63E86"/>
    <w:rsid w:val="00A65A1C"/>
    <w:rsid w:val="00A757C3"/>
    <w:rsid w:val="00A75E5B"/>
    <w:rsid w:val="00A7684A"/>
    <w:rsid w:val="00A80993"/>
    <w:rsid w:val="00A82AED"/>
    <w:rsid w:val="00A83B69"/>
    <w:rsid w:val="00A86533"/>
    <w:rsid w:val="00A9176A"/>
    <w:rsid w:val="00A91CA2"/>
    <w:rsid w:val="00A92FB8"/>
    <w:rsid w:val="00A948F1"/>
    <w:rsid w:val="00AA1D7D"/>
    <w:rsid w:val="00AB139D"/>
    <w:rsid w:val="00AB2C46"/>
    <w:rsid w:val="00AB3EFB"/>
    <w:rsid w:val="00AC010B"/>
    <w:rsid w:val="00AC0B05"/>
    <w:rsid w:val="00AD079A"/>
    <w:rsid w:val="00AD1890"/>
    <w:rsid w:val="00AD3F94"/>
    <w:rsid w:val="00AE2149"/>
    <w:rsid w:val="00AE33AE"/>
    <w:rsid w:val="00AE3785"/>
    <w:rsid w:val="00AE3F91"/>
    <w:rsid w:val="00AE452F"/>
    <w:rsid w:val="00AE76E6"/>
    <w:rsid w:val="00AF07BC"/>
    <w:rsid w:val="00AF27BD"/>
    <w:rsid w:val="00AF3BEE"/>
    <w:rsid w:val="00AF5706"/>
    <w:rsid w:val="00B039E3"/>
    <w:rsid w:val="00B043C1"/>
    <w:rsid w:val="00B22838"/>
    <w:rsid w:val="00B25D07"/>
    <w:rsid w:val="00B31CE4"/>
    <w:rsid w:val="00B32BC1"/>
    <w:rsid w:val="00B3355B"/>
    <w:rsid w:val="00B33E95"/>
    <w:rsid w:val="00B3720B"/>
    <w:rsid w:val="00B40EE3"/>
    <w:rsid w:val="00B55271"/>
    <w:rsid w:val="00B5558A"/>
    <w:rsid w:val="00B56513"/>
    <w:rsid w:val="00B56B2E"/>
    <w:rsid w:val="00B64376"/>
    <w:rsid w:val="00B7401F"/>
    <w:rsid w:val="00B806C3"/>
    <w:rsid w:val="00B80B59"/>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BDF"/>
    <w:rsid w:val="00BE57CE"/>
    <w:rsid w:val="00BF376F"/>
    <w:rsid w:val="00BF46A6"/>
    <w:rsid w:val="00BF62CF"/>
    <w:rsid w:val="00BF6329"/>
    <w:rsid w:val="00BF73D6"/>
    <w:rsid w:val="00C01623"/>
    <w:rsid w:val="00C06545"/>
    <w:rsid w:val="00C1161C"/>
    <w:rsid w:val="00C220FC"/>
    <w:rsid w:val="00C24DFA"/>
    <w:rsid w:val="00C4202A"/>
    <w:rsid w:val="00C46A36"/>
    <w:rsid w:val="00C46C5C"/>
    <w:rsid w:val="00C47037"/>
    <w:rsid w:val="00C53625"/>
    <w:rsid w:val="00C602C1"/>
    <w:rsid w:val="00C63EA5"/>
    <w:rsid w:val="00C63FC0"/>
    <w:rsid w:val="00C66392"/>
    <w:rsid w:val="00C74C5E"/>
    <w:rsid w:val="00C827A2"/>
    <w:rsid w:val="00C82B69"/>
    <w:rsid w:val="00C91B28"/>
    <w:rsid w:val="00C91F3A"/>
    <w:rsid w:val="00CA06E3"/>
    <w:rsid w:val="00CB5797"/>
    <w:rsid w:val="00CC1202"/>
    <w:rsid w:val="00CD09E1"/>
    <w:rsid w:val="00CD6202"/>
    <w:rsid w:val="00CE2486"/>
    <w:rsid w:val="00CE4913"/>
    <w:rsid w:val="00CE66BD"/>
    <w:rsid w:val="00CF0671"/>
    <w:rsid w:val="00CF07F1"/>
    <w:rsid w:val="00CF15B3"/>
    <w:rsid w:val="00CF2038"/>
    <w:rsid w:val="00CF44AD"/>
    <w:rsid w:val="00CF4FC0"/>
    <w:rsid w:val="00D103DB"/>
    <w:rsid w:val="00D1072F"/>
    <w:rsid w:val="00D108A5"/>
    <w:rsid w:val="00D11DAC"/>
    <w:rsid w:val="00D14585"/>
    <w:rsid w:val="00D20EFF"/>
    <w:rsid w:val="00D30FC0"/>
    <w:rsid w:val="00D34F0D"/>
    <w:rsid w:val="00D3516E"/>
    <w:rsid w:val="00D4064C"/>
    <w:rsid w:val="00D53ED8"/>
    <w:rsid w:val="00D5400E"/>
    <w:rsid w:val="00D60338"/>
    <w:rsid w:val="00D64857"/>
    <w:rsid w:val="00D6493A"/>
    <w:rsid w:val="00D67875"/>
    <w:rsid w:val="00D71CBD"/>
    <w:rsid w:val="00D71E86"/>
    <w:rsid w:val="00D731C6"/>
    <w:rsid w:val="00D745C5"/>
    <w:rsid w:val="00D75327"/>
    <w:rsid w:val="00D80C36"/>
    <w:rsid w:val="00D86779"/>
    <w:rsid w:val="00D86EE1"/>
    <w:rsid w:val="00D942FE"/>
    <w:rsid w:val="00D96126"/>
    <w:rsid w:val="00DA10C6"/>
    <w:rsid w:val="00DA3822"/>
    <w:rsid w:val="00DA3EA5"/>
    <w:rsid w:val="00DB4B1C"/>
    <w:rsid w:val="00DB5085"/>
    <w:rsid w:val="00DB7706"/>
    <w:rsid w:val="00DC1062"/>
    <w:rsid w:val="00DC132C"/>
    <w:rsid w:val="00DC2A4F"/>
    <w:rsid w:val="00DD36A6"/>
    <w:rsid w:val="00DD43F0"/>
    <w:rsid w:val="00DD44DE"/>
    <w:rsid w:val="00DE09AB"/>
    <w:rsid w:val="00DE4A3F"/>
    <w:rsid w:val="00DE5639"/>
    <w:rsid w:val="00DF4367"/>
    <w:rsid w:val="00DF6C1D"/>
    <w:rsid w:val="00E0574A"/>
    <w:rsid w:val="00E1243D"/>
    <w:rsid w:val="00E12742"/>
    <w:rsid w:val="00E146D4"/>
    <w:rsid w:val="00E20976"/>
    <w:rsid w:val="00E22063"/>
    <w:rsid w:val="00E22B44"/>
    <w:rsid w:val="00E255FE"/>
    <w:rsid w:val="00E30ACD"/>
    <w:rsid w:val="00E32735"/>
    <w:rsid w:val="00E337E9"/>
    <w:rsid w:val="00E42A29"/>
    <w:rsid w:val="00E42D45"/>
    <w:rsid w:val="00E5391D"/>
    <w:rsid w:val="00E66E36"/>
    <w:rsid w:val="00E702ED"/>
    <w:rsid w:val="00E709A4"/>
    <w:rsid w:val="00E73822"/>
    <w:rsid w:val="00E772DB"/>
    <w:rsid w:val="00E81230"/>
    <w:rsid w:val="00E86012"/>
    <w:rsid w:val="00E86BAB"/>
    <w:rsid w:val="00E94E10"/>
    <w:rsid w:val="00E954BD"/>
    <w:rsid w:val="00E96743"/>
    <w:rsid w:val="00E96A42"/>
    <w:rsid w:val="00EA0A36"/>
    <w:rsid w:val="00EA49C5"/>
    <w:rsid w:val="00EB5027"/>
    <w:rsid w:val="00EC1836"/>
    <w:rsid w:val="00EC3990"/>
    <w:rsid w:val="00EC3EDA"/>
    <w:rsid w:val="00EC484B"/>
    <w:rsid w:val="00ED140A"/>
    <w:rsid w:val="00ED15FA"/>
    <w:rsid w:val="00EE6E9A"/>
    <w:rsid w:val="00EF0BF1"/>
    <w:rsid w:val="00EF2AC4"/>
    <w:rsid w:val="00EF397E"/>
    <w:rsid w:val="00F06F68"/>
    <w:rsid w:val="00F136A5"/>
    <w:rsid w:val="00F1713B"/>
    <w:rsid w:val="00F212CB"/>
    <w:rsid w:val="00F243DB"/>
    <w:rsid w:val="00F24C2D"/>
    <w:rsid w:val="00F24F1B"/>
    <w:rsid w:val="00F27356"/>
    <w:rsid w:val="00F31609"/>
    <w:rsid w:val="00F32A81"/>
    <w:rsid w:val="00F4680A"/>
    <w:rsid w:val="00F46998"/>
    <w:rsid w:val="00F47100"/>
    <w:rsid w:val="00F5382D"/>
    <w:rsid w:val="00F53D9C"/>
    <w:rsid w:val="00F5462B"/>
    <w:rsid w:val="00F634AD"/>
    <w:rsid w:val="00F63677"/>
    <w:rsid w:val="00F72BFC"/>
    <w:rsid w:val="00F75B81"/>
    <w:rsid w:val="00F804C4"/>
    <w:rsid w:val="00F82F83"/>
    <w:rsid w:val="00F832E5"/>
    <w:rsid w:val="00F90087"/>
    <w:rsid w:val="00F90F40"/>
    <w:rsid w:val="00F92B30"/>
    <w:rsid w:val="00F933B9"/>
    <w:rsid w:val="00F94674"/>
    <w:rsid w:val="00F94919"/>
    <w:rsid w:val="00F94A59"/>
    <w:rsid w:val="00FA25B6"/>
    <w:rsid w:val="00FA2FAF"/>
    <w:rsid w:val="00FA5CCF"/>
    <w:rsid w:val="00FA64B1"/>
    <w:rsid w:val="00FA70F3"/>
    <w:rsid w:val="00FA71CD"/>
    <w:rsid w:val="00FB0453"/>
    <w:rsid w:val="00FB0C07"/>
    <w:rsid w:val="00FB298D"/>
    <w:rsid w:val="00FC1439"/>
    <w:rsid w:val="00FC724B"/>
    <w:rsid w:val="00FC7910"/>
    <w:rsid w:val="00FD1A52"/>
    <w:rsid w:val="00FD4DFE"/>
    <w:rsid w:val="00FE531E"/>
    <w:rsid w:val="00FE72A6"/>
    <w:rsid w:val="00FF0B24"/>
    <w:rsid w:val="00FF0DA7"/>
    <w:rsid w:val="00FF44E0"/>
    <w:rsid w:val="00FF6C72"/>
    <w:rsid w:val="011F2F39"/>
    <w:rsid w:val="01374E54"/>
    <w:rsid w:val="013C59A0"/>
    <w:rsid w:val="017039C2"/>
    <w:rsid w:val="018067FB"/>
    <w:rsid w:val="01976AB5"/>
    <w:rsid w:val="019D48DD"/>
    <w:rsid w:val="01A324E9"/>
    <w:rsid w:val="01AC65E1"/>
    <w:rsid w:val="01AF35D1"/>
    <w:rsid w:val="01BC3676"/>
    <w:rsid w:val="01D7290B"/>
    <w:rsid w:val="01E131F4"/>
    <w:rsid w:val="01ED7DBB"/>
    <w:rsid w:val="01F72DAE"/>
    <w:rsid w:val="01FF5B1C"/>
    <w:rsid w:val="02067716"/>
    <w:rsid w:val="02296E92"/>
    <w:rsid w:val="0257059B"/>
    <w:rsid w:val="02A734F8"/>
    <w:rsid w:val="02D57C3D"/>
    <w:rsid w:val="02DA2DFA"/>
    <w:rsid w:val="032A2EC2"/>
    <w:rsid w:val="034649C6"/>
    <w:rsid w:val="039931C3"/>
    <w:rsid w:val="03D25EAC"/>
    <w:rsid w:val="03E06A06"/>
    <w:rsid w:val="03E10905"/>
    <w:rsid w:val="04011721"/>
    <w:rsid w:val="042B70D8"/>
    <w:rsid w:val="04396C28"/>
    <w:rsid w:val="045B0C31"/>
    <w:rsid w:val="047A7BCE"/>
    <w:rsid w:val="048C3FC4"/>
    <w:rsid w:val="04A44E01"/>
    <w:rsid w:val="04CA7527"/>
    <w:rsid w:val="04CB0B34"/>
    <w:rsid w:val="04E12D11"/>
    <w:rsid w:val="05006369"/>
    <w:rsid w:val="05107D29"/>
    <w:rsid w:val="05426646"/>
    <w:rsid w:val="055B3806"/>
    <w:rsid w:val="05CB3411"/>
    <w:rsid w:val="05CD6CDE"/>
    <w:rsid w:val="05D30528"/>
    <w:rsid w:val="05D4629F"/>
    <w:rsid w:val="062565AF"/>
    <w:rsid w:val="062E45D2"/>
    <w:rsid w:val="063400F9"/>
    <w:rsid w:val="06397A31"/>
    <w:rsid w:val="069B7539"/>
    <w:rsid w:val="06B86512"/>
    <w:rsid w:val="06C76316"/>
    <w:rsid w:val="07102341"/>
    <w:rsid w:val="0722647A"/>
    <w:rsid w:val="07534192"/>
    <w:rsid w:val="075F0B0B"/>
    <w:rsid w:val="07872913"/>
    <w:rsid w:val="079330DC"/>
    <w:rsid w:val="07A349A1"/>
    <w:rsid w:val="07C66A72"/>
    <w:rsid w:val="07CF4038"/>
    <w:rsid w:val="07D953F5"/>
    <w:rsid w:val="080A32C2"/>
    <w:rsid w:val="085F62D4"/>
    <w:rsid w:val="088D29BC"/>
    <w:rsid w:val="088E1E23"/>
    <w:rsid w:val="08B2770C"/>
    <w:rsid w:val="08B50556"/>
    <w:rsid w:val="08D3750E"/>
    <w:rsid w:val="08D800DC"/>
    <w:rsid w:val="09645572"/>
    <w:rsid w:val="096B4801"/>
    <w:rsid w:val="097D251D"/>
    <w:rsid w:val="099279EF"/>
    <w:rsid w:val="09D44BFD"/>
    <w:rsid w:val="0A0A73CC"/>
    <w:rsid w:val="0A245762"/>
    <w:rsid w:val="0A39244D"/>
    <w:rsid w:val="0A8101C3"/>
    <w:rsid w:val="0A8E01DA"/>
    <w:rsid w:val="0AC0494B"/>
    <w:rsid w:val="0ACE7C2C"/>
    <w:rsid w:val="0B622F66"/>
    <w:rsid w:val="0B6542B2"/>
    <w:rsid w:val="0BC32105"/>
    <w:rsid w:val="0BC34B58"/>
    <w:rsid w:val="0BC56980"/>
    <w:rsid w:val="0BE43F91"/>
    <w:rsid w:val="0C304C4D"/>
    <w:rsid w:val="0C625CD5"/>
    <w:rsid w:val="0C641620"/>
    <w:rsid w:val="0C76373B"/>
    <w:rsid w:val="0C815D20"/>
    <w:rsid w:val="0CCA01F9"/>
    <w:rsid w:val="0CCD0AB6"/>
    <w:rsid w:val="0CE44A0A"/>
    <w:rsid w:val="0D266DA1"/>
    <w:rsid w:val="0D4822D5"/>
    <w:rsid w:val="0D8013E6"/>
    <w:rsid w:val="0DB13235"/>
    <w:rsid w:val="0DD650FF"/>
    <w:rsid w:val="0DE528BF"/>
    <w:rsid w:val="0E0242C5"/>
    <w:rsid w:val="0E3B1B1E"/>
    <w:rsid w:val="0E4378B3"/>
    <w:rsid w:val="0E480BC8"/>
    <w:rsid w:val="0E535E09"/>
    <w:rsid w:val="0E5639EA"/>
    <w:rsid w:val="0E763583"/>
    <w:rsid w:val="0ED80A7E"/>
    <w:rsid w:val="0F257597"/>
    <w:rsid w:val="0F470958"/>
    <w:rsid w:val="0F476AB9"/>
    <w:rsid w:val="0F6167BF"/>
    <w:rsid w:val="0F9A04FC"/>
    <w:rsid w:val="0FA20284"/>
    <w:rsid w:val="0FFE255B"/>
    <w:rsid w:val="102A1392"/>
    <w:rsid w:val="1030329B"/>
    <w:rsid w:val="1043407D"/>
    <w:rsid w:val="105A5869"/>
    <w:rsid w:val="10636AEE"/>
    <w:rsid w:val="10993885"/>
    <w:rsid w:val="109A2C0E"/>
    <w:rsid w:val="10E2302E"/>
    <w:rsid w:val="10F07979"/>
    <w:rsid w:val="11121244"/>
    <w:rsid w:val="112B54AD"/>
    <w:rsid w:val="116234BE"/>
    <w:rsid w:val="11677D97"/>
    <w:rsid w:val="11862688"/>
    <w:rsid w:val="11A63F06"/>
    <w:rsid w:val="11D656E8"/>
    <w:rsid w:val="11E27BD5"/>
    <w:rsid w:val="12173F28"/>
    <w:rsid w:val="128F377D"/>
    <w:rsid w:val="12917F44"/>
    <w:rsid w:val="12A15095"/>
    <w:rsid w:val="12F150F2"/>
    <w:rsid w:val="13370CE3"/>
    <w:rsid w:val="136E3D7D"/>
    <w:rsid w:val="13CC5D99"/>
    <w:rsid w:val="13FF287E"/>
    <w:rsid w:val="142257E9"/>
    <w:rsid w:val="14293E20"/>
    <w:rsid w:val="146E6C02"/>
    <w:rsid w:val="148A09C2"/>
    <w:rsid w:val="14B02E00"/>
    <w:rsid w:val="14DF0FAE"/>
    <w:rsid w:val="14E630A8"/>
    <w:rsid w:val="14EC4228"/>
    <w:rsid w:val="14FB46BE"/>
    <w:rsid w:val="15097A8D"/>
    <w:rsid w:val="150F2E19"/>
    <w:rsid w:val="1542068C"/>
    <w:rsid w:val="15584A22"/>
    <w:rsid w:val="15686D5E"/>
    <w:rsid w:val="157C17F2"/>
    <w:rsid w:val="158568B3"/>
    <w:rsid w:val="15976D16"/>
    <w:rsid w:val="15C735E1"/>
    <w:rsid w:val="15DE21ED"/>
    <w:rsid w:val="15FB142A"/>
    <w:rsid w:val="15FC25C8"/>
    <w:rsid w:val="16047251"/>
    <w:rsid w:val="160B7FC6"/>
    <w:rsid w:val="16117F11"/>
    <w:rsid w:val="16427C4D"/>
    <w:rsid w:val="16614BA8"/>
    <w:rsid w:val="16787E93"/>
    <w:rsid w:val="168B27EF"/>
    <w:rsid w:val="16A6751D"/>
    <w:rsid w:val="16B30530"/>
    <w:rsid w:val="16C44B09"/>
    <w:rsid w:val="16C55397"/>
    <w:rsid w:val="16DD4FD0"/>
    <w:rsid w:val="16EB4478"/>
    <w:rsid w:val="16FC651F"/>
    <w:rsid w:val="170B4F0A"/>
    <w:rsid w:val="172822D1"/>
    <w:rsid w:val="17343EB7"/>
    <w:rsid w:val="17552F75"/>
    <w:rsid w:val="17573FD8"/>
    <w:rsid w:val="175F67E3"/>
    <w:rsid w:val="17967DB8"/>
    <w:rsid w:val="17C90A93"/>
    <w:rsid w:val="182173B8"/>
    <w:rsid w:val="182E4A5F"/>
    <w:rsid w:val="1833286B"/>
    <w:rsid w:val="18602AF1"/>
    <w:rsid w:val="1863335E"/>
    <w:rsid w:val="18A17275"/>
    <w:rsid w:val="18EE62E8"/>
    <w:rsid w:val="19263CD4"/>
    <w:rsid w:val="192E011F"/>
    <w:rsid w:val="199A4090"/>
    <w:rsid w:val="1A033113"/>
    <w:rsid w:val="1A432B38"/>
    <w:rsid w:val="1A5B79AD"/>
    <w:rsid w:val="1A761C15"/>
    <w:rsid w:val="1A7D49DD"/>
    <w:rsid w:val="1A8B7CFE"/>
    <w:rsid w:val="1A9203F9"/>
    <w:rsid w:val="1AB11059"/>
    <w:rsid w:val="1ABD2416"/>
    <w:rsid w:val="1ACD60CD"/>
    <w:rsid w:val="1AE259D8"/>
    <w:rsid w:val="1AF95B35"/>
    <w:rsid w:val="1AFB36BE"/>
    <w:rsid w:val="1B7A5C06"/>
    <w:rsid w:val="1B7D7F7E"/>
    <w:rsid w:val="1B886580"/>
    <w:rsid w:val="1B8A786E"/>
    <w:rsid w:val="1BB42CE9"/>
    <w:rsid w:val="1BC0693E"/>
    <w:rsid w:val="1BE96BCA"/>
    <w:rsid w:val="1BED0625"/>
    <w:rsid w:val="1C0721E0"/>
    <w:rsid w:val="1C28423A"/>
    <w:rsid w:val="1C303F27"/>
    <w:rsid w:val="1C533032"/>
    <w:rsid w:val="1C7836EC"/>
    <w:rsid w:val="1CAE2742"/>
    <w:rsid w:val="1CE26164"/>
    <w:rsid w:val="1D2E3B5E"/>
    <w:rsid w:val="1D3B595B"/>
    <w:rsid w:val="1D7465E7"/>
    <w:rsid w:val="1D9A51B2"/>
    <w:rsid w:val="1DAE0412"/>
    <w:rsid w:val="1DBA0E8A"/>
    <w:rsid w:val="1DED536F"/>
    <w:rsid w:val="1DF90BDF"/>
    <w:rsid w:val="1E137711"/>
    <w:rsid w:val="1E79668E"/>
    <w:rsid w:val="1E962CDF"/>
    <w:rsid w:val="1EA06FCF"/>
    <w:rsid w:val="1EB67CF4"/>
    <w:rsid w:val="1ECA00E0"/>
    <w:rsid w:val="1EEC533D"/>
    <w:rsid w:val="1EF3164A"/>
    <w:rsid w:val="1EF4597E"/>
    <w:rsid w:val="1F0D34CB"/>
    <w:rsid w:val="1F0D7232"/>
    <w:rsid w:val="1F1811C0"/>
    <w:rsid w:val="1F470703"/>
    <w:rsid w:val="1F58571C"/>
    <w:rsid w:val="1F59095F"/>
    <w:rsid w:val="1F5A6102"/>
    <w:rsid w:val="1F7E347F"/>
    <w:rsid w:val="1F8F1D7D"/>
    <w:rsid w:val="1FC972B5"/>
    <w:rsid w:val="1FEA0EF5"/>
    <w:rsid w:val="1FEC6364"/>
    <w:rsid w:val="201155EC"/>
    <w:rsid w:val="2033565F"/>
    <w:rsid w:val="204E4380"/>
    <w:rsid w:val="207526E0"/>
    <w:rsid w:val="20BE6528"/>
    <w:rsid w:val="20C8493E"/>
    <w:rsid w:val="20CB65E1"/>
    <w:rsid w:val="20E71C8B"/>
    <w:rsid w:val="21130FE1"/>
    <w:rsid w:val="212678E0"/>
    <w:rsid w:val="21B634AE"/>
    <w:rsid w:val="21C76A9C"/>
    <w:rsid w:val="21C916A0"/>
    <w:rsid w:val="21D81213"/>
    <w:rsid w:val="21E253A6"/>
    <w:rsid w:val="22027F43"/>
    <w:rsid w:val="22213B6B"/>
    <w:rsid w:val="224369FF"/>
    <w:rsid w:val="224E7685"/>
    <w:rsid w:val="2253048E"/>
    <w:rsid w:val="226561E7"/>
    <w:rsid w:val="228B7A7B"/>
    <w:rsid w:val="22A109D7"/>
    <w:rsid w:val="22AD1D9D"/>
    <w:rsid w:val="22BD058C"/>
    <w:rsid w:val="22DB7AB5"/>
    <w:rsid w:val="23084937"/>
    <w:rsid w:val="230C0739"/>
    <w:rsid w:val="231F04A0"/>
    <w:rsid w:val="23293977"/>
    <w:rsid w:val="23991690"/>
    <w:rsid w:val="23D0417D"/>
    <w:rsid w:val="23D65920"/>
    <w:rsid w:val="2406098A"/>
    <w:rsid w:val="24782F0D"/>
    <w:rsid w:val="2494471B"/>
    <w:rsid w:val="24B13E90"/>
    <w:rsid w:val="250D6240"/>
    <w:rsid w:val="25186E4D"/>
    <w:rsid w:val="25284930"/>
    <w:rsid w:val="25592271"/>
    <w:rsid w:val="25730577"/>
    <w:rsid w:val="25A65A51"/>
    <w:rsid w:val="25B157FF"/>
    <w:rsid w:val="25C16481"/>
    <w:rsid w:val="25D02118"/>
    <w:rsid w:val="262D4597"/>
    <w:rsid w:val="2642308C"/>
    <w:rsid w:val="266801E1"/>
    <w:rsid w:val="26C97F7B"/>
    <w:rsid w:val="26E7030C"/>
    <w:rsid w:val="26F251F5"/>
    <w:rsid w:val="26F61189"/>
    <w:rsid w:val="26FF74B0"/>
    <w:rsid w:val="2710223D"/>
    <w:rsid w:val="27493457"/>
    <w:rsid w:val="27665B5F"/>
    <w:rsid w:val="276E64E2"/>
    <w:rsid w:val="27851BB8"/>
    <w:rsid w:val="27884DC3"/>
    <w:rsid w:val="27A401DD"/>
    <w:rsid w:val="27A677A0"/>
    <w:rsid w:val="27C80D5D"/>
    <w:rsid w:val="27D172E0"/>
    <w:rsid w:val="27E642FB"/>
    <w:rsid w:val="28762201"/>
    <w:rsid w:val="28A1297A"/>
    <w:rsid w:val="28B53A52"/>
    <w:rsid w:val="28C22508"/>
    <w:rsid w:val="28C74F31"/>
    <w:rsid w:val="28D948BF"/>
    <w:rsid w:val="28E240DA"/>
    <w:rsid w:val="28F14C70"/>
    <w:rsid w:val="292B04CC"/>
    <w:rsid w:val="2939407B"/>
    <w:rsid w:val="29447B4C"/>
    <w:rsid w:val="29710F8A"/>
    <w:rsid w:val="29A405EE"/>
    <w:rsid w:val="29BB4E26"/>
    <w:rsid w:val="29C2572B"/>
    <w:rsid w:val="29D62BAC"/>
    <w:rsid w:val="2A1E51A6"/>
    <w:rsid w:val="2A2508AA"/>
    <w:rsid w:val="2A6D2033"/>
    <w:rsid w:val="2A701C9E"/>
    <w:rsid w:val="2A962EE4"/>
    <w:rsid w:val="2ACD0453"/>
    <w:rsid w:val="2AF43B5E"/>
    <w:rsid w:val="2AFE7983"/>
    <w:rsid w:val="2B0D0850"/>
    <w:rsid w:val="2B1A38C4"/>
    <w:rsid w:val="2B2F3302"/>
    <w:rsid w:val="2B8936B9"/>
    <w:rsid w:val="2BBA59CC"/>
    <w:rsid w:val="2BC33237"/>
    <w:rsid w:val="2BC6067C"/>
    <w:rsid w:val="2BCA2644"/>
    <w:rsid w:val="2BD30FEC"/>
    <w:rsid w:val="2BE12008"/>
    <w:rsid w:val="2BF92F32"/>
    <w:rsid w:val="2C2659A2"/>
    <w:rsid w:val="2C361CE7"/>
    <w:rsid w:val="2C4320AD"/>
    <w:rsid w:val="2C4629A8"/>
    <w:rsid w:val="2C845ADA"/>
    <w:rsid w:val="2CB92DA3"/>
    <w:rsid w:val="2CC42F06"/>
    <w:rsid w:val="2CE56AE9"/>
    <w:rsid w:val="2D3F4875"/>
    <w:rsid w:val="2D5C76E6"/>
    <w:rsid w:val="2DA531F0"/>
    <w:rsid w:val="2DAD013B"/>
    <w:rsid w:val="2DB77A10"/>
    <w:rsid w:val="2DBA114A"/>
    <w:rsid w:val="2E1A0F93"/>
    <w:rsid w:val="2E1B243E"/>
    <w:rsid w:val="2E425796"/>
    <w:rsid w:val="2E4668CB"/>
    <w:rsid w:val="2E540D85"/>
    <w:rsid w:val="2E5A1146"/>
    <w:rsid w:val="2E5F4F98"/>
    <w:rsid w:val="2E643568"/>
    <w:rsid w:val="2E7021F2"/>
    <w:rsid w:val="2E917F80"/>
    <w:rsid w:val="2EB31B27"/>
    <w:rsid w:val="2EB81FD8"/>
    <w:rsid w:val="2EFE7D7A"/>
    <w:rsid w:val="2F0A0C8E"/>
    <w:rsid w:val="2F3054FD"/>
    <w:rsid w:val="2F335AD2"/>
    <w:rsid w:val="2F37571D"/>
    <w:rsid w:val="2F542EF1"/>
    <w:rsid w:val="2F640844"/>
    <w:rsid w:val="2F6509D0"/>
    <w:rsid w:val="2F7E2BDA"/>
    <w:rsid w:val="2F995607"/>
    <w:rsid w:val="2FB44542"/>
    <w:rsid w:val="2FDF0E93"/>
    <w:rsid w:val="30594760"/>
    <w:rsid w:val="30AC1766"/>
    <w:rsid w:val="30C822D8"/>
    <w:rsid w:val="30D16F3C"/>
    <w:rsid w:val="30D2231F"/>
    <w:rsid w:val="30F93C12"/>
    <w:rsid w:val="31352618"/>
    <w:rsid w:val="314941A3"/>
    <w:rsid w:val="3167717F"/>
    <w:rsid w:val="31726C5C"/>
    <w:rsid w:val="319E422D"/>
    <w:rsid w:val="31AE3364"/>
    <w:rsid w:val="31CB028E"/>
    <w:rsid w:val="321351BB"/>
    <w:rsid w:val="3218123E"/>
    <w:rsid w:val="32376721"/>
    <w:rsid w:val="324B2C6B"/>
    <w:rsid w:val="327515D8"/>
    <w:rsid w:val="32826625"/>
    <w:rsid w:val="32B545C0"/>
    <w:rsid w:val="32C10AC4"/>
    <w:rsid w:val="332848FF"/>
    <w:rsid w:val="33297BCB"/>
    <w:rsid w:val="33346E14"/>
    <w:rsid w:val="333A41B1"/>
    <w:rsid w:val="33415A71"/>
    <w:rsid w:val="33814F8D"/>
    <w:rsid w:val="338266BF"/>
    <w:rsid w:val="33A221DE"/>
    <w:rsid w:val="33C278A7"/>
    <w:rsid w:val="33CB02F8"/>
    <w:rsid w:val="33EF535B"/>
    <w:rsid w:val="33F41058"/>
    <w:rsid w:val="33F81754"/>
    <w:rsid w:val="34037804"/>
    <w:rsid w:val="343028E3"/>
    <w:rsid w:val="34BE0C27"/>
    <w:rsid w:val="34CE4C2F"/>
    <w:rsid w:val="35085D0E"/>
    <w:rsid w:val="3511441F"/>
    <w:rsid w:val="353454A4"/>
    <w:rsid w:val="355D6CD6"/>
    <w:rsid w:val="35942299"/>
    <w:rsid w:val="35B2243F"/>
    <w:rsid w:val="35E056BD"/>
    <w:rsid w:val="36203B2D"/>
    <w:rsid w:val="3621338F"/>
    <w:rsid w:val="36AA79AE"/>
    <w:rsid w:val="36D81774"/>
    <w:rsid w:val="36EE262B"/>
    <w:rsid w:val="370110E3"/>
    <w:rsid w:val="37445638"/>
    <w:rsid w:val="374D06AF"/>
    <w:rsid w:val="376827BB"/>
    <w:rsid w:val="37987F5B"/>
    <w:rsid w:val="37B207B5"/>
    <w:rsid w:val="37D2180A"/>
    <w:rsid w:val="37D27670"/>
    <w:rsid w:val="37DF37FA"/>
    <w:rsid w:val="385B4285"/>
    <w:rsid w:val="386E18A2"/>
    <w:rsid w:val="3884594A"/>
    <w:rsid w:val="388F4FB6"/>
    <w:rsid w:val="38AA2C13"/>
    <w:rsid w:val="38AC6C67"/>
    <w:rsid w:val="38B64307"/>
    <w:rsid w:val="38C31804"/>
    <w:rsid w:val="38D709F0"/>
    <w:rsid w:val="38E54BBA"/>
    <w:rsid w:val="38F52E00"/>
    <w:rsid w:val="38F54312"/>
    <w:rsid w:val="38FE6C6B"/>
    <w:rsid w:val="391B5BAE"/>
    <w:rsid w:val="394A4673"/>
    <w:rsid w:val="3953526F"/>
    <w:rsid w:val="3957382B"/>
    <w:rsid w:val="395C1201"/>
    <w:rsid w:val="397C2DC6"/>
    <w:rsid w:val="39D63BC2"/>
    <w:rsid w:val="39E777CC"/>
    <w:rsid w:val="3A2C4435"/>
    <w:rsid w:val="3A506A1D"/>
    <w:rsid w:val="3A586A71"/>
    <w:rsid w:val="3A751F6D"/>
    <w:rsid w:val="3A942A4A"/>
    <w:rsid w:val="3AA13420"/>
    <w:rsid w:val="3AA32FD6"/>
    <w:rsid w:val="3AC53565"/>
    <w:rsid w:val="3AFE0BA0"/>
    <w:rsid w:val="3B123DD8"/>
    <w:rsid w:val="3B1E4680"/>
    <w:rsid w:val="3B4B19CC"/>
    <w:rsid w:val="3B597AED"/>
    <w:rsid w:val="3B5D455C"/>
    <w:rsid w:val="3B611E21"/>
    <w:rsid w:val="3B6459AA"/>
    <w:rsid w:val="3B6B181A"/>
    <w:rsid w:val="3B800CD9"/>
    <w:rsid w:val="3B9062F7"/>
    <w:rsid w:val="3BAD2B0F"/>
    <w:rsid w:val="3BB142F7"/>
    <w:rsid w:val="3C3C7D06"/>
    <w:rsid w:val="3C86556E"/>
    <w:rsid w:val="3CAF5C0A"/>
    <w:rsid w:val="3CC82C0B"/>
    <w:rsid w:val="3CF3447E"/>
    <w:rsid w:val="3CFA589C"/>
    <w:rsid w:val="3CFC0724"/>
    <w:rsid w:val="3D3251B2"/>
    <w:rsid w:val="3D475F4B"/>
    <w:rsid w:val="3D6651F6"/>
    <w:rsid w:val="3D845873"/>
    <w:rsid w:val="3D864B32"/>
    <w:rsid w:val="3D864DFE"/>
    <w:rsid w:val="3D8B325F"/>
    <w:rsid w:val="3DB93349"/>
    <w:rsid w:val="3DE637F5"/>
    <w:rsid w:val="3E2B7513"/>
    <w:rsid w:val="3E3E0791"/>
    <w:rsid w:val="3E3F5E0E"/>
    <w:rsid w:val="3E4C263C"/>
    <w:rsid w:val="3E574395"/>
    <w:rsid w:val="3E8968BF"/>
    <w:rsid w:val="3EB33728"/>
    <w:rsid w:val="3EE44315"/>
    <w:rsid w:val="3EF814B4"/>
    <w:rsid w:val="3F1E573F"/>
    <w:rsid w:val="3F7C1A35"/>
    <w:rsid w:val="3F876C14"/>
    <w:rsid w:val="3FA2527C"/>
    <w:rsid w:val="3FA357B9"/>
    <w:rsid w:val="3FAA4467"/>
    <w:rsid w:val="3FD3300E"/>
    <w:rsid w:val="40064A19"/>
    <w:rsid w:val="403F546F"/>
    <w:rsid w:val="405B02ED"/>
    <w:rsid w:val="40F3031D"/>
    <w:rsid w:val="412874F2"/>
    <w:rsid w:val="41583F7F"/>
    <w:rsid w:val="417B0AEA"/>
    <w:rsid w:val="41C054BD"/>
    <w:rsid w:val="41D50910"/>
    <w:rsid w:val="41E97C53"/>
    <w:rsid w:val="41FC1DBC"/>
    <w:rsid w:val="42142702"/>
    <w:rsid w:val="422E53AC"/>
    <w:rsid w:val="42407911"/>
    <w:rsid w:val="428A1284"/>
    <w:rsid w:val="429B024B"/>
    <w:rsid w:val="42A37748"/>
    <w:rsid w:val="42F83EEA"/>
    <w:rsid w:val="430374C6"/>
    <w:rsid w:val="43115475"/>
    <w:rsid w:val="43334BED"/>
    <w:rsid w:val="43432C09"/>
    <w:rsid w:val="43771229"/>
    <w:rsid w:val="437E0C76"/>
    <w:rsid w:val="43826458"/>
    <w:rsid w:val="43903F3D"/>
    <w:rsid w:val="43A33325"/>
    <w:rsid w:val="43F9146D"/>
    <w:rsid w:val="440B4FC8"/>
    <w:rsid w:val="44253D08"/>
    <w:rsid w:val="444E6FA5"/>
    <w:rsid w:val="44563951"/>
    <w:rsid w:val="44590563"/>
    <w:rsid w:val="449547BA"/>
    <w:rsid w:val="4496304A"/>
    <w:rsid w:val="449810E8"/>
    <w:rsid w:val="44EE0545"/>
    <w:rsid w:val="454C00BB"/>
    <w:rsid w:val="455862F3"/>
    <w:rsid w:val="459E678D"/>
    <w:rsid w:val="45CA4C26"/>
    <w:rsid w:val="45EB5F8A"/>
    <w:rsid w:val="461D69D9"/>
    <w:rsid w:val="461D7C5F"/>
    <w:rsid w:val="462A180E"/>
    <w:rsid w:val="464048B3"/>
    <w:rsid w:val="46A936CA"/>
    <w:rsid w:val="46BA7686"/>
    <w:rsid w:val="46F36F86"/>
    <w:rsid w:val="46F51CFE"/>
    <w:rsid w:val="46FE5345"/>
    <w:rsid w:val="46FF54B4"/>
    <w:rsid w:val="473C166C"/>
    <w:rsid w:val="474C7367"/>
    <w:rsid w:val="474D6C59"/>
    <w:rsid w:val="47586464"/>
    <w:rsid w:val="47744768"/>
    <w:rsid w:val="47794B25"/>
    <w:rsid w:val="47A622EC"/>
    <w:rsid w:val="47C702AC"/>
    <w:rsid w:val="47D46D28"/>
    <w:rsid w:val="47ED21D1"/>
    <w:rsid w:val="47EF4E0A"/>
    <w:rsid w:val="482703AC"/>
    <w:rsid w:val="48390A7E"/>
    <w:rsid w:val="486B0C4A"/>
    <w:rsid w:val="487171B8"/>
    <w:rsid w:val="48971D34"/>
    <w:rsid w:val="489E63DD"/>
    <w:rsid w:val="48B936F4"/>
    <w:rsid w:val="48C61EB6"/>
    <w:rsid w:val="48C93BB0"/>
    <w:rsid w:val="48F54A16"/>
    <w:rsid w:val="48F63655"/>
    <w:rsid w:val="48F74BC1"/>
    <w:rsid w:val="491C61D7"/>
    <w:rsid w:val="491E0C33"/>
    <w:rsid w:val="491F09FD"/>
    <w:rsid w:val="492151D0"/>
    <w:rsid w:val="49215598"/>
    <w:rsid w:val="49B1134D"/>
    <w:rsid w:val="49BE390F"/>
    <w:rsid w:val="49C20D29"/>
    <w:rsid w:val="49D655F0"/>
    <w:rsid w:val="4A1C29A9"/>
    <w:rsid w:val="4A376852"/>
    <w:rsid w:val="4A51016F"/>
    <w:rsid w:val="4AA8171D"/>
    <w:rsid w:val="4AC654B5"/>
    <w:rsid w:val="4AD33F00"/>
    <w:rsid w:val="4ADF6F8E"/>
    <w:rsid w:val="4AF57F71"/>
    <w:rsid w:val="4B5414FD"/>
    <w:rsid w:val="4B8137BE"/>
    <w:rsid w:val="4B960E56"/>
    <w:rsid w:val="4BBC74F0"/>
    <w:rsid w:val="4BC51723"/>
    <w:rsid w:val="4BD258F2"/>
    <w:rsid w:val="4BD64B17"/>
    <w:rsid w:val="4BEF5875"/>
    <w:rsid w:val="4C4D1CEF"/>
    <w:rsid w:val="4C553FE9"/>
    <w:rsid w:val="4C9414B3"/>
    <w:rsid w:val="4CA50490"/>
    <w:rsid w:val="4CAC68E5"/>
    <w:rsid w:val="4CC933B3"/>
    <w:rsid w:val="4CCC66A5"/>
    <w:rsid w:val="4CD15D1B"/>
    <w:rsid w:val="4CD77387"/>
    <w:rsid w:val="4CDA3F49"/>
    <w:rsid w:val="4CDD61E1"/>
    <w:rsid w:val="4D2B6B0B"/>
    <w:rsid w:val="4D6112C8"/>
    <w:rsid w:val="4D663FDA"/>
    <w:rsid w:val="4D7240AF"/>
    <w:rsid w:val="4D930C30"/>
    <w:rsid w:val="4DBD17E6"/>
    <w:rsid w:val="4DCD751B"/>
    <w:rsid w:val="4DD95A7F"/>
    <w:rsid w:val="4DF87ADA"/>
    <w:rsid w:val="4E4241EE"/>
    <w:rsid w:val="4E5D75D5"/>
    <w:rsid w:val="4F4D4612"/>
    <w:rsid w:val="4F8C0F11"/>
    <w:rsid w:val="4F97214F"/>
    <w:rsid w:val="4FD97513"/>
    <w:rsid w:val="4FE875EB"/>
    <w:rsid w:val="502E465E"/>
    <w:rsid w:val="506A2AFE"/>
    <w:rsid w:val="506D2881"/>
    <w:rsid w:val="50892F6A"/>
    <w:rsid w:val="50954286"/>
    <w:rsid w:val="50F52226"/>
    <w:rsid w:val="514A62BA"/>
    <w:rsid w:val="517A39C4"/>
    <w:rsid w:val="51A44968"/>
    <w:rsid w:val="51DC2BA6"/>
    <w:rsid w:val="52067C23"/>
    <w:rsid w:val="521E2762"/>
    <w:rsid w:val="52515DBC"/>
    <w:rsid w:val="52577FBC"/>
    <w:rsid w:val="526B4D1C"/>
    <w:rsid w:val="528B357C"/>
    <w:rsid w:val="52A852A9"/>
    <w:rsid w:val="52DE64B1"/>
    <w:rsid w:val="52E02B54"/>
    <w:rsid w:val="52F63BB6"/>
    <w:rsid w:val="53491883"/>
    <w:rsid w:val="537003B3"/>
    <w:rsid w:val="537577FD"/>
    <w:rsid w:val="53781723"/>
    <w:rsid w:val="53894515"/>
    <w:rsid w:val="53A46600"/>
    <w:rsid w:val="53B33B50"/>
    <w:rsid w:val="544B464D"/>
    <w:rsid w:val="54B60F90"/>
    <w:rsid w:val="54C56319"/>
    <w:rsid w:val="55124B04"/>
    <w:rsid w:val="55825EE2"/>
    <w:rsid w:val="55A34F00"/>
    <w:rsid w:val="55A92818"/>
    <w:rsid w:val="55F10BEA"/>
    <w:rsid w:val="56031BBA"/>
    <w:rsid w:val="561F2B3F"/>
    <w:rsid w:val="563D4B51"/>
    <w:rsid w:val="566837CF"/>
    <w:rsid w:val="566A584A"/>
    <w:rsid w:val="5675066C"/>
    <w:rsid w:val="56800CE8"/>
    <w:rsid w:val="56B72B57"/>
    <w:rsid w:val="56BD3C46"/>
    <w:rsid w:val="56EA37C9"/>
    <w:rsid w:val="57077EE6"/>
    <w:rsid w:val="573317A8"/>
    <w:rsid w:val="5765363E"/>
    <w:rsid w:val="576F648D"/>
    <w:rsid w:val="57735397"/>
    <w:rsid w:val="57741D82"/>
    <w:rsid w:val="57894A90"/>
    <w:rsid w:val="57B53942"/>
    <w:rsid w:val="57BC36B3"/>
    <w:rsid w:val="57F57F8A"/>
    <w:rsid w:val="582165A1"/>
    <w:rsid w:val="582A7530"/>
    <w:rsid w:val="583A1E0E"/>
    <w:rsid w:val="584B64EC"/>
    <w:rsid w:val="5852108B"/>
    <w:rsid w:val="58645A62"/>
    <w:rsid w:val="586620C8"/>
    <w:rsid w:val="58712E45"/>
    <w:rsid w:val="58765C5B"/>
    <w:rsid w:val="58986C0B"/>
    <w:rsid w:val="58AD4AF5"/>
    <w:rsid w:val="58CD2D0A"/>
    <w:rsid w:val="58CD60F5"/>
    <w:rsid w:val="58D906CC"/>
    <w:rsid w:val="58DD7FD9"/>
    <w:rsid w:val="58DF7C6A"/>
    <w:rsid w:val="58F86605"/>
    <w:rsid w:val="58FC2A8C"/>
    <w:rsid w:val="58FF53CC"/>
    <w:rsid w:val="591D1D9A"/>
    <w:rsid w:val="59325CA4"/>
    <w:rsid w:val="5960230F"/>
    <w:rsid w:val="59820DB0"/>
    <w:rsid w:val="59E35308"/>
    <w:rsid w:val="59F02BA9"/>
    <w:rsid w:val="59F736C2"/>
    <w:rsid w:val="59F91D9F"/>
    <w:rsid w:val="5A082717"/>
    <w:rsid w:val="5A086CF3"/>
    <w:rsid w:val="5A510527"/>
    <w:rsid w:val="5A5E5B30"/>
    <w:rsid w:val="5A851901"/>
    <w:rsid w:val="5AAC11F7"/>
    <w:rsid w:val="5AB6785F"/>
    <w:rsid w:val="5AD44F78"/>
    <w:rsid w:val="5AD47E10"/>
    <w:rsid w:val="5B02320C"/>
    <w:rsid w:val="5B255422"/>
    <w:rsid w:val="5B4D3DF5"/>
    <w:rsid w:val="5B4D6AD9"/>
    <w:rsid w:val="5B607A28"/>
    <w:rsid w:val="5B9279DD"/>
    <w:rsid w:val="5BA45EDC"/>
    <w:rsid w:val="5BC11016"/>
    <w:rsid w:val="5BC934AE"/>
    <w:rsid w:val="5BE62932"/>
    <w:rsid w:val="5BF827B7"/>
    <w:rsid w:val="5C4331E5"/>
    <w:rsid w:val="5C8E458C"/>
    <w:rsid w:val="5C9644E9"/>
    <w:rsid w:val="5CB928D8"/>
    <w:rsid w:val="5D350EAB"/>
    <w:rsid w:val="5D64556E"/>
    <w:rsid w:val="5D951E96"/>
    <w:rsid w:val="5DE970D7"/>
    <w:rsid w:val="5DEA685D"/>
    <w:rsid w:val="5DED0EF3"/>
    <w:rsid w:val="5DF2405A"/>
    <w:rsid w:val="5DF866B7"/>
    <w:rsid w:val="5E230800"/>
    <w:rsid w:val="5E3B5AF0"/>
    <w:rsid w:val="5E7F650D"/>
    <w:rsid w:val="5EB61B49"/>
    <w:rsid w:val="5ECE29A1"/>
    <w:rsid w:val="5EE56A6C"/>
    <w:rsid w:val="5EFF1C82"/>
    <w:rsid w:val="5F3729F1"/>
    <w:rsid w:val="5F546AB5"/>
    <w:rsid w:val="5F614BE4"/>
    <w:rsid w:val="5FA6729F"/>
    <w:rsid w:val="5FF05A6E"/>
    <w:rsid w:val="5FF47D19"/>
    <w:rsid w:val="5FF71C39"/>
    <w:rsid w:val="603A11F0"/>
    <w:rsid w:val="604C110A"/>
    <w:rsid w:val="607B0343"/>
    <w:rsid w:val="60811D6D"/>
    <w:rsid w:val="60823A8C"/>
    <w:rsid w:val="60B116A4"/>
    <w:rsid w:val="60EB0594"/>
    <w:rsid w:val="60ED5FBB"/>
    <w:rsid w:val="6114758A"/>
    <w:rsid w:val="61180C57"/>
    <w:rsid w:val="6147779B"/>
    <w:rsid w:val="615904FD"/>
    <w:rsid w:val="615A6FF1"/>
    <w:rsid w:val="6172208A"/>
    <w:rsid w:val="619C1D31"/>
    <w:rsid w:val="61A76EF6"/>
    <w:rsid w:val="61D7559E"/>
    <w:rsid w:val="61DC3879"/>
    <w:rsid w:val="62F30779"/>
    <w:rsid w:val="62FE72EA"/>
    <w:rsid w:val="6345175E"/>
    <w:rsid w:val="6360236C"/>
    <w:rsid w:val="637F1CD3"/>
    <w:rsid w:val="638C67AD"/>
    <w:rsid w:val="63C75138"/>
    <w:rsid w:val="642167B4"/>
    <w:rsid w:val="6424218B"/>
    <w:rsid w:val="64994927"/>
    <w:rsid w:val="64CD62A5"/>
    <w:rsid w:val="64E738E4"/>
    <w:rsid w:val="654079E2"/>
    <w:rsid w:val="654C5E4D"/>
    <w:rsid w:val="65936255"/>
    <w:rsid w:val="65995AF2"/>
    <w:rsid w:val="65A02E86"/>
    <w:rsid w:val="65E9543A"/>
    <w:rsid w:val="66005C9D"/>
    <w:rsid w:val="66027123"/>
    <w:rsid w:val="664571D6"/>
    <w:rsid w:val="667D71DE"/>
    <w:rsid w:val="668B1EA9"/>
    <w:rsid w:val="66950DE9"/>
    <w:rsid w:val="669B13D7"/>
    <w:rsid w:val="66F334D3"/>
    <w:rsid w:val="66F97647"/>
    <w:rsid w:val="670A0A13"/>
    <w:rsid w:val="6719038C"/>
    <w:rsid w:val="671A4C04"/>
    <w:rsid w:val="67502E29"/>
    <w:rsid w:val="67735EE3"/>
    <w:rsid w:val="679944D6"/>
    <w:rsid w:val="67A62304"/>
    <w:rsid w:val="67BB0664"/>
    <w:rsid w:val="67E03507"/>
    <w:rsid w:val="67EC408F"/>
    <w:rsid w:val="683406DE"/>
    <w:rsid w:val="68960F1A"/>
    <w:rsid w:val="68C462F1"/>
    <w:rsid w:val="68E11616"/>
    <w:rsid w:val="68EC49A5"/>
    <w:rsid w:val="69011C68"/>
    <w:rsid w:val="6911000F"/>
    <w:rsid w:val="691A5DFF"/>
    <w:rsid w:val="694B7C7A"/>
    <w:rsid w:val="698C3EB6"/>
    <w:rsid w:val="6A043D3E"/>
    <w:rsid w:val="6A90057A"/>
    <w:rsid w:val="6AA147C5"/>
    <w:rsid w:val="6AB0766A"/>
    <w:rsid w:val="6AE1206B"/>
    <w:rsid w:val="6AE17E57"/>
    <w:rsid w:val="6AF65B34"/>
    <w:rsid w:val="6AFE1016"/>
    <w:rsid w:val="6AFF6083"/>
    <w:rsid w:val="6B2C3675"/>
    <w:rsid w:val="6B33506F"/>
    <w:rsid w:val="6B6063C9"/>
    <w:rsid w:val="6B650E43"/>
    <w:rsid w:val="6B7F1AF5"/>
    <w:rsid w:val="6BE36608"/>
    <w:rsid w:val="6BED679D"/>
    <w:rsid w:val="6BF20707"/>
    <w:rsid w:val="6BF54B38"/>
    <w:rsid w:val="6C0F508E"/>
    <w:rsid w:val="6C1E1291"/>
    <w:rsid w:val="6C1F1BB5"/>
    <w:rsid w:val="6C5B504A"/>
    <w:rsid w:val="6C6169ED"/>
    <w:rsid w:val="6C7D40F6"/>
    <w:rsid w:val="6C9061F6"/>
    <w:rsid w:val="6CB65AF8"/>
    <w:rsid w:val="6CC17256"/>
    <w:rsid w:val="6CCD6419"/>
    <w:rsid w:val="6D116DC8"/>
    <w:rsid w:val="6D140FEE"/>
    <w:rsid w:val="6D181C53"/>
    <w:rsid w:val="6D32132E"/>
    <w:rsid w:val="6D346B2D"/>
    <w:rsid w:val="6D3731A5"/>
    <w:rsid w:val="6D4735BF"/>
    <w:rsid w:val="6D5238C5"/>
    <w:rsid w:val="6D6A78D9"/>
    <w:rsid w:val="6D940381"/>
    <w:rsid w:val="6DA22A9E"/>
    <w:rsid w:val="6DFE19FC"/>
    <w:rsid w:val="6E023C8A"/>
    <w:rsid w:val="6E1B3196"/>
    <w:rsid w:val="6E22598D"/>
    <w:rsid w:val="6E3561DC"/>
    <w:rsid w:val="6E4422F6"/>
    <w:rsid w:val="6E4E22DE"/>
    <w:rsid w:val="6E5A09C6"/>
    <w:rsid w:val="6E973E91"/>
    <w:rsid w:val="6ED177DA"/>
    <w:rsid w:val="6EED067D"/>
    <w:rsid w:val="6EF068DA"/>
    <w:rsid w:val="6F0E4F7A"/>
    <w:rsid w:val="6F1E12D7"/>
    <w:rsid w:val="6F280D81"/>
    <w:rsid w:val="6F3D79D5"/>
    <w:rsid w:val="6F64675A"/>
    <w:rsid w:val="6F747BF2"/>
    <w:rsid w:val="6FC31F19"/>
    <w:rsid w:val="70047CEA"/>
    <w:rsid w:val="708B091E"/>
    <w:rsid w:val="70A82328"/>
    <w:rsid w:val="70AB424A"/>
    <w:rsid w:val="70B34FB0"/>
    <w:rsid w:val="70D746AC"/>
    <w:rsid w:val="70D94997"/>
    <w:rsid w:val="70EB6288"/>
    <w:rsid w:val="711616A4"/>
    <w:rsid w:val="71283721"/>
    <w:rsid w:val="716067B0"/>
    <w:rsid w:val="7188169E"/>
    <w:rsid w:val="71A07640"/>
    <w:rsid w:val="71D427FF"/>
    <w:rsid w:val="71FF0628"/>
    <w:rsid w:val="72570D93"/>
    <w:rsid w:val="725D1030"/>
    <w:rsid w:val="726C4EFD"/>
    <w:rsid w:val="72832582"/>
    <w:rsid w:val="729E49EA"/>
    <w:rsid w:val="72B7141E"/>
    <w:rsid w:val="72BB0A17"/>
    <w:rsid w:val="72E9309C"/>
    <w:rsid w:val="72FD6249"/>
    <w:rsid w:val="72FE0A87"/>
    <w:rsid w:val="731E01E9"/>
    <w:rsid w:val="732706F9"/>
    <w:rsid w:val="732914DC"/>
    <w:rsid w:val="73304836"/>
    <w:rsid w:val="736949E6"/>
    <w:rsid w:val="73C80FB1"/>
    <w:rsid w:val="73CE6C6D"/>
    <w:rsid w:val="73E95163"/>
    <w:rsid w:val="73EF671C"/>
    <w:rsid w:val="740B1FF0"/>
    <w:rsid w:val="74340B92"/>
    <w:rsid w:val="745942EE"/>
    <w:rsid w:val="74620891"/>
    <w:rsid w:val="74777001"/>
    <w:rsid w:val="747D102B"/>
    <w:rsid w:val="748153C7"/>
    <w:rsid w:val="74831720"/>
    <w:rsid w:val="749C517E"/>
    <w:rsid w:val="74AC5FB0"/>
    <w:rsid w:val="74D13C20"/>
    <w:rsid w:val="74E000D4"/>
    <w:rsid w:val="74F16F2F"/>
    <w:rsid w:val="753E59B5"/>
    <w:rsid w:val="75481FE1"/>
    <w:rsid w:val="75603AB2"/>
    <w:rsid w:val="75953045"/>
    <w:rsid w:val="75AB2CA9"/>
    <w:rsid w:val="75CD1C51"/>
    <w:rsid w:val="76035C67"/>
    <w:rsid w:val="76301101"/>
    <w:rsid w:val="764A0732"/>
    <w:rsid w:val="766F725C"/>
    <w:rsid w:val="76790233"/>
    <w:rsid w:val="767B6D29"/>
    <w:rsid w:val="768B2C0A"/>
    <w:rsid w:val="76961F2F"/>
    <w:rsid w:val="76AB4E74"/>
    <w:rsid w:val="76F71702"/>
    <w:rsid w:val="77196389"/>
    <w:rsid w:val="771F2D6B"/>
    <w:rsid w:val="77212CD0"/>
    <w:rsid w:val="772E7193"/>
    <w:rsid w:val="7734199B"/>
    <w:rsid w:val="77484CAB"/>
    <w:rsid w:val="779623AD"/>
    <w:rsid w:val="77C86594"/>
    <w:rsid w:val="78497340"/>
    <w:rsid w:val="788F69B6"/>
    <w:rsid w:val="78A07BDA"/>
    <w:rsid w:val="78E6519B"/>
    <w:rsid w:val="79366A42"/>
    <w:rsid w:val="79435A80"/>
    <w:rsid w:val="79570BE0"/>
    <w:rsid w:val="795F7AAC"/>
    <w:rsid w:val="796E3EF0"/>
    <w:rsid w:val="79702026"/>
    <w:rsid w:val="79914F54"/>
    <w:rsid w:val="79CF4BFA"/>
    <w:rsid w:val="79FB43E1"/>
    <w:rsid w:val="7A037A53"/>
    <w:rsid w:val="7A2902FC"/>
    <w:rsid w:val="7A3D2C79"/>
    <w:rsid w:val="7A5007FA"/>
    <w:rsid w:val="7A540117"/>
    <w:rsid w:val="7A6C0B7D"/>
    <w:rsid w:val="7A885485"/>
    <w:rsid w:val="7A9C6A54"/>
    <w:rsid w:val="7ABB7BAF"/>
    <w:rsid w:val="7AE70803"/>
    <w:rsid w:val="7AF83B85"/>
    <w:rsid w:val="7B0034EA"/>
    <w:rsid w:val="7B5559D7"/>
    <w:rsid w:val="7B5F5B2A"/>
    <w:rsid w:val="7B6E49EB"/>
    <w:rsid w:val="7B91378B"/>
    <w:rsid w:val="7B917B48"/>
    <w:rsid w:val="7B9A4DB4"/>
    <w:rsid w:val="7C500030"/>
    <w:rsid w:val="7C784F2C"/>
    <w:rsid w:val="7C7A0AC6"/>
    <w:rsid w:val="7CCF49B2"/>
    <w:rsid w:val="7CF1139E"/>
    <w:rsid w:val="7D0F532E"/>
    <w:rsid w:val="7D790A9C"/>
    <w:rsid w:val="7DDA6374"/>
    <w:rsid w:val="7DF2702E"/>
    <w:rsid w:val="7E110A28"/>
    <w:rsid w:val="7E3C05B4"/>
    <w:rsid w:val="7E520F7B"/>
    <w:rsid w:val="7E5B25DC"/>
    <w:rsid w:val="7E7B17E9"/>
    <w:rsid w:val="7E7F4A5A"/>
    <w:rsid w:val="7E9B7B00"/>
    <w:rsid w:val="7EAE6777"/>
    <w:rsid w:val="7EB34F90"/>
    <w:rsid w:val="7ED008BC"/>
    <w:rsid w:val="7EE747ED"/>
    <w:rsid w:val="7EF82FD5"/>
    <w:rsid w:val="7F157B86"/>
    <w:rsid w:val="7F235680"/>
    <w:rsid w:val="7F253A45"/>
    <w:rsid w:val="7F645C38"/>
    <w:rsid w:val="7F7215CA"/>
    <w:rsid w:val="7F9E036E"/>
    <w:rsid w:val="7FA67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qFormat="1"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qFormat="1" w:uiPriority="0" w:name="HTML Typewriter"/>
    <w:lsdException w:qFormat="1"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60"/>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6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66"/>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9"/>
    <w:qFormat/>
    <w:uiPriority w:val="99"/>
    <w:pPr>
      <w:jc w:val="left"/>
    </w:pPr>
    <w:rPr>
      <w:rFonts w:ascii="Arial" w:hAnsi="Arial" w:eastAsia="黑体" w:cs="Arial"/>
    </w:rPr>
  </w:style>
  <w:style w:type="paragraph" w:styleId="8">
    <w:name w:val="Body Text"/>
    <w:basedOn w:val="1"/>
    <w:next w:val="1"/>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unhideWhenUsed/>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3">
    <w:name w:val="Plain Text"/>
    <w:basedOn w:val="1"/>
    <w:link w:val="52"/>
    <w:qFormat/>
    <w:uiPriority w:val="99"/>
    <w:rPr>
      <w:rFonts w:ascii="宋体" w:hAnsi="Courier New" w:eastAsia="宋体" w:cs="黑体"/>
      <w:szCs w:val="22"/>
    </w:rPr>
  </w:style>
  <w:style w:type="paragraph" w:styleId="14">
    <w:name w:val="Date"/>
    <w:basedOn w:val="1"/>
    <w:next w:val="1"/>
    <w:link w:val="56"/>
    <w:qFormat/>
    <w:uiPriority w:val="0"/>
    <w:rPr>
      <w:rFonts w:ascii="Arial" w:hAnsi="Arial" w:eastAsia="宋体" w:cs="Arial"/>
      <w:b/>
      <w:sz w:val="28"/>
    </w:rPr>
  </w:style>
  <w:style w:type="paragraph" w:styleId="15">
    <w:name w:val="Balloon Text"/>
    <w:basedOn w:val="1"/>
    <w:link w:val="49"/>
    <w:unhideWhenUsed/>
    <w:qFormat/>
    <w:uiPriority w:val="99"/>
    <w:rPr>
      <w:sz w:val="18"/>
      <w:szCs w:val="18"/>
    </w:rPr>
  </w:style>
  <w:style w:type="paragraph" w:styleId="16">
    <w:name w:val="footer"/>
    <w:basedOn w:val="1"/>
    <w:link w:val="51"/>
    <w:unhideWhenUsed/>
    <w:qFormat/>
    <w:uiPriority w:val="99"/>
    <w:pPr>
      <w:tabs>
        <w:tab w:val="center" w:pos="4153"/>
        <w:tab w:val="right" w:pos="8306"/>
      </w:tabs>
      <w:snapToGrid w:val="0"/>
      <w:jc w:val="left"/>
    </w:pPr>
    <w:rPr>
      <w:sz w:val="18"/>
      <w:szCs w:val="18"/>
    </w:rPr>
  </w:style>
  <w:style w:type="paragraph" w:styleId="17">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0">
    <w:name w:val="Normal (Web)"/>
    <w:basedOn w:val="1"/>
    <w:qFormat/>
    <w:uiPriority w:val="0"/>
    <w:pPr>
      <w:spacing w:beforeAutospacing="1" w:afterAutospacing="1"/>
      <w:jc w:val="left"/>
    </w:pPr>
    <w:rPr>
      <w:kern w:val="0"/>
      <w:sz w:val="24"/>
    </w:rPr>
  </w:style>
  <w:style w:type="paragraph" w:styleId="21">
    <w:name w:val="index 1"/>
    <w:basedOn w:val="1"/>
    <w:next w:val="1"/>
    <w:qFormat/>
    <w:uiPriority w:val="0"/>
    <w:pPr>
      <w:jc w:val="center"/>
    </w:pPr>
    <w:rPr>
      <w:rFonts w:ascii="Arial" w:hAnsi="Arial" w:eastAsia="Arial" w:cs="Arial"/>
      <w:b/>
      <w:bCs/>
      <w:sz w:val="28"/>
    </w:rPr>
  </w:style>
  <w:style w:type="paragraph" w:styleId="22">
    <w:name w:val="annotation subject"/>
    <w:basedOn w:val="7"/>
    <w:next w:val="7"/>
    <w:link w:val="69"/>
    <w:unhideWhenUsed/>
    <w:qFormat/>
    <w:uiPriority w:val="99"/>
    <w:rPr>
      <w:rFonts w:ascii="@仿宋_GB2312" w:hAnsi="@仿宋_GB2312" w:eastAsia="@仿宋_GB2312" w:cs="@仿宋_GB2312"/>
      <w:b/>
      <w:bCs/>
    </w:rPr>
  </w:style>
  <w:style w:type="paragraph" w:styleId="23">
    <w:name w:val="Body Text First Indent"/>
    <w:basedOn w:val="8"/>
    <w:unhideWhenUsed/>
    <w:qFormat/>
    <w:uiPriority w:val="99"/>
    <w:pPr>
      <w:ind w:firstLine="420" w:firstLineChars="100"/>
    </w:pPr>
  </w:style>
  <w:style w:type="paragraph" w:styleId="24">
    <w:name w:val="Body Text First Indent 2"/>
    <w:basedOn w:val="9"/>
    <w:unhideWhenUsed/>
    <w:qFormat/>
    <w:uiPriority w:val="99"/>
    <w:pPr>
      <w:ind w:left="420" w:firstLine="420" w:firstLineChars="200"/>
    </w:pPr>
    <w:rPr>
      <w:rFonts w:ascii="Times New Roman" w:cs="Times New Roman"/>
    </w:rPr>
  </w:style>
  <w:style w:type="table" w:styleId="26">
    <w:name w:val="Table Grid"/>
    <w:basedOn w:val="25"/>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0"/>
    <w:rPr>
      <w:b/>
      <w:bCs/>
    </w:rPr>
  </w:style>
  <w:style w:type="character" w:styleId="29">
    <w:name w:val="FollowedHyperlink"/>
    <w:basedOn w:val="27"/>
    <w:semiHidden/>
    <w:unhideWhenUsed/>
    <w:qFormat/>
    <w:uiPriority w:val="0"/>
    <w:rPr>
      <w:color w:val="800080"/>
      <w:u w:val="none"/>
    </w:rPr>
  </w:style>
  <w:style w:type="character" w:styleId="30">
    <w:name w:val="Emphasis"/>
    <w:basedOn w:val="27"/>
    <w:qFormat/>
    <w:uiPriority w:val="20"/>
  </w:style>
  <w:style w:type="character" w:styleId="31">
    <w:name w:val="HTML Definition"/>
    <w:basedOn w:val="27"/>
    <w:semiHidden/>
    <w:unhideWhenUsed/>
    <w:qFormat/>
    <w:uiPriority w:val="0"/>
  </w:style>
  <w:style w:type="character" w:styleId="32">
    <w:name w:val="HTML Typewriter"/>
    <w:basedOn w:val="27"/>
    <w:semiHidden/>
    <w:unhideWhenUsed/>
    <w:qFormat/>
    <w:uiPriority w:val="0"/>
    <w:rPr>
      <w:rFonts w:hint="default" w:ascii="monospace" w:hAnsi="monospace" w:eastAsia="monospace" w:cs="monospace"/>
      <w:sz w:val="20"/>
    </w:rPr>
  </w:style>
  <w:style w:type="character" w:styleId="33">
    <w:name w:val="HTML Acronym"/>
    <w:basedOn w:val="27"/>
    <w:semiHidden/>
    <w:unhideWhenUsed/>
    <w:qFormat/>
    <w:uiPriority w:val="0"/>
  </w:style>
  <w:style w:type="character" w:styleId="34">
    <w:name w:val="HTML Variable"/>
    <w:basedOn w:val="27"/>
    <w:semiHidden/>
    <w:unhideWhenUsed/>
    <w:qFormat/>
    <w:uiPriority w:val="0"/>
  </w:style>
  <w:style w:type="character" w:styleId="35">
    <w:name w:val="Hyperlink"/>
    <w:basedOn w:val="27"/>
    <w:unhideWhenUsed/>
    <w:qFormat/>
    <w:uiPriority w:val="99"/>
    <w:rPr>
      <w:color w:val="0000FF"/>
      <w:u w:val="single"/>
    </w:rPr>
  </w:style>
  <w:style w:type="character" w:styleId="36">
    <w:name w:val="HTML Code"/>
    <w:basedOn w:val="27"/>
    <w:semiHidden/>
    <w:unhideWhenUsed/>
    <w:qFormat/>
    <w:uiPriority w:val="0"/>
    <w:rPr>
      <w:rFonts w:ascii="monospace" w:hAnsi="monospace" w:eastAsia="monospace" w:cs="monospace"/>
      <w:sz w:val="20"/>
    </w:rPr>
  </w:style>
  <w:style w:type="character" w:styleId="37">
    <w:name w:val="annotation reference"/>
    <w:basedOn w:val="27"/>
    <w:unhideWhenUsed/>
    <w:qFormat/>
    <w:uiPriority w:val="99"/>
    <w:rPr>
      <w:sz w:val="21"/>
      <w:szCs w:val="21"/>
    </w:rPr>
  </w:style>
  <w:style w:type="character" w:styleId="38">
    <w:name w:val="HTML Cite"/>
    <w:basedOn w:val="27"/>
    <w:semiHidden/>
    <w:unhideWhenUsed/>
    <w:qFormat/>
    <w:uiPriority w:val="0"/>
  </w:style>
  <w:style w:type="character" w:styleId="39">
    <w:name w:val="HTML Keyboard"/>
    <w:basedOn w:val="27"/>
    <w:semiHidden/>
    <w:unhideWhenUsed/>
    <w:qFormat/>
    <w:uiPriority w:val="0"/>
    <w:rPr>
      <w:rFonts w:hint="default" w:ascii="monospace" w:hAnsi="monospace" w:eastAsia="monospace" w:cs="monospace"/>
      <w:sz w:val="20"/>
    </w:rPr>
  </w:style>
  <w:style w:type="character" w:styleId="40">
    <w:name w:val="HTML Sample"/>
    <w:basedOn w:val="27"/>
    <w:semiHidden/>
    <w:unhideWhenUsed/>
    <w:qFormat/>
    <w:uiPriority w:val="0"/>
    <w:rPr>
      <w:rFonts w:hint="default" w:ascii="monospace" w:hAnsi="monospace" w:eastAsia="monospace" w:cs="monospace"/>
    </w:rPr>
  </w:style>
  <w:style w:type="paragraph" w:customStyle="1" w:styleId="41">
    <w:name w:val="列出段落1"/>
    <w:basedOn w:val="1"/>
    <w:qFormat/>
    <w:uiPriority w:val="34"/>
    <w:pPr>
      <w:ind w:firstLine="420" w:firstLineChars="200"/>
    </w:pPr>
  </w:style>
  <w:style w:type="paragraph" w:customStyle="1" w:styleId="42">
    <w:name w:val="正文（缩进）"/>
    <w:basedOn w:val="1"/>
    <w:qFormat/>
    <w:uiPriority w:val="0"/>
    <w:pPr>
      <w:widowControl/>
      <w:spacing w:before="156" w:after="156"/>
      <w:ind w:firstLine="480" w:firstLineChars="200"/>
      <w:jc w:val="left"/>
    </w:pPr>
    <w:rPr>
      <w:kern w:val="0"/>
      <w:sz w:val="24"/>
      <w:szCs w:val="24"/>
    </w:rPr>
  </w:style>
  <w:style w:type="paragraph" w:customStyle="1" w:styleId="43">
    <w:name w:val="xl31"/>
    <w:basedOn w:val="1"/>
    <w:qFormat/>
    <w:uiPriority w:val="0"/>
    <w:pPr>
      <w:widowControl/>
      <w:spacing w:before="100" w:beforeAutospacing="1" w:after="100" w:afterAutospacing="1"/>
      <w:jc w:val="center"/>
    </w:pPr>
    <w:rPr>
      <w:b/>
      <w:bCs/>
      <w:kern w:val="0"/>
      <w:sz w:val="28"/>
      <w:szCs w:val="28"/>
    </w:rPr>
  </w:style>
  <w:style w:type="paragraph" w:customStyle="1" w:styleId="44">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45">
    <w:name w:val="列表段落1"/>
    <w:basedOn w:val="1"/>
    <w:qFormat/>
    <w:uiPriority w:val="34"/>
    <w:pPr>
      <w:ind w:firstLine="420" w:firstLineChars="200"/>
    </w:pPr>
  </w:style>
  <w:style w:type="paragraph" w:customStyle="1" w:styleId="46">
    <w:name w:val="Char Char Char Char Char Char Char1 Char"/>
    <w:basedOn w:val="1"/>
    <w:qFormat/>
    <w:uiPriority w:val="0"/>
    <w:rPr>
      <w:rFonts w:ascii="Arial" w:hAnsi="Arial" w:eastAsia="宋体" w:cs="Arial"/>
      <w:sz w:val="24"/>
    </w:rPr>
  </w:style>
  <w:style w:type="paragraph" w:customStyle="1" w:styleId="47">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48">
    <w:name w:val="Char"/>
    <w:basedOn w:val="1"/>
    <w:qFormat/>
    <w:uiPriority w:val="0"/>
    <w:rPr>
      <w:rFonts w:ascii="Tahoma" w:hAnsi="Tahoma"/>
      <w:sz w:val="24"/>
    </w:rPr>
  </w:style>
  <w:style w:type="character" w:customStyle="1" w:styleId="49">
    <w:name w:val="批注框文本 字符"/>
    <w:basedOn w:val="27"/>
    <w:link w:val="15"/>
    <w:semiHidden/>
    <w:qFormat/>
    <w:uiPriority w:val="99"/>
    <w:rPr>
      <w:rFonts w:ascii="@仿宋_GB2312" w:hAnsi="@仿宋_GB2312" w:eastAsia="@仿宋_GB2312" w:cs="@仿宋_GB2312"/>
      <w:sz w:val="18"/>
      <w:szCs w:val="18"/>
    </w:rPr>
  </w:style>
  <w:style w:type="character" w:customStyle="1" w:styleId="50">
    <w:name w:val="页眉 字符"/>
    <w:basedOn w:val="27"/>
    <w:link w:val="17"/>
    <w:qFormat/>
    <w:uiPriority w:val="99"/>
    <w:rPr>
      <w:rFonts w:ascii="@仿宋_GB2312" w:hAnsi="@仿宋_GB2312" w:eastAsia="@仿宋_GB2312" w:cs="@仿宋_GB2312"/>
      <w:sz w:val="18"/>
      <w:szCs w:val="18"/>
    </w:rPr>
  </w:style>
  <w:style w:type="character" w:customStyle="1" w:styleId="51">
    <w:name w:val="页脚 字符"/>
    <w:basedOn w:val="27"/>
    <w:link w:val="16"/>
    <w:qFormat/>
    <w:uiPriority w:val="99"/>
    <w:rPr>
      <w:rFonts w:ascii="@仿宋_GB2312" w:hAnsi="@仿宋_GB2312" w:eastAsia="@仿宋_GB2312" w:cs="@仿宋_GB2312"/>
      <w:sz w:val="18"/>
      <w:szCs w:val="18"/>
    </w:rPr>
  </w:style>
  <w:style w:type="character" w:customStyle="1" w:styleId="52">
    <w:name w:val="纯文本 字符"/>
    <w:link w:val="13"/>
    <w:qFormat/>
    <w:uiPriority w:val="0"/>
    <w:rPr>
      <w:rFonts w:ascii="宋体" w:hAnsi="Courier New"/>
    </w:rPr>
  </w:style>
  <w:style w:type="character" w:customStyle="1" w:styleId="53">
    <w:name w:val="纯文本 字符1"/>
    <w:basedOn w:val="27"/>
    <w:semiHidden/>
    <w:qFormat/>
    <w:uiPriority w:val="99"/>
    <w:rPr>
      <w:rFonts w:ascii="宋体" w:hAnsi="Courier New" w:cs="Courier New"/>
      <w:szCs w:val="20"/>
    </w:rPr>
  </w:style>
  <w:style w:type="character" w:customStyle="1" w:styleId="54">
    <w:name w:val="未处理的提及1"/>
    <w:basedOn w:val="27"/>
    <w:unhideWhenUsed/>
    <w:qFormat/>
    <w:uiPriority w:val="99"/>
    <w:rPr>
      <w:color w:val="605E5C"/>
      <w:shd w:val="clear" w:color="auto" w:fill="E1DFDD"/>
    </w:rPr>
  </w:style>
  <w:style w:type="character" w:customStyle="1" w:styleId="55">
    <w:name w:val="日期 字符"/>
    <w:basedOn w:val="27"/>
    <w:semiHidden/>
    <w:qFormat/>
    <w:uiPriority w:val="99"/>
    <w:rPr>
      <w:rFonts w:ascii="@仿宋_GB2312" w:hAnsi="@仿宋_GB2312" w:eastAsia="@仿宋_GB2312" w:cs="@仿宋_GB2312"/>
      <w:szCs w:val="20"/>
    </w:rPr>
  </w:style>
  <w:style w:type="character" w:customStyle="1" w:styleId="56">
    <w:name w:val="日期 字符1"/>
    <w:link w:val="14"/>
    <w:qFormat/>
    <w:uiPriority w:val="0"/>
    <w:rPr>
      <w:rFonts w:ascii="Arial" w:hAnsi="Arial" w:eastAsia="宋体" w:cs="Arial"/>
      <w:b/>
      <w:sz w:val="28"/>
      <w:szCs w:val="20"/>
    </w:rPr>
  </w:style>
  <w:style w:type="character" w:customStyle="1" w:styleId="57">
    <w:name w:val="纯文本 Char1"/>
    <w:qFormat/>
    <w:locked/>
    <w:uiPriority w:val="99"/>
    <w:rPr>
      <w:rFonts w:ascii="Arial" w:hAnsi="Arial" w:eastAsia="Arial"/>
      <w:kern w:val="2"/>
      <w:sz w:val="21"/>
      <w:lang w:val="en-US" w:eastAsia="zh-CN" w:bidi="ar-SA"/>
    </w:rPr>
  </w:style>
  <w:style w:type="character" w:customStyle="1" w:styleId="58">
    <w:name w:val="批注文字 Char"/>
    <w:basedOn w:val="27"/>
    <w:semiHidden/>
    <w:qFormat/>
    <w:uiPriority w:val="99"/>
    <w:rPr>
      <w:rFonts w:ascii="@仿宋_GB2312" w:hAnsi="@仿宋_GB2312" w:eastAsia="@仿宋_GB2312" w:cs="@仿宋_GB2312"/>
      <w:szCs w:val="20"/>
    </w:rPr>
  </w:style>
  <w:style w:type="character" w:customStyle="1" w:styleId="59">
    <w:name w:val="批注文字 字符"/>
    <w:link w:val="7"/>
    <w:qFormat/>
    <w:uiPriority w:val="99"/>
    <w:rPr>
      <w:rFonts w:ascii="Arial" w:hAnsi="Arial" w:eastAsia="黑体" w:cs="Arial"/>
      <w:szCs w:val="20"/>
    </w:rPr>
  </w:style>
  <w:style w:type="character" w:customStyle="1" w:styleId="60">
    <w:name w:val="标题 1 字符"/>
    <w:basedOn w:val="27"/>
    <w:link w:val="2"/>
    <w:qFormat/>
    <w:uiPriority w:val="9"/>
    <w:rPr>
      <w:rFonts w:ascii="@仿宋_GB2312" w:hAnsi="@仿宋_GB2312" w:eastAsia="@仿宋_GB2312" w:cs="@仿宋_GB2312"/>
      <w:b/>
      <w:bCs/>
      <w:kern w:val="44"/>
      <w:sz w:val="44"/>
      <w:szCs w:val="44"/>
    </w:rPr>
  </w:style>
  <w:style w:type="character" w:customStyle="1" w:styleId="61">
    <w:name w:val="标题 3 字符"/>
    <w:basedOn w:val="27"/>
    <w:link w:val="4"/>
    <w:semiHidden/>
    <w:qFormat/>
    <w:uiPriority w:val="9"/>
    <w:rPr>
      <w:rFonts w:ascii="@仿宋_GB2312" w:hAnsi="@仿宋_GB2312" w:eastAsia="@仿宋_GB2312" w:cs="@仿宋_GB2312"/>
      <w:b/>
      <w:bCs/>
      <w:sz w:val="32"/>
      <w:szCs w:val="32"/>
    </w:rPr>
  </w:style>
  <w:style w:type="character" w:customStyle="1" w:styleId="62">
    <w:name w:val="fontstyle01"/>
    <w:basedOn w:val="27"/>
    <w:qFormat/>
    <w:uiPriority w:val="0"/>
    <w:rPr>
      <w:rFonts w:hint="eastAsia" w:ascii="宋体" w:hAnsi="宋体" w:eastAsia="宋体"/>
      <w:color w:val="000000"/>
      <w:sz w:val="22"/>
      <w:szCs w:val="22"/>
    </w:rPr>
  </w:style>
  <w:style w:type="character" w:customStyle="1" w:styleId="63">
    <w:name w:val="fontstyle21"/>
    <w:basedOn w:val="27"/>
    <w:qFormat/>
    <w:uiPriority w:val="0"/>
    <w:rPr>
      <w:rFonts w:hint="default" w:ascii="TimesNewRomanPSMT" w:hAnsi="TimesNewRomanPSMT"/>
      <w:color w:val="000000"/>
      <w:sz w:val="22"/>
      <w:szCs w:val="22"/>
    </w:rPr>
  </w:style>
  <w:style w:type="character" w:customStyle="1" w:styleId="64">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65">
    <w:name w:val="标题 4 字符"/>
    <w:basedOn w:val="27"/>
    <w:semiHidden/>
    <w:qFormat/>
    <w:uiPriority w:val="9"/>
    <w:rPr>
      <w:rFonts w:ascii="Cambria" w:hAnsi="Cambria" w:eastAsia="宋体" w:cs="黑体"/>
      <w:b/>
      <w:bCs/>
      <w:sz w:val="28"/>
      <w:szCs w:val="28"/>
    </w:rPr>
  </w:style>
  <w:style w:type="character" w:customStyle="1" w:styleId="66">
    <w:name w:val="标题 4 字符1"/>
    <w:link w:val="5"/>
    <w:qFormat/>
    <w:uiPriority w:val="0"/>
    <w:rPr>
      <w:rFonts w:ascii="@仿宋_GB2312" w:hAnsi="@仿宋_GB2312" w:eastAsia="@仿宋_GB2312" w:cs="@仿宋_GB2312"/>
      <w:b/>
      <w:bCs/>
      <w:sz w:val="28"/>
      <w:szCs w:val="28"/>
    </w:rPr>
  </w:style>
  <w:style w:type="character" w:customStyle="1" w:styleId="67">
    <w:name w:val="标题 4 Char"/>
    <w:qFormat/>
    <w:uiPriority w:val="0"/>
    <w:rPr>
      <w:rFonts w:ascii="Arial" w:hAnsi="Arial" w:eastAsia="Arial"/>
      <w:b/>
      <w:bCs/>
      <w:kern w:val="2"/>
      <w:sz w:val="28"/>
      <w:szCs w:val="28"/>
      <w:lang w:val="en-US" w:eastAsia="zh-CN" w:bidi="ar-SA"/>
    </w:rPr>
  </w:style>
  <w:style w:type="character" w:customStyle="1" w:styleId="68">
    <w:name w:val="fontstyle11"/>
    <w:basedOn w:val="27"/>
    <w:qFormat/>
    <w:uiPriority w:val="0"/>
    <w:rPr>
      <w:rFonts w:hint="eastAsia" w:ascii="宋体" w:hAnsi="宋体" w:eastAsia="宋体"/>
      <w:color w:val="000000"/>
      <w:sz w:val="22"/>
      <w:szCs w:val="22"/>
    </w:rPr>
  </w:style>
  <w:style w:type="character" w:customStyle="1" w:styleId="69">
    <w:name w:val="批注主题 字符"/>
    <w:basedOn w:val="59"/>
    <w:link w:val="22"/>
    <w:semiHidden/>
    <w:qFormat/>
    <w:uiPriority w:val="99"/>
    <w:rPr>
      <w:rFonts w:ascii="@仿宋_GB2312" w:hAnsi="@仿宋_GB2312" w:eastAsia="@仿宋_GB2312" w:cs="@仿宋_GB2312"/>
      <w:b/>
      <w:bCs/>
      <w:szCs w:val="20"/>
    </w:rPr>
  </w:style>
  <w:style w:type="table" w:customStyle="1" w:styleId="70">
    <w:name w:val="网格表 1 浅色1"/>
    <w:basedOn w:val="25"/>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71">
    <w:name w:val="网格型1"/>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2">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73">
    <w:name w:val="List Paragraph"/>
    <w:basedOn w:val="1"/>
    <w:qFormat/>
    <w:uiPriority w:val="34"/>
    <w:pPr>
      <w:ind w:firstLine="420" w:firstLineChars="200"/>
    </w:pPr>
  </w:style>
  <w:style w:type="character" w:customStyle="1" w:styleId="74">
    <w:name w:val="font41"/>
    <w:basedOn w:val="27"/>
    <w:qFormat/>
    <w:uiPriority w:val="0"/>
    <w:rPr>
      <w:rFonts w:hint="default" w:ascii="Times New Roman" w:hAnsi="Times New Roman" w:cs="Times New Roman"/>
      <w:color w:val="000000"/>
      <w:sz w:val="20"/>
      <w:szCs w:val="20"/>
      <w:u w:val="none"/>
    </w:rPr>
  </w:style>
  <w:style w:type="character" w:customStyle="1" w:styleId="75">
    <w:name w:val="font51"/>
    <w:basedOn w:val="27"/>
    <w:qFormat/>
    <w:uiPriority w:val="0"/>
    <w:rPr>
      <w:rFonts w:hint="default" w:ascii="Times New Roman" w:hAnsi="Times New Roman" w:cs="Times New Roman"/>
      <w:color w:val="000000"/>
      <w:sz w:val="20"/>
      <w:szCs w:val="20"/>
      <w:u w:val="none"/>
    </w:rPr>
  </w:style>
  <w:style w:type="character" w:customStyle="1" w:styleId="76">
    <w:name w:val="font11"/>
    <w:basedOn w:val="27"/>
    <w:qFormat/>
    <w:uiPriority w:val="0"/>
    <w:rPr>
      <w:rFonts w:hint="eastAsia" w:ascii="宋体" w:hAnsi="宋体" w:eastAsia="宋体" w:cs="宋体"/>
      <w:color w:val="000000"/>
      <w:sz w:val="20"/>
      <w:szCs w:val="20"/>
      <w:u w:val="none"/>
    </w:rPr>
  </w:style>
  <w:style w:type="character" w:customStyle="1" w:styleId="77">
    <w:name w:val="font31"/>
    <w:basedOn w:val="27"/>
    <w:qFormat/>
    <w:uiPriority w:val="0"/>
    <w:rPr>
      <w:rFonts w:hint="eastAsia" w:ascii="宋体" w:hAnsi="宋体" w:eastAsia="宋体" w:cs="宋体"/>
      <w:color w:val="FF0000"/>
      <w:sz w:val="20"/>
      <w:szCs w:val="20"/>
      <w:u w:val="none"/>
    </w:rPr>
  </w:style>
  <w:style w:type="paragraph" w:customStyle="1" w:styleId="78">
    <w:name w:val="Table Paragraph"/>
    <w:qFormat/>
    <w:uiPriority w:val="1"/>
    <w:pPr>
      <w:widowControl w:val="0"/>
      <w:jc w:val="both"/>
    </w:pPr>
    <w:rPr>
      <w:rFonts w:ascii="宋体" w:hAnsi="宋体" w:eastAsia="宋体" w:cs="宋体"/>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6</Pages>
  <Words>23706</Words>
  <Characters>25030</Characters>
  <Lines>353</Lines>
  <Paragraphs>99</Paragraphs>
  <TotalTime>7</TotalTime>
  <ScaleCrop>false</ScaleCrop>
  <LinksUpToDate>false</LinksUpToDate>
  <CharactersWithSpaces>25092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2024-05-17T02:18:00Z</dcterms:created>
  <dc:creator>Anakin</dc:creator>
  <cp:lastModifiedBy>admin</cp:lastModifiedBy>
  <cp:lastPrinted>2024-07-12T05:54:00Z</cp:lastPrinted>
  <dcterms:modified xsi:type="dcterms:W3CDTF">2025-04-24T05:13:06Z</dcterms:modified>
  <dc:title>某项目（项目编号：某编号）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9669E705545542028D6DAB5DD77D1B83</vt:lpwstr>
  </property>
  <property fmtid="{D5CDD505-2E9C-101B-9397-08002B2CF9AE}" pid="4" name="KSOTemplateDocerSaveRecord">
    <vt:lpwstr>eyJoZGlkIjoiMDE0ZTUxMGViMmE0YTUxNjRlNjY3YjAyMGZkODNiY2IiLCJ1c2VySWQiOiI2MTc2MzY2NTAifQ==</vt:lpwstr>
  </property>
</Properties>
</file>