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414351">
      <w:pPr>
        <w:wordWrap w:val="0"/>
        <w:spacing w:line="360" w:lineRule="auto"/>
        <w:jc w:val="center"/>
        <w:outlineLvl w:val="1"/>
        <w:rPr>
          <w:rFonts w:hint="eastAsia" w:ascii="华文中宋" w:hAnsi="华文中宋" w:eastAsia="华文中宋" w:cs="Times New Roman"/>
          <w:b/>
          <w:bCs/>
          <w:kern w:val="44"/>
          <w:sz w:val="44"/>
          <w:szCs w:val="44"/>
        </w:rPr>
      </w:pPr>
      <w:bookmarkStart w:id="0" w:name="_Toc17224"/>
      <w:r>
        <w:rPr>
          <w:rFonts w:hint="eastAsia" w:ascii="华文中宋" w:hAnsi="华文中宋" w:eastAsia="华文中宋" w:cs="Times New Roman"/>
          <w:b/>
          <w:bCs/>
          <w:kern w:val="44"/>
          <w:sz w:val="44"/>
          <w:szCs w:val="44"/>
        </w:rPr>
        <w:t>第三章  采购需求</w:t>
      </w:r>
      <w:bookmarkEnd w:id="0"/>
    </w:p>
    <w:p w14:paraId="6CA2B595">
      <w:pPr>
        <w:wordWrap w:val="0"/>
        <w:spacing w:line="360" w:lineRule="auto"/>
        <w:rPr>
          <w:rFonts w:hint="eastAsia" w:ascii="宋体" w:hAnsi="宋体" w:eastAsia="宋体" w:cs="宋体"/>
          <w:b/>
          <w:sz w:val="24"/>
          <w:szCs w:val="24"/>
        </w:rPr>
      </w:pPr>
      <w:r>
        <w:rPr>
          <w:rFonts w:hint="eastAsia" w:ascii="宋体" w:hAnsi="宋体" w:eastAsia="宋体" w:cs="宋体"/>
          <w:b/>
          <w:sz w:val="24"/>
          <w:szCs w:val="24"/>
        </w:rPr>
        <w:t>前注：</w:t>
      </w:r>
    </w:p>
    <w:p w14:paraId="2889E0DF">
      <w:pPr>
        <w:wordWrap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1.本采购需求中提出的工程实施方案仅为参考，如无明确限制，参选人可以进行优化，提供满足比选人实际需要的更优（或者性能实质上不低于的）工程实施方案，且此方案须经评审小组评审认可。</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291"/>
        <w:gridCol w:w="6355"/>
      </w:tblGrid>
      <w:tr w14:paraId="35D1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301D354">
            <w:pPr>
              <w:wordWrap w:val="0"/>
              <w:spacing w:line="36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序号</w:t>
            </w:r>
          </w:p>
        </w:tc>
        <w:tc>
          <w:tcPr>
            <w:tcW w:w="1291" w:type="dxa"/>
            <w:noWrap w:val="0"/>
            <w:vAlign w:val="center"/>
          </w:tcPr>
          <w:p w14:paraId="5DC5F395">
            <w:pPr>
              <w:wordWrap w:val="0"/>
              <w:spacing w:line="360" w:lineRule="auto"/>
              <w:ind w:firstLine="435"/>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内容</w:t>
            </w:r>
          </w:p>
        </w:tc>
        <w:tc>
          <w:tcPr>
            <w:tcW w:w="6355" w:type="dxa"/>
            <w:noWrap w:val="0"/>
            <w:vAlign w:val="center"/>
          </w:tcPr>
          <w:p w14:paraId="0738B8BD">
            <w:pPr>
              <w:wordWrap w:val="0"/>
              <w:spacing w:line="360" w:lineRule="auto"/>
              <w:ind w:firstLine="435"/>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说明和要求</w:t>
            </w:r>
          </w:p>
        </w:tc>
      </w:tr>
      <w:tr w14:paraId="19B2E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66FAC5CC">
            <w:pPr>
              <w:wordWrap w:val="0"/>
              <w:spacing w:line="360" w:lineRule="auto"/>
              <w:jc w:val="center"/>
              <w:rPr>
                <w:rFonts w:hint="eastAsia" w:ascii="宋体" w:hAnsi="宋体" w:eastAsia="宋体" w:cs="宋体"/>
                <w:b/>
                <w:color w:val="auto"/>
                <w:sz w:val="24"/>
                <w:szCs w:val="24"/>
              </w:rPr>
            </w:pPr>
            <w:r>
              <w:rPr>
                <w:rFonts w:hint="eastAsia" w:ascii="宋体" w:hAnsi="宋体" w:eastAsia="宋体" w:cs="宋体"/>
                <w:bCs/>
                <w:color w:val="auto"/>
                <w:sz w:val="24"/>
                <w:szCs w:val="24"/>
              </w:rPr>
              <w:t>1</w:t>
            </w:r>
          </w:p>
        </w:tc>
        <w:tc>
          <w:tcPr>
            <w:tcW w:w="1291" w:type="dxa"/>
            <w:noWrap w:val="0"/>
            <w:vAlign w:val="center"/>
          </w:tcPr>
          <w:p w14:paraId="103BB630">
            <w:pPr>
              <w:wordWrap w:val="0"/>
              <w:spacing w:line="360" w:lineRule="auto"/>
              <w:rPr>
                <w:rFonts w:hint="eastAsia" w:ascii="宋体" w:hAnsi="宋体" w:eastAsia="宋体" w:cs="宋体"/>
                <w:b/>
                <w:color w:val="auto"/>
                <w:sz w:val="24"/>
                <w:szCs w:val="24"/>
              </w:rPr>
            </w:pPr>
            <w:r>
              <w:rPr>
                <w:rFonts w:hint="eastAsia" w:ascii="宋体" w:hAnsi="宋体" w:eastAsia="宋体" w:cs="宋体"/>
                <w:bCs/>
                <w:color w:val="auto"/>
                <w:sz w:val="24"/>
                <w:szCs w:val="24"/>
              </w:rPr>
              <w:t>工程地点</w:t>
            </w:r>
          </w:p>
        </w:tc>
        <w:tc>
          <w:tcPr>
            <w:tcW w:w="6355" w:type="dxa"/>
            <w:noWrap w:val="0"/>
            <w:vAlign w:val="center"/>
          </w:tcPr>
          <w:p w14:paraId="493558C4">
            <w:pPr>
              <w:wordWrap w:val="0"/>
              <w:spacing w:line="360" w:lineRule="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安徽医科大学新医科中心（新校区）</w:t>
            </w:r>
            <w:r>
              <w:rPr>
                <w:rFonts w:hint="eastAsia" w:ascii="宋体" w:hAnsi="宋体" w:eastAsia="宋体" w:cs="宋体"/>
                <w:b w:val="0"/>
                <w:bCs/>
                <w:color w:val="auto"/>
                <w:sz w:val="24"/>
                <w:szCs w:val="24"/>
                <w:highlight w:val="none"/>
                <w:lang w:val="en-US" w:eastAsia="zh-CN"/>
              </w:rPr>
              <w:t>或</w:t>
            </w:r>
            <w:r>
              <w:rPr>
                <w:rFonts w:hint="eastAsia" w:ascii="宋体" w:hAnsi="宋体" w:eastAsia="宋体" w:cs="宋体"/>
                <w:b w:val="0"/>
                <w:bCs/>
                <w:color w:val="auto"/>
                <w:sz w:val="24"/>
                <w:szCs w:val="24"/>
                <w:highlight w:val="none"/>
                <w:lang w:eastAsia="zh-CN"/>
              </w:rPr>
              <w:t>比选人指定地点。</w:t>
            </w:r>
          </w:p>
        </w:tc>
      </w:tr>
      <w:tr w14:paraId="2B931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3B12C6BD">
            <w:pPr>
              <w:wordWrap w:val="0"/>
              <w:spacing w:line="360" w:lineRule="auto"/>
              <w:jc w:val="center"/>
              <w:rPr>
                <w:rFonts w:hint="eastAsia" w:ascii="宋体" w:hAnsi="宋体" w:eastAsia="宋体" w:cs="宋体"/>
                <w:b/>
                <w:color w:val="auto"/>
                <w:sz w:val="24"/>
                <w:szCs w:val="24"/>
              </w:rPr>
            </w:pPr>
            <w:r>
              <w:rPr>
                <w:rFonts w:hint="eastAsia" w:ascii="宋体" w:hAnsi="宋体" w:eastAsia="宋体" w:cs="宋体"/>
                <w:bCs/>
                <w:color w:val="auto"/>
                <w:sz w:val="24"/>
                <w:szCs w:val="24"/>
              </w:rPr>
              <w:t>2</w:t>
            </w:r>
          </w:p>
        </w:tc>
        <w:tc>
          <w:tcPr>
            <w:tcW w:w="1291" w:type="dxa"/>
            <w:noWrap w:val="0"/>
            <w:vAlign w:val="center"/>
          </w:tcPr>
          <w:p w14:paraId="44BD8A85">
            <w:pPr>
              <w:wordWrap w:val="0"/>
              <w:spacing w:line="360" w:lineRule="auto"/>
              <w:rPr>
                <w:rFonts w:hint="eastAsia" w:ascii="宋体" w:hAnsi="宋体" w:eastAsia="宋体" w:cs="宋体"/>
                <w:b/>
                <w:color w:val="auto"/>
                <w:sz w:val="24"/>
                <w:szCs w:val="24"/>
                <w:highlight w:val="none"/>
              </w:rPr>
            </w:pPr>
            <w:r>
              <w:rPr>
                <w:rFonts w:hint="eastAsia" w:ascii="宋体" w:hAnsi="宋体" w:eastAsia="宋体" w:cs="宋体"/>
                <w:bCs/>
                <w:color w:val="auto"/>
                <w:sz w:val="24"/>
                <w:szCs w:val="24"/>
                <w:highlight w:val="none"/>
              </w:rPr>
              <w:t>计划工期</w:t>
            </w:r>
          </w:p>
        </w:tc>
        <w:tc>
          <w:tcPr>
            <w:tcW w:w="6355" w:type="dxa"/>
            <w:noWrap w:val="0"/>
            <w:vAlign w:val="center"/>
          </w:tcPr>
          <w:p w14:paraId="38BF2EB0">
            <w:pPr>
              <w:wordWrap w:val="0"/>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eastAsia="zh-CN"/>
              </w:rPr>
              <w:t>合同签订接比选人通知后</w:t>
            </w:r>
            <w:r>
              <w:rPr>
                <w:rFonts w:hint="eastAsia" w:ascii="宋体" w:hAnsi="宋体" w:eastAsia="宋体" w:cs="宋体"/>
                <w:b w:val="0"/>
                <w:bCs/>
                <w:color w:val="auto"/>
                <w:sz w:val="24"/>
                <w:szCs w:val="24"/>
                <w:highlight w:val="none"/>
                <w:lang w:val="en-US" w:eastAsia="zh-CN"/>
              </w:rPr>
              <w:t>30</w:t>
            </w:r>
            <w:r>
              <w:rPr>
                <w:rFonts w:hint="eastAsia" w:ascii="宋体" w:hAnsi="宋体" w:eastAsia="宋体" w:cs="宋体"/>
                <w:b w:val="0"/>
                <w:bCs/>
                <w:color w:val="auto"/>
                <w:sz w:val="24"/>
                <w:szCs w:val="24"/>
                <w:highlight w:val="none"/>
                <w:lang w:eastAsia="zh-CN"/>
              </w:rPr>
              <w:t>日历天</w:t>
            </w:r>
            <w:r>
              <w:rPr>
                <w:rFonts w:hint="eastAsia" w:ascii="宋体" w:hAnsi="宋体" w:eastAsia="宋体" w:cs="宋体"/>
                <w:b w:val="0"/>
                <w:bCs/>
                <w:color w:val="auto"/>
                <w:sz w:val="24"/>
                <w:szCs w:val="24"/>
                <w:highlight w:val="none"/>
              </w:rPr>
              <w:t>。</w:t>
            </w:r>
          </w:p>
        </w:tc>
      </w:tr>
      <w:tr w14:paraId="11BA2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6CA73E0">
            <w:pPr>
              <w:wordWrap w:val="0"/>
              <w:spacing w:line="360" w:lineRule="auto"/>
              <w:jc w:val="center"/>
              <w:rPr>
                <w:rFonts w:hint="eastAsia" w:ascii="宋体" w:hAnsi="宋体" w:eastAsia="宋体" w:cs="宋体"/>
                <w:b/>
                <w:color w:val="auto"/>
                <w:sz w:val="24"/>
                <w:szCs w:val="24"/>
              </w:rPr>
            </w:pPr>
            <w:r>
              <w:rPr>
                <w:rFonts w:hint="eastAsia" w:ascii="宋体" w:hAnsi="宋体" w:eastAsia="宋体" w:cs="宋体"/>
                <w:bCs/>
                <w:color w:val="auto"/>
                <w:sz w:val="24"/>
                <w:szCs w:val="24"/>
              </w:rPr>
              <w:t>3</w:t>
            </w:r>
          </w:p>
        </w:tc>
        <w:tc>
          <w:tcPr>
            <w:tcW w:w="1291" w:type="dxa"/>
            <w:noWrap w:val="0"/>
            <w:vAlign w:val="center"/>
          </w:tcPr>
          <w:p w14:paraId="0DD2ADF4">
            <w:pPr>
              <w:wordWrap w:val="0"/>
              <w:spacing w:line="360" w:lineRule="auto"/>
              <w:jc w:val="left"/>
              <w:rPr>
                <w:rFonts w:hint="eastAsia" w:ascii="宋体" w:hAnsi="宋体" w:eastAsia="宋体" w:cs="宋体"/>
                <w:b/>
                <w:color w:val="auto"/>
                <w:sz w:val="24"/>
                <w:szCs w:val="24"/>
              </w:rPr>
            </w:pPr>
            <w:r>
              <w:rPr>
                <w:rFonts w:hint="eastAsia" w:ascii="宋体" w:hAnsi="宋体" w:eastAsia="宋体" w:cs="宋体"/>
                <w:bCs/>
                <w:color w:val="auto"/>
                <w:sz w:val="24"/>
                <w:szCs w:val="24"/>
              </w:rPr>
              <w:t>工程质量</w:t>
            </w:r>
          </w:p>
        </w:tc>
        <w:tc>
          <w:tcPr>
            <w:tcW w:w="6355" w:type="dxa"/>
            <w:noWrap w:val="0"/>
            <w:vAlign w:val="center"/>
          </w:tcPr>
          <w:p w14:paraId="54FE9268">
            <w:pPr>
              <w:wordWrap w:val="0"/>
              <w:spacing w:line="360" w:lineRule="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合格</w:t>
            </w:r>
          </w:p>
        </w:tc>
      </w:tr>
      <w:tr w14:paraId="7C910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096B80AC">
            <w:pPr>
              <w:wordWrap w:val="0"/>
              <w:spacing w:line="360" w:lineRule="auto"/>
              <w:jc w:val="center"/>
              <w:rPr>
                <w:rFonts w:hint="eastAsia" w:ascii="宋体" w:hAnsi="宋体" w:eastAsia="宋体" w:cs="宋体"/>
                <w:b/>
                <w:color w:val="auto"/>
                <w:sz w:val="24"/>
                <w:szCs w:val="24"/>
              </w:rPr>
            </w:pPr>
            <w:r>
              <w:rPr>
                <w:rFonts w:hint="eastAsia" w:ascii="宋体" w:hAnsi="宋体" w:eastAsia="宋体" w:cs="宋体"/>
                <w:bCs/>
                <w:color w:val="auto"/>
                <w:sz w:val="24"/>
                <w:szCs w:val="24"/>
              </w:rPr>
              <w:t>4</w:t>
            </w:r>
          </w:p>
        </w:tc>
        <w:tc>
          <w:tcPr>
            <w:tcW w:w="1291" w:type="dxa"/>
            <w:noWrap w:val="0"/>
            <w:vAlign w:val="center"/>
          </w:tcPr>
          <w:p w14:paraId="0EE9F259">
            <w:pPr>
              <w:wordWrap w:val="0"/>
              <w:spacing w:line="360" w:lineRule="auto"/>
              <w:jc w:val="left"/>
              <w:rPr>
                <w:rFonts w:hint="eastAsia" w:ascii="宋体" w:hAnsi="宋体" w:eastAsia="宋体" w:cs="宋体"/>
                <w:b/>
                <w:color w:val="auto"/>
                <w:sz w:val="24"/>
                <w:szCs w:val="24"/>
              </w:rPr>
            </w:pPr>
            <w:r>
              <w:rPr>
                <w:rFonts w:hint="eastAsia" w:ascii="宋体" w:hAnsi="宋体" w:eastAsia="宋体" w:cs="宋体"/>
                <w:bCs/>
                <w:color w:val="auto"/>
                <w:sz w:val="24"/>
                <w:szCs w:val="24"/>
              </w:rPr>
              <w:t>付款方式</w:t>
            </w:r>
          </w:p>
        </w:tc>
        <w:tc>
          <w:tcPr>
            <w:tcW w:w="6355" w:type="dxa"/>
            <w:noWrap w:val="0"/>
            <w:vAlign w:val="center"/>
          </w:tcPr>
          <w:p w14:paraId="10414417">
            <w:pPr>
              <w:wordWrap w:val="0"/>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1.工程竣工验收合格后退还履约保证金，同时付至合同价的80%；</w:t>
            </w:r>
          </w:p>
          <w:p w14:paraId="6C8434D4">
            <w:pPr>
              <w:wordWrap w:val="0"/>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2.经安徽医科大学审计并出具结算报告后支付至结算价的97％；</w:t>
            </w:r>
          </w:p>
          <w:p w14:paraId="20C8E6D9">
            <w:pPr>
              <w:wordWrap w:val="0"/>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3.余款作为质量保证金在缺陷责任期（24个月）满后一次性支付。</w:t>
            </w:r>
          </w:p>
        </w:tc>
      </w:tr>
      <w:tr w14:paraId="71EF6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29BD615C">
            <w:pPr>
              <w:wordWrap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1291" w:type="dxa"/>
            <w:noWrap w:val="0"/>
            <w:vAlign w:val="center"/>
          </w:tcPr>
          <w:p w14:paraId="3966C837">
            <w:pPr>
              <w:wordWrap w:val="0"/>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人员到岗及履约要求</w:t>
            </w:r>
          </w:p>
        </w:tc>
        <w:tc>
          <w:tcPr>
            <w:tcW w:w="6355" w:type="dxa"/>
            <w:noWrap w:val="0"/>
            <w:vAlign w:val="center"/>
          </w:tcPr>
          <w:p w14:paraId="36D6CA6D">
            <w:pPr>
              <w:wordWrap w:val="0"/>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参选人一旦中选，比选时所报的本项目的项目经理、施工现场技术负责人、各专业负责工程师及施工机械等在整个项目施工期内必须在位，否则比选人有权终止合同。由此造成的损失，中选人自行承担并赔偿可能给比选人造成的损失。</w:t>
            </w:r>
          </w:p>
          <w:p w14:paraId="479D0603">
            <w:pPr>
              <w:wordWrap w:val="0"/>
              <w:spacing w:line="360" w:lineRule="auto"/>
              <w:rPr>
                <w:rFonts w:hint="eastAsia" w:ascii="宋体" w:hAnsi="宋体" w:eastAsia="宋体" w:cs="宋体"/>
                <w:strike w:val="0"/>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中选人不得擅自更换比选时所报项目经理及项目部主要管理人员。确需更换时，须报比选人同意，更换后人员不得低于中选人比选时所报人员资质和技术水平。</w:t>
            </w:r>
            <w:r>
              <w:rPr>
                <w:rFonts w:hint="eastAsia" w:ascii="宋体" w:hAnsi="宋体" w:eastAsia="宋体" w:cs="宋体"/>
                <w:strike w:val="0"/>
                <w:dstrike w:val="0"/>
                <w:color w:val="auto"/>
                <w:sz w:val="24"/>
                <w:szCs w:val="24"/>
              </w:rPr>
              <w:t>比选人如认为有必要，可要求对上述人员中的部分人员作出更好的调整。</w:t>
            </w:r>
          </w:p>
          <w:p w14:paraId="61B32256">
            <w:pPr>
              <w:wordWrap w:val="0"/>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中选人未能按照承诺到岗尽职的，比选人</w:t>
            </w:r>
            <w:r>
              <w:rPr>
                <w:rFonts w:hint="eastAsia" w:ascii="宋体" w:hAnsi="宋体" w:eastAsia="宋体" w:cs="宋体"/>
                <w:color w:val="auto"/>
                <w:sz w:val="24"/>
                <w:szCs w:val="24"/>
                <w:lang w:val="en-US" w:eastAsia="zh-CN"/>
              </w:rPr>
              <w:t>有权</w:t>
            </w:r>
            <w:r>
              <w:rPr>
                <w:rFonts w:hint="eastAsia" w:ascii="宋体" w:hAnsi="宋体" w:eastAsia="宋体" w:cs="宋体"/>
                <w:color w:val="auto"/>
                <w:sz w:val="24"/>
                <w:szCs w:val="24"/>
              </w:rPr>
              <w:t>视情况严重程度对其作出相应处理，给予警告并发出整改通知。如仍未及时整改，比选人有权责令其停工整改、直至终止合同，引进新的承包人。比选人</w:t>
            </w:r>
            <w:r>
              <w:rPr>
                <w:rFonts w:hint="eastAsia" w:ascii="宋体" w:hAnsi="宋体" w:eastAsia="宋体" w:cs="宋体"/>
                <w:color w:val="auto"/>
                <w:sz w:val="24"/>
                <w:szCs w:val="24"/>
                <w:lang w:val="en-US" w:eastAsia="zh-CN"/>
              </w:rPr>
              <w:t>有权</w:t>
            </w:r>
            <w:r>
              <w:rPr>
                <w:rFonts w:hint="eastAsia" w:ascii="宋体" w:hAnsi="宋体" w:eastAsia="宋体" w:cs="宋体"/>
                <w:color w:val="auto"/>
                <w:sz w:val="24"/>
                <w:szCs w:val="24"/>
              </w:rPr>
              <w:t>停止支付工程款项，扣留任何未付的工程进度款项补偿建设单位的有关损失或工期延误的损失，并就此向承包人索赔。</w:t>
            </w:r>
          </w:p>
        </w:tc>
      </w:tr>
      <w:tr w14:paraId="4090C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49F45433">
            <w:pPr>
              <w:wordWrap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1291" w:type="dxa"/>
            <w:noWrap w:val="0"/>
            <w:vAlign w:val="center"/>
          </w:tcPr>
          <w:p w14:paraId="701A5386">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rPr>
              <w:t>材料要求</w:t>
            </w:r>
          </w:p>
        </w:tc>
        <w:tc>
          <w:tcPr>
            <w:tcW w:w="6355" w:type="dxa"/>
            <w:noWrap w:val="0"/>
            <w:vAlign w:val="center"/>
          </w:tcPr>
          <w:p w14:paraId="553A311F">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lang w:val="en-US" w:eastAsia="zh-CN"/>
              </w:rPr>
              <w:t>1.</w:t>
            </w:r>
            <w:r>
              <w:rPr>
                <w:rFonts w:hint="eastAsia" w:ascii="宋体" w:hAnsi="宋体" w:eastAsia="宋体" w:cs="宋体"/>
                <w:b w:val="0"/>
                <w:bCs w:val="0"/>
                <w:color w:val="auto"/>
                <w:kern w:val="2"/>
                <w:sz w:val="24"/>
                <w:szCs w:val="24"/>
              </w:rPr>
              <w:t>中选人自行采购的材料应满足设计和规范要求的质量等级，并须按有关技术规范要求对材料质量进行检验。中选人选定的材料供应厂家和价格须经比选人和监理单位认可。如比选人和监理单位对某种或某些材料的质量有异议，有权提出停止使用的要求，中选人必须服从该要求。若该材料经权威检验部门鉴定确有质量问题，由此而发生的一切费用由中选人自负。因中选人自行采购的材料质量引起的工程质量问题由中选人承担所造成的一切损失。</w:t>
            </w:r>
          </w:p>
          <w:p w14:paraId="3955249E">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lang w:val="en-US" w:eastAsia="zh-CN"/>
              </w:rPr>
              <w:t>2.</w:t>
            </w:r>
            <w:r>
              <w:rPr>
                <w:rFonts w:hint="eastAsia" w:ascii="宋体" w:hAnsi="宋体" w:eastAsia="宋体" w:cs="宋体"/>
                <w:b w:val="0"/>
                <w:bCs w:val="0"/>
                <w:color w:val="auto"/>
                <w:kern w:val="2"/>
                <w:sz w:val="24"/>
                <w:szCs w:val="24"/>
              </w:rPr>
              <w:t>如本项目比选人对工程质量有特殊需求的，对主要设备及材料提供不少于三个的参考品牌，对于比选人参考品牌的材料，参选人可选用参考品牌或不低于参考品牌质量标准的其它品牌；采用其它品牌的应在参选文件中提供相关技术参数证明材料供评审小组评审，未提供相关技术参数证明材料或经评审小组评审未通过的，中选后只能从比选人参考品牌中进行选择，价格不予调整。</w:t>
            </w:r>
          </w:p>
          <w:p w14:paraId="12072D8C">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lang w:val="en-US" w:eastAsia="zh-CN"/>
              </w:rPr>
              <w:t>3.</w:t>
            </w:r>
            <w:r>
              <w:rPr>
                <w:rFonts w:hint="eastAsia" w:ascii="宋体" w:hAnsi="宋体" w:eastAsia="宋体" w:cs="宋体"/>
                <w:b w:val="0"/>
                <w:bCs w:val="0"/>
                <w:color w:val="auto"/>
                <w:kern w:val="2"/>
                <w:sz w:val="24"/>
                <w:szCs w:val="24"/>
              </w:rPr>
              <w:t>对于比选人参考品牌的材料，参选人如认为参考品牌有限定性、唯一性、明显不在同一档次等级的或者其他异议的，应在本项目询问截止时间前以书面方式提交给比选人或代理机构。</w:t>
            </w:r>
          </w:p>
        </w:tc>
      </w:tr>
      <w:tr w14:paraId="62906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25701AC">
            <w:pPr>
              <w:wordWrap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1291" w:type="dxa"/>
            <w:noWrap w:val="0"/>
            <w:vAlign w:val="center"/>
          </w:tcPr>
          <w:p w14:paraId="19232FB5">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rPr>
              <w:t>工程施工重点难点</w:t>
            </w:r>
          </w:p>
        </w:tc>
        <w:tc>
          <w:tcPr>
            <w:tcW w:w="6355" w:type="dxa"/>
            <w:noWrap w:val="0"/>
            <w:vAlign w:val="center"/>
          </w:tcPr>
          <w:p w14:paraId="075B8803">
            <w:pPr>
              <w:spacing w:line="360" w:lineRule="auto"/>
              <w:rPr>
                <w:rFonts w:hint="eastAsia" w:ascii="宋体" w:hAnsi="宋体" w:eastAsia="宋体" w:cs="宋体"/>
                <w:sz w:val="24"/>
                <w:szCs w:val="24"/>
              </w:rPr>
            </w:pPr>
            <w:r>
              <w:rPr>
                <w:rFonts w:hint="eastAsia" w:ascii="宋体" w:hAnsi="宋体" w:eastAsia="宋体" w:cs="宋体"/>
                <w:sz w:val="24"/>
                <w:szCs w:val="24"/>
              </w:rPr>
              <w:t>阳台不锈钢衣架安装施工的重难点主要包括以下几点：</w:t>
            </w:r>
          </w:p>
          <w:p w14:paraId="24DC8370">
            <w:pPr>
              <w:spacing w:line="360" w:lineRule="auto"/>
              <w:rPr>
                <w:rFonts w:hint="eastAsia" w:ascii="宋体" w:hAnsi="宋体" w:eastAsia="宋体" w:cs="宋体"/>
                <w:sz w:val="24"/>
                <w:szCs w:val="24"/>
              </w:rPr>
            </w:pPr>
            <w:r>
              <w:rPr>
                <w:rFonts w:hint="eastAsia" w:ascii="宋体" w:hAnsi="宋体" w:eastAsia="宋体" w:cs="宋体"/>
                <w:b/>
                <w:bCs/>
                <w:sz w:val="24"/>
                <w:szCs w:val="24"/>
              </w:rPr>
              <w:t>重点：</w:t>
            </w:r>
            <w:r>
              <w:rPr>
                <w:rFonts w:hint="eastAsia" w:ascii="宋体" w:hAnsi="宋体" w:eastAsia="宋体" w:cs="宋体"/>
                <w:sz w:val="24"/>
                <w:szCs w:val="24"/>
              </w:rPr>
              <w:t xml:space="preserve"> </w:t>
            </w:r>
          </w:p>
          <w:p w14:paraId="040C9155">
            <w:pPr>
              <w:spacing w:line="360" w:lineRule="auto"/>
              <w:rPr>
                <w:rFonts w:hint="eastAsia" w:ascii="宋体" w:hAnsi="宋体" w:eastAsia="宋体" w:cs="宋体"/>
                <w:sz w:val="24"/>
                <w:szCs w:val="24"/>
              </w:rPr>
            </w:pPr>
            <w:r>
              <w:rPr>
                <w:rFonts w:hint="eastAsia" w:ascii="宋体" w:hAnsi="宋体" w:eastAsia="宋体" w:cs="宋体"/>
                <w:sz w:val="24"/>
                <w:szCs w:val="24"/>
              </w:rPr>
              <w:t>1. 测量精准：要准确测量安装位置和尺寸，确保衣架安装后能合理利用空间且不影响其他设施。2. 固定牢固：衣架需要可靠地固定在天花板上，以承受衣物的重量，避免出现松动、掉落等情况。3. 水平与垂直：保证安装后的衣架处于水平和垂直状态，使衣物晾晒均匀且整齐美观。</w:t>
            </w:r>
          </w:p>
          <w:p w14:paraId="6DB2FEA0">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难点：</w:t>
            </w:r>
          </w:p>
          <w:p w14:paraId="7680C95B">
            <w:pPr>
              <w:spacing w:line="360" w:lineRule="auto"/>
              <w:rPr>
                <w:rFonts w:hint="eastAsia" w:ascii="宋体" w:hAnsi="宋体" w:eastAsia="宋体" w:cs="宋体"/>
                <w:b/>
                <w:bCs/>
                <w:color w:val="auto"/>
                <w:kern w:val="0"/>
                <w:sz w:val="24"/>
                <w:szCs w:val="24"/>
                <w:lang w:val="en-US" w:eastAsia="zh-CN" w:bidi="ar-SA"/>
              </w:rPr>
            </w:pPr>
            <w:r>
              <w:rPr>
                <w:rFonts w:hint="eastAsia" w:ascii="宋体" w:hAnsi="宋体" w:eastAsia="宋体" w:cs="宋体"/>
                <w:sz w:val="24"/>
                <w:szCs w:val="24"/>
              </w:rPr>
              <w:t>1. 打孔精准度：打孔位置必须精确，稍有偏差可能导致安装不牢固或影响美观，且要注意避免对墙内预埋管线造成破坏。2. 高空作业安全：如果是安装在较高位置,施工时要确保安全措施到位，防止人员坠落等危险情况发生。</w:t>
            </w:r>
          </w:p>
        </w:tc>
      </w:tr>
      <w:tr w14:paraId="1D27D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609D2307">
            <w:pPr>
              <w:wordWrap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1291" w:type="dxa"/>
            <w:noWrap w:val="0"/>
            <w:vAlign w:val="center"/>
          </w:tcPr>
          <w:p w14:paraId="4C09C437">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rPr>
              <w:t>报价须知</w:t>
            </w:r>
          </w:p>
        </w:tc>
        <w:tc>
          <w:tcPr>
            <w:tcW w:w="6355" w:type="dxa"/>
            <w:noWrap w:val="0"/>
            <w:vAlign w:val="center"/>
          </w:tcPr>
          <w:p w14:paraId="7F20146C">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color w:val="auto"/>
                <w:sz w:val="24"/>
                <w:szCs w:val="24"/>
              </w:rPr>
              <w:t>参选人最后报价均不得高于比选文件（公告）列明的项目预算、最高投标限价（控制价），否则其参选文件将被认定为响应无效</w:t>
            </w:r>
            <w:r>
              <w:rPr>
                <w:rFonts w:hint="eastAsia" w:ascii="宋体" w:hAnsi="宋体" w:eastAsia="宋体" w:cs="宋体"/>
                <w:b w:val="0"/>
                <w:bCs w:val="0"/>
                <w:color w:val="auto"/>
                <w:kern w:val="2"/>
                <w:sz w:val="24"/>
                <w:szCs w:val="24"/>
              </w:rPr>
              <w:t>。</w:t>
            </w:r>
          </w:p>
        </w:tc>
      </w:tr>
      <w:tr w14:paraId="20D69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4508F67F">
            <w:pPr>
              <w:wordWrap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1291" w:type="dxa"/>
            <w:noWrap w:val="0"/>
            <w:vAlign w:val="center"/>
          </w:tcPr>
          <w:p w14:paraId="5FF53204">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rPr>
              <w:t>重要说明</w:t>
            </w:r>
          </w:p>
        </w:tc>
        <w:tc>
          <w:tcPr>
            <w:tcW w:w="6355" w:type="dxa"/>
            <w:noWrap w:val="0"/>
            <w:vAlign w:val="center"/>
          </w:tcPr>
          <w:p w14:paraId="11DD8A44">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lang w:val="en-US" w:eastAsia="zh-CN"/>
              </w:rPr>
              <w:t>1.</w:t>
            </w:r>
            <w:r>
              <w:rPr>
                <w:rFonts w:hint="eastAsia" w:ascii="宋体" w:hAnsi="宋体" w:eastAsia="宋体" w:cs="宋体"/>
                <w:b w:val="0"/>
                <w:bCs w:val="0"/>
                <w:color w:val="auto"/>
                <w:kern w:val="2"/>
                <w:sz w:val="24"/>
                <w:szCs w:val="24"/>
              </w:rPr>
              <w:t>本项目的比选文件、工程量清单、最高投标限价（控制价）、澄清、修改、补充等相关资料均通过</w:t>
            </w:r>
            <w:r>
              <w:rPr>
                <w:rFonts w:hint="eastAsia" w:ascii="宋体" w:hAnsi="宋体" w:eastAsia="宋体" w:cs="宋体"/>
                <w:b w:val="0"/>
                <w:bCs w:val="0"/>
                <w:color w:val="auto"/>
                <w:sz w:val="24"/>
                <w:szCs w:val="24"/>
              </w:rPr>
              <w:t>安招采平台</w:t>
            </w:r>
            <w:r>
              <w:rPr>
                <w:rFonts w:hint="eastAsia" w:ascii="宋体" w:hAnsi="宋体" w:eastAsia="宋体" w:cs="宋体"/>
                <w:b w:val="0"/>
                <w:bCs w:val="0"/>
                <w:color w:val="auto"/>
                <w:kern w:val="2"/>
                <w:sz w:val="24"/>
                <w:szCs w:val="24"/>
              </w:rPr>
              <w:t>发布，请参选人自行从网上下载，参选人应当及时查看有无相关澄清、修改、补充等内容。</w:t>
            </w:r>
          </w:p>
          <w:p w14:paraId="4039879D">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lang w:val="en-US" w:eastAsia="zh-CN"/>
              </w:rPr>
              <w:t>2.</w:t>
            </w:r>
            <w:r>
              <w:rPr>
                <w:rFonts w:hint="eastAsia" w:ascii="宋体" w:hAnsi="宋体" w:eastAsia="宋体" w:cs="宋体"/>
                <w:b w:val="0"/>
                <w:bCs w:val="0"/>
                <w:color w:val="auto"/>
                <w:kern w:val="2"/>
                <w:sz w:val="24"/>
                <w:szCs w:val="24"/>
              </w:rPr>
              <w:t>在工程项目比选过程中，参选人最后报价与公布的最高投标限价（控制价）或项目概算相比降幅过小，或参选人最后报价明显缺乏竞争性的，评审小组可以否决其报价。</w:t>
            </w:r>
          </w:p>
          <w:p w14:paraId="3031727B">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lang w:val="en-US" w:eastAsia="zh-CN"/>
              </w:rPr>
              <w:t>3.</w:t>
            </w:r>
            <w:r>
              <w:rPr>
                <w:rFonts w:hint="eastAsia" w:ascii="宋体" w:hAnsi="宋体" w:eastAsia="宋体" w:cs="宋体"/>
                <w:b w:val="0"/>
                <w:bCs w:val="0"/>
                <w:color w:val="auto"/>
                <w:kern w:val="2"/>
                <w:sz w:val="24"/>
                <w:szCs w:val="24"/>
              </w:rPr>
              <w:t>承包人在工程实施过程中用工行为，必须严格执行国家及地方政府的有关规定，依法签订劳动合同，并按规定及时足额支付工资。</w:t>
            </w:r>
          </w:p>
          <w:p w14:paraId="47305A35">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lang w:val="en-US" w:eastAsia="zh-CN"/>
              </w:rPr>
              <w:t>4.</w:t>
            </w:r>
            <w:r>
              <w:rPr>
                <w:rFonts w:hint="eastAsia" w:ascii="宋体" w:hAnsi="宋体" w:eastAsia="宋体" w:cs="宋体"/>
                <w:b w:val="0"/>
                <w:bCs w:val="0"/>
                <w:color w:val="auto"/>
                <w:kern w:val="2"/>
                <w:sz w:val="24"/>
                <w:szCs w:val="24"/>
              </w:rPr>
              <w:t>承包人在建设工程扬尘污染防治措施和费用管理上，必须严格执行《合肥市建设工程扬尘污染防治暂行规定》合建〔2015〕33号文规定。本工程最高投标限价（控制价）已按《关于关于贯彻执行2018版安徽省建设工程计价依据的通知》（合造价[2018]13号）的规定计取，参选人报价中已包含比选文件公布的施工扬尘污染防治措施费用，参选人中选后办理相关专户设立等事宜。</w:t>
            </w:r>
          </w:p>
        </w:tc>
      </w:tr>
      <w:tr w14:paraId="69007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1AA55534">
            <w:pPr>
              <w:wordWrap w:val="0"/>
              <w:spacing w:line="360" w:lineRule="auto"/>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w:t>
            </w:r>
          </w:p>
        </w:tc>
        <w:tc>
          <w:tcPr>
            <w:tcW w:w="1291" w:type="dxa"/>
            <w:noWrap w:val="0"/>
            <w:vAlign w:val="center"/>
          </w:tcPr>
          <w:p w14:paraId="084C857A">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rPr>
              <w:t>缺陷责任期</w:t>
            </w:r>
          </w:p>
        </w:tc>
        <w:tc>
          <w:tcPr>
            <w:tcW w:w="6355" w:type="dxa"/>
            <w:noWrap w:val="0"/>
            <w:vAlign w:val="center"/>
          </w:tcPr>
          <w:p w14:paraId="44E45733">
            <w:pPr>
              <w:pStyle w:val="6"/>
              <w:widowControl w:val="0"/>
              <w:wordWrap w:val="0"/>
              <w:spacing w:before="0" w:beforeAutospacing="0" w:after="0" w:afterAutospacing="0" w:line="360" w:lineRule="auto"/>
              <w:jc w:val="both"/>
              <w:rPr>
                <w:rFonts w:hint="eastAsia" w:ascii="宋体" w:hAnsi="宋体" w:eastAsia="宋体" w:cs="宋体"/>
                <w:b w:val="0"/>
                <w:bCs w:val="0"/>
                <w:color w:val="auto"/>
                <w:kern w:val="2"/>
                <w:sz w:val="24"/>
                <w:szCs w:val="24"/>
                <w:lang w:val="en-US" w:eastAsia="zh-CN"/>
              </w:rPr>
            </w:pPr>
            <w:r>
              <w:rPr>
                <w:rFonts w:hint="eastAsia" w:ascii="宋体" w:hAnsi="宋体" w:eastAsia="宋体" w:cs="宋体"/>
                <w:b w:val="0"/>
                <w:bCs w:val="0"/>
                <w:color w:val="auto"/>
                <w:kern w:val="2"/>
                <w:sz w:val="24"/>
                <w:szCs w:val="24"/>
                <w:lang w:val="en-US" w:eastAsia="zh-CN"/>
              </w:rPr>
              <w:t>本项目缺陷责任期为2年，缺陷责任期以外需更换部分只收成本费。如与施工要求不符，以施工要求为准。缺陷责任期内，工程因自然力等主客观因素出现松动、脱落等现象，乙方需在2日内到场免费维修。</w:t>
            </w:r>
          </w:p>
        </w:tc>
      </w:tr>
    </w:tbl>
    <w:p w14:paraId="1A43DA12">
      <w:pPr>
        <w:pStyle w:val="3"/>
        <w:wordWrap w:val="0"/>
        <w:spacing w:line="360" w:lineRule="auto"/>
        <w:ind w:firstLine="240"/>
        <w:rPr>
          <w:rFonts w:hint="eastAsia" w:ascii="宋体" w:hAnsi="宋体" w:eastAsia="宋体" w:cs="宋体"/>
          <w:sz w:val="24"/>
        </w:rPr>
      </w:pPr>
    </w:p>
    <w:p w14:paraId="1E3C40E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outlineLvl w:val="2"/>
        <w:rPr>
          <w:rFonts w:hint="eastAsia" w:ascii="宋体" w:hAnsi="宋体" w:eastAsia="宋体" w:cs="宋体"/>
          <w:b/>
          <w:color w:val="auto"/>
          <w:sz w:val="24"/>
          <w:szCs w:val="24"/>
        </w:rPr>
      </w:pPr>
      <w:r>
        <w:rPr>
          <w:rFonts w:hint="eastAsia" w:ascii="宋体" w:hAnsi="宋体" w:eastAsia="宋体" w:cs="宋体"/>
          <w:b/>
          <w:sz w:val="24"/>
          <w:szCs w:val="24"/>
        </w:rPr>
        <w:br w:type="page"/>
      </w:r>
      <w:r>
        <w:rPr>
          <w:rFonts w:hint="eastAsia" w:ascii="宋体" w:hAnsi="宋体" w:eastAsia="宋体" w:cs="宋体"/>
          <w:b/>
          <w:color w:val="auto"/>
          <w:sz w:val="24"/>
          <w:szCs w:val="24"/>
        </w:rPr>
        <w:t>一、项目概况</w:t>
      </w:r>
    </w:p>
    <w:p w14:paraId="5FCE752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本项目为</w:t>
      </w:r>
      <w:r>
        <w:rPr>
          <w:rFonts w:hint="eastAsia" w:ascii="宋体" w:hAnsi="宋体" w:eastAsia="宋体" w:cs="宋体"/>
          <w:color w:val="auto"/>
          <w:sz w:val="24"/>
          <w:szCs w:val="24"/>
          <w:lang w:eastAsia="zh-CN"/>
        </w:rPr>
        <w:t>安徽医科大学新医科中心（新校区）D1、D2组团及留学生公寓阳台晾衣架制作安装工程（二次）</w:t>
      </w:r>
      <w:r>
        <w:rPr>
          <w:rFonts w:hint="eastAsia" w:ascii="宋体" w:hAnsi="宋体" w:eastAsia="宋体" w:cs="宋体"/>
          <w:color w:val="auto"/>
          <w:sz w:val="24"/>
          <w:szCs w:val="24"/>
        </w:rPr>
        <w:t>，具体详见工程量清单</w:t>
      </w:r>
      <w:r>
        <w:rPr>
          <w:rFonts w:hint="eastAsia" w:ascii="宋体" w:hAnsi="宋体" w:eastAsia="宋体" w:cs="宋体"/>
          <w:color w:val="auto"/>
          <w:sz w:val="24"/>
          <w:szCs w:val="24"/>
          <w:lang w:val="en-US" w:eastAsia="zh-CN"/>
        </w:rPr>
        <w:t>、比选</w:t>
      </w:r>
      <w:r>
        <w:rPr>
          <w:rFonts w:hint="eastAsia" w:ascii="宋体" w:hAnsi="宋体" w:eastAsia="宋体" w:cs="宋体"/>
          <w:color w:val="auto"/>
          <w:sz w:val="24"/>
          <w:szCs w:val="24"/>
        </w:rPr>
        <w:t>文件。</w:t>
      </w:r>
    </w:p>
    <w:p w14:paraId="5FA3889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outlineLvl w:val="2"/>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二、施工要求 </w:t>
      </w:r>
    </w:p>
    <w:p w14:paraId="62525D4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1.参选人</w:t>
      </w:r>
      <w:r>
        <w:rPr>
          <w:rFonts w:hint="eastAsia" w:ascii="宋体" w:hAnsi="宋体" w:eastAsia="宋体" w:cs="宋体"/>
          <w:color w:val="auto"/>
          <w:sz w:val="24"/>
          <w:szCs w:val="24"/>
        </w:rPr>
        <w:t>应结合工程实际并综合考虑各种风险因素（如开工时间的不确定性），谨慎报价。施工过程中，</w:t>
      </w:r>
      <w:r>
        <w:rPr>
          <w:rFonts w:hint="eastAsia" w:ascii="宋体" w:hAnsi="宋体" w:eastAsia="宋体" w:cs="宋体"/>
          <w:color w:val="auto"/>
          <w:sz w:val="24"/>
          <w:szCs w:val="24"/>
          <w:lang w:val="en-US" w:eastAsia="zh-CN"/>
        </w:rPr>
        <w:t>参选人</w:t>
      </w:r>
      <w:r>
        <w:rPr>
          <w:rFonts w:hint="eastAsia" w:ascii="宋体" w:hAnsi="宋体" w:eastAsia="宋体" w:cs="宋体"/>
          <w:color w:val="auto"/>
          <w:sz w:val="24"/>
          <w:szCs w:val="24"/>
        </w:rPr>
        <w:t>须主动解决可能遇到的一切难点问题</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此项费用由</w:t>
      </w:r>
      <w:r>
        <w:rPr>
          <w:rFonts w:hint="eastAsia" w:ascii="宋体" w:hAnsi="宋体" w:eastAsia="宋体" w:cs="宋体"/>
          <w:color w:val="auto"/>
          <w:sz w:val="24"/>
          <w:szCs w:val="24"/>
          <w:lang w:val="en-US" w:eastAsia="zh-CN"/>
        </w:rPr>
        <w:t>参选人</w:t>
      </w:r>
      <w:r>
        <w:rPr>
          <w:rFonts w:hint="eastAsia" w:ascii="宋体" w:hAnsi="宋体" w:eastAsia="宋体" w:cs="宋体"/>
          <w:color w:val="auto"/>
          <w:sz w:val="24"/>
          <w:szCs w:val="24"/>
        </w:rPr>
        <w:t>自行考虑，含在报价中，成交后不予调整。</w:t>
      </w:r>
    </w:p>
    <w:p w14:paraId="142CF9B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2.参选人</w:t>
      </w:r>
      <w:r>
        <w:rPr>
          <w:rFonts w:hint="eastAsia" w:ascii="宋体" w:hAnsi="宋体" w:eastAsia="宋体" w:cs="宋体"/>
          <w:color w:val="auto"/>
          <w:sz w:val="24"/>
          <w:szCs w:val="24"/>
        </w:rPr>
        <w:t>可先到工地踏勘以充分了解工地位置、地形、地貌、道路、周边配套、现场条件及任何其他足以影响报价的情况，任何因忽视或误解工地情况而导致的索赔申请将不被批准。</w:t>
      </w:r>
    </w:p>
    <w:p w14:paraId="21E2E5C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3.参选人</w:t>
      </w:r>
      <w:r>
        <w:rPr>
          <w:rFonts w:hint="eastAsia" w:ascii="宋体" w:hAnsi="宋体" w:eastAsia="宋体" w:cs="宋体"/>
          <w:color w:val="auto"/>
          <w:sz w:val="24"/>
          <w:szCs w:val="24"/>
        </w:rPr>
        <w:t>应充分了解施工场地的现状，熟悉工程内容，正确估计施工的难易程度和必须投入技术力量，根据工程实际情况、施工内容和本单位实力，结合市场行情确定本项目工程费用。</w:t>
      </w:r>
    </w:p>
    <w:p w14:paraId="3416A6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4.参选人</w:t>
      </w:r>
      <w:r>
        <w:rPr>
          <w:rFonts w:hint="eastAsia" w:ascii="宋体" w:hAnsi="宋体" w:eastAsia="宋体" w:cs="宋体"/>
          <w:color w:val="auto"/>
          <w:sz w:val="24"/>
          <w:szCs w:val="24"/>
        </w:rPr>
        <w:t>的价格应是施工期内，施工单位按</w:t>
      </w:r>
      <w:r>
        <w:rPr>
          <w:rFonts w:hint="eastAsia" w:ascii="宋体" w:hAnsi="宋体" w:eastAsia="宋体" w:cs="宋体"/>
          <w:color w:val="auto"/>
          <w:sz w:val="24"/>
          <w:szCs w:val="24"/>
          <w:lang w:val="en-US" w:eastAsia="zh-CN"/>
        </w:rPr>
        <w:t>比选</w:t>
      </w:r>
      <w:r>
        <w:rPr>
          <w:rFonts w:hint="eastAsia" w:ascii="宋体" w:hAnsi="宋体" w:eastAsia="宋体" w:cs="宋体"/>
          <w:color w:val="auto"/>
          <w:sz w:val="24"/>
          <w:szCs w:val="24"/>
        </w:rPr>
        <w:t>文件及合同规定的范围所提供的全部服务所需的全部费用及应缴纳的一切税费，包括施工人员额外工作报酬及附加工作报酬。</w:t>
      </w:r>
      <w:r>
        <w:rPr>
          <w:rFonts w:hint="eastAsia" w:ascii="宋体" w:hAnsi="宋体" w:eastAsia="宋体" w:cs="宋体"/>
          <w:color w:val="auto"/>
          <w:sz w:val="24"/>
          <w:szCs w:val="24"/>
          <w:lang w:val="en-US" w:eastAsia="zh-CN"/>
        </w:rPr>
        <w:t>比选</w:t>
      </w:r>
      <w:r>
        <w:rPr>
          <w:rFonts w:hint="eastAsia" w:ascii="宋体" w:hAnsi="宋体" w:eastAsia="宋体" w:cs="宋体"/>
          <w:color w:val="auto"/>
          <w:sz w:val="24"/>
          <w:szCs w:val="24"/>
        </w:rPr>
        <w:t>人不为成交人提供办公场地，其他一切办公、交通、住宿及生活等相关费用由成交人自理。</w:t>
      </w:r>
    </w:p>
    <w:p w14:paraId="003AEC4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成交人须按</w:t>
      </w:r>
      <w:r>
        <w:rPr>
          <w:rFonts w:hint="eastAsia" w:ascii="宋体" w:hAnsi="宋体" w:eastAsia="宋体" w:cs="宋体"/>
          <w:color w:val="auto"/>
          <w:sz w:val="24"/>
          <w:szCs w:val="24"/>
          <w:lang w:val="en-US" w:eastAsia="zh-CN"/>
        </w:rPr>
        <w:t>比选</w:t>
      </w:r>
      <w:r>
        <w:rPr>
          <w:rFonts w:hint="eastAsia" w:ascii="宋体" w:hAnsi="宋体" w:eastAsia="宋体" w:cs="宋体"/>
          <w:color w:val="auto"/>
          <w:sz w:val="24"/>
          <w:szCs w:val="24"/>
        </w:rPr>
        <w:t>人要求开具有效发票。</w:t>
      </w:r>
    </w:p>
    <w:p w14:paraId="763DFD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工程质量、安全必须符合国家及地方现行相关法律、法规、技术规范及管理规定。</w:t>
      </w:r>
    </w:p>
    <w:p w14:paraId="18773B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施工单位负责施工范围内的</w:t>
      </w:r>
      <w:r>
        <w:rPr>
          <w:rFonts w:hint="eastAsia" w:ascii="宋体" w:hAnsi="宋体" w:eastAsia="宋体" w:cs="宋体"/>
          <w:color w:val="auto"/>
          <w:sz w:val="24"/>
          <w:szCs w:val="24"/>
          <w:lang w:eastAsia="zh-CN"/>
        </w:rPr>
        <w:t>一切安全责任，务必做好各项安全维护、防护措施，确保施工安全、道路安全，行人安全、车辆安全等。</w:t>
      </w:r>
      <w:r>
        <w:rPr>
          <w:rFonts w:hint="default" w:ascii="宋体" w:hAnsi="宋体" w:eastAsia="宋体" w:cs="宋体"/>
          <w:color w:val="auto"/>
          <w:sz w:val="24"/>
          <w:szCs w:val="24"/>
          <w:lang w:val="en-US" w:eastAsia="zh-CN"/>
        </w:rPr>
        <w:t>需考虑周边住户安全通行、生活作息等要求，需</w:t>
      </w:r>
      <w:r>
        <w:rPr>
          <w:rFonts w:hint="eastAsia" w:ascii="宋体" w:hAnsi="宋体" w:eastAsia="宋体" w:cs="宋体"/>
          <w:color w:val="auto"/>
          <w:sz w:val="24"/>
          <w:szCs w:val="24"/>
          <w:lang w:val="en-US" w:eastAsia="zh-CN"/>
        </w:rPr>
        <w:t>施行符合建设单位要求的专项施工方案。</w:t>
      </w:r>
    </w:p>
    <w:p w14:paraId="6DD28C2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.施工单位需严格遵守校园管理规定，施工时要注意加强管理，文明施工。</w:t>
      </w:r>
    </w:p>
    <w:p w14:paraId="68C4171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outlineLvl w:val="2"/>
        <w:rPr>
          <w:rFonts w:hint="eastAsia" w:ascii="宋体" w:hAnsi="宋体" w:eastAsia="宋体" w:cs="宋体"/>
          <w:b/>
          <w:bCs/>
          <w:color w:val="auto"/>
          <w:sz w:val="24"/>
          <w:szCs w:val="24"/>
        </w:rPr>
      </w:pPr>
      <w:r>
        <w:rPr>
          <w:rFonts w:hint="eastAsia" w:ascii="宋体" w:hAnsi="宋体" w:eastAsia="宋体" w:cs="宋体"/>
          <w:b/>
          <w:bCs/>
          <w:color w:val="auto"/>
          <w:sz w:val="24"/>
          <w:szCs w:val="24"/>
        </w:rPr>
        <w:t>三、响应报价要求</w:t>
      </w:r>
    </w:p>
    <w:p w14:paraId="3341720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本项目采用工程量清单综合单价计价方式，请参选人认真阅读</w:t>
      </w:r>
      <w:r>
        <w:rPr>
          <w:rFonts w:hint="eastAsia" w:ascii="宋体" w:hAnsi="宋体" w:eastAsia="宋体" w:cs="宋体"/>
          <w:color w:val="auto"/>
          <w:sz w:val="24"/>
          <w:szCs w:val="24"/>
          <w:lang w:val="en-US" w:eastAsia="zh-CN"/>
        </w:rPr>
        <w:t>比选</w:t>
      </w:r>
      <w:r>
        <w:rPr>
          <w:rFonts w:hint="eastAsia" w:ascii="宋体" w:hAnsi="宋体" w:eastAsia="宋体" w:cs="宋体"/>
          <w:color w:val="auto"/>
          <w:sz w:val="24"/>
          <w:szCs w:val="24"/>
        </w:rPr>
        <w:t>文件的报价规定和合同主要条款中关于充分考虑本工程合同价款包含风险范围内的所有内容。同时施工合同履行过程中，除</w:t>
      </w:r>
      <w:r>
        <w:rPr>
          <w:rFonts w:hint="eastAsia" w:ascii="宋体" w:hAnsi="宋体" w:eastAsia="宋体" w:cs="宋体"/>
          <w:color w:val="auto"/>
          <w:sz w:val="24"/>
          <w:szCs w:val="24"/>
          <w:lang w:val="en-US" w:eastAsia="zh-CN"/>
        </w:rPr>
        <w:t>比选</w:t>
      </w:r>
      <w:r>
        <w:rPr>
          <w:rFonts w:hint="eastAsia" w:ascii="宋体" w:hAnsi="宋体" w:eastAsia="宋体" w:cs="宋体"/>
          <w:color w:val="auto"/>
          <w:sz w:val="24"/>
          <w:szCs w:val="24"/>
        </w:rPr>
        <w:t>文件约定外，一律不允许调整合同中的综合单价。</w:t>
      </w:r>
    </w:p>
    <w:p w14:paraId="033DB66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参选人应仔细阅读采购文件及附件资料，了解拟采购项目的全部工程内容。</w:t>
      </w:r>
      <w:r>
        <w:rPr>
          <w:rFonts w:hint="eastAsia" w:ascii="宋体" w:hAnsi="宋体" w:eastAsia="宋体" w:cs="宋体"/>
          <w:sz w:val="24"/>
          <w:szCs w:val="24"/>
        </w:rPr>
        <w:t>参选人的响应报价应是采购文件所确定的采购范围内全部工程内容的价格体现。参选人的响应报价，应是在满足采购文件规定工期、质量要求下，完成采购项目范围的全部工作的报价。</w:t>
      </w:r>
    </w:p>
    <w:p w14:paraId="4361D76F">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四、其他要求</w:t>
      </w:r>
    </w:p>
    <w:p w14:paraId="4A24858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1.参选人在编制工程进度计划时须充分考虑劳动力、材料物资、机械设备等资源投入和夜间加班计划，保证工期目标的实现，并做好相应的安全及文明施工保障措施。</w:t>
      </w:r>
    </w:p>
    <w:p w14:paraId="625DC57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2.中选人在施工时须严格做好成品保护工作。</w:t>
      </w:r>
    </w:p>
    <w:p w14:paraId="7FFF38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3.该项目严禁转包分包。</w:t>
      </w:r>
    </w:p>
    <w:p w14:paraId="33A2933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具体情况见工程量清单。</w:t>
      </w:r>
    </w:p>
    <w:p w14:paraId="7C9433DD">
      <w:r>
        <w:rPr>
          <w:rFonts w:hint="eastAsia" w:ascii="宋体" w:hAnsi="宋体" w:eastAsia="宋体" w:cs="宋体"/>
          <w:b/>
          <w:bCs/>
          <w:sz w:val="24"/>
          <w:szCs w:val="24"/>
        </w:rPr>
        <w:t>五、工程量清单</w:t>
      </w:r>
      <w:r>
        <w:rPr>
          <w:rFonts w:hint="eastAsia" w:ascii="宋体" w:hAnsi="宋体" w:eastAsia="宋体" w:cs="宋体"/>
          <w:b/>
          <w:bCs/>
          <w:sz w:val="24"/>
          <w:szCs w:val="24"/>
          <w:lang w:val="en-US" w:eastAsia="zh-CN"/>
        </w:rPr>
        <w:t>控制价及参考样图</w:t>
      </w:r>
      <w:r>
        <w:rPr>
          <w:rFonts w:hint="eastAsia" w:ascii="宋体" w:hAnsi="宋体" w:eastAsia="宋体" w:cs="宋体"/>
          <w:b/>
          <w:bCs/>
          <w:sz w:val="24"/>
          <w:szCs w:val="24"/>
        </w:rPr>
        <w:t>（另附）</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53627"/>
    <w:rsid w:val="63353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微软简标宋" w:hAnsi="@微软简标宋" w:eastAsia="@微软简标宋" w:cs="@微软简标宋"/>
      <w:szCs w:val="24"/>
      <w:lang w:val="zh-CN"/>
    </w:rPr>
  </w:style>
  <w:style w:type="paragraph" w:styleId="3">
    <w:name w:val="Body Text First Indent"/>
    <w:basedOn w:val="2"/>
    <w:unhideWhenUsed/>
    <w:qFormat/>
    <w:uiPriority w:val="99"/>
    <w:pPr>
      <w:ind w:firstLine="420" w:firstLineChars="100"/>
    </w:pPr>
  </w:style>
  <w:style w:type="paragraph" w:customStyle="1" w:styleId="6">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2025-04-24T03:45:00Z</dcterms:created>
  <dc:creator>森</dc:creator>
  <cp:lastModifiedBy>森</cp:lastModifiedBy>
  <dcterms:modified xsi:type="dcterms:W3CDTF">2025-04-24T03:45:41Z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D691BC1981714087A8F8B47AE78BECB3_11</vt:lpwstr>
  </property>
  <property fmtid="{D5CDD505-2E9C-101B-9397-08002B2CF9AE}" pid="4" name="KSOTemplateDocerSaveRecord">
    <vt:lpwstr>eyJoZGlkIjoiOTc3M2Y5NzIzMDFlZjAyY2Q4Njk5ODkyYjFjNzBiNTQiLCJ1c2VySWQiOiI0MzAwMTYzNzkifQ==</vt:lpwstr>
  </property>
</Properties>
</file>