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BC2BC4">
      <w:pPr>
        <w:wordWrap w:val="0"/>
        <w:spacing w:line="360" w:lineRule="auto"/>
        <w:jc w:val="center"/>
        <w:outlineLvl w:val="1"/>
        <w:rPr>
          <w:rFonts w:hint="eastAsia" w:ascii="华文中宋" w:hAnsi="华文中宋" w:eastAsia="华文中宋" w:cs="Times New Roman"/>
          <w:b/>
          <w:bCs/>
          <w:kern w:val="44"/>
          <w:sz w:val="44"/>
          <w:szCs w:val="44"/>
        </w:rPr>
      </w:pPr>
      <w:bookmarkStart w:id="0" w:name="_Toc17224"/>
      <w:r>
        <w:rPr>
          <w:rFonts w:hint="eastAsia" w:ascii="华文中宋" w:hAnsi="华文中宋" w:eastAsia="华文中宋" w:cs="Times New Roman"/>
          <w:b/>
          <w:bCs/>
          <w:kern w:val="44"/>
          <w:sz w:val="44"/>
          <w:szCs w:val="44"/>
        </w:rPr>
        <w:t>第三章  采购需求</w:t>
      </w:r>
      <w:bookmarkEnd w:id="0"/>
    </w:p>
    <w:p w14:paraId="0FDBF14C">
      <w:pPr>
        <w:wordWrap w:val="0"/>
        <w:spacing w:line="360" w:lineRule="auto"/>
        <w:rPr>
          <w:rFonts w:hint="eastAsia" w:ascii="宋体" w:hAnsi="宋体" w:eastAsia="宋体" w:cs="宋体"/>
          <w:b/>
          <w:sz w:val="24"/>
          <w:szCs w:val="24"/>
        </w:rPr>
      </w:pPr>
      <w:r>
        <w:rPr>
          <w:rFonts w:hint="eastAsia" w:ascii="宋体" w:hAnsi="宋体" w:eastAsia="宋体" w:cs="宋体"/>
          <w:b/>
          <w:sz w:val="24"/>
          <w:szCs w:val="24"/>
        </w:rPr>
        <w:t>前注：</w:t>
      </w:r>
    </w:p>
    <w:p w14:paraId="6E29EF27">
      <w:pPr>
        <w:wordWrap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1.本采购需求中提出的工程实施方案仅为参考，如无明确限制，参选人可以进行优化，提供满足比选人实际需要的更优（或者性能实质上不低于的）工程实施方案，且此方案须经评审小组评审认可。</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1291"/>
        <w:gridCol w:w="6355"/>
      </w:tblGrid>
      <w:tr w14:paraId="74E34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7B2E1DEA">
            <w:pPr>
              <w:wordWrap w:val="0"/>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1291" w:type="dxa"/>
            <w:noWrap w:val="0"/>
            <w:vAlign w:val="center"/>
          </w:tcPr>
          <w:p w14:paraId="10F9B5A5">
            <w:pPr>
              <w:wordWrap w:val="0"/>
              <w:spacing w:line="360" w:lineRule="auto"/>
              <w:ind w:firstLine="435"/>
              <w:jc w:val="center"/>
              <w:rPr>
                <w:rFonts w:hint="eastAsia" w:ascii="宋体" w:hAnsi="宋体" w:eastAsia="宋体" w:cs="宋体"/>
                <w:b/>
                <w:sz w:val="24"/>
                <w:szCs w:val="24"/>
              </w:rPr>
            </w:pPr>
            <w:r>
              <w:rPr>
                <w:rFonts w:hint="eastAsia" w:ascii="宋体" w:hAnsi="宋体" w:eastAsia="宋体" w:cs="宋体"/>
                <w:b/>
                <w:sz w:val="24"/>
                <w:szCs w:val="24"/>
              </w:rPr>
              <w:t>内容</w:t>
            </w:r>
          </w:p>
        </w:tc>
        <w:tc>
          <w:tcPr>
            <w:tcW w:w="6355" w:type="dxa"/>
            <w:noWrap w:val="0"/>
            <w:vAlign w:val="center"/>
          </w:tcPr>
          <w:p w14:paraId="41A19057">
            <w:pPr>
              <w:wordWrap w:val="0"/>
              <w:spacing w:line="360" w:lineRule="auto"/>
              <w:ind w:firstLine="435"/>
              <w:jc w:val="center"/>
              <w:rPr>
                <w:rFonts w:hint="eastAsia" w:ascii="宋体" w:hAnsi="宋体" w:eastAsia="宋体" w:cs="宋体"/>
                <w:b/>
                <w:sz w:val="24"/>
                <w:szCs w:val="24"/>
              </w:rPr>
            </w:pPr>
            <w:r>
              <w:rPr>
                <w:rFonts w:hint="eastAsia" w:ascii="宋体" w:hAnsi="宋体" w:eastAsia="宋体" w:cs="宋体"/>
                <w:b/>
                <w:sz w:val="24"/>
                <w:szCs w:val="24"/>
              </w:rPr>
              <w:t>说明和要求</w:t>
            </w:r>
          </w:p>
        </w:tc>
      </w:tr>
      <w:tr w14:paraId="71841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13940856">
            <w:pPr>
              <w:wordWrap w:val="0"/>
              <w:spacing w:line="360" w:lineRule="auto"/>
              <w:jc w:val="center"/>
              <w:rPr>
                <w:rFonts w:hint="eastAsia" w:ascii="宋体" w:hAnsi="宋体" w:eastAsia="宋体" w:cs="宋体"/>
                <w:b/>
                <w:sz w:val="24"/>
                <w:szCs w:val="24"/>
              </w:rPr>
            </w:pPr>
            <w:r>
              <w:rPr>
                <w:rFonts w:hint="eastAsia" w:ascii="宋体" w:hAnsi="宋体" w:eastAsia="宋体" w:cs="宋体"/>
                <w:bCs/>
                <w:sz w:val="24"/>
                <w:szCs w:val="24"/>
              </w:rPr>
              <w:t>1</w:t>
            </w:r>
          </w:p>
        </w:tc>
        <w:tc>
          <w:tcPr>
            <w:tcW w:w="1291" w:type="dxa"/>
            <w:noWrap w:val="0"/>
            <w:vAlign w:val="center"/>
          </w:tcPr>
          <w:p w14:paraId="3E963290">
            <w:pPr>
              <w:wordWrap w:val="0"/>
              <w:spacing w:line="360" w:lineRule="auto"/>
              <w:rPr>
                <w:rFonts w:hint="eastAsia" w:ascii="宋体" w:hAnsi="宋体" w:eastAsia="宋体" w:cs="宋体"/>
                <w:b/>
                <w:sz w:val="24"/>
                <w:szCs w:val="24"/>
              </w:rPr>
            </w:pPr>
            <w:r>
              <w:rPr>
                <w:rFonts w:hint="eastAsia" w:ascii="宋体" w:hAnsi="宋体" w:eastAsia="宋体" w:cs="宋体"/>
                <w:bCs/>
                <w:sz w:val="24"/>
                <w:szCs w:val="24"/>
              </w:rPr>
              <w:t>工程地点</w:t>
            </w:r>
          </w:p>
        </w:tc>
        <w:tc>
          <w:tcPr>
            <w:tcW w:w="6355" w:type="dxa"/>
            <w:noWrap w:val="0"/>
            <w:vAlign w:val="center"/>
          </w:tcPr>
          <w:p w14:paraId="740F5952">
            <w:pPr>
              <w:wordWrap w:val="0"/>
              <w:spacing w:line="360" w:lineRule="auto"/>
              <w:rPr>
                <w:rFonts w:hint="eastAsia" w:ascii="宋体" w:hAnsi="宋体" w:eastAsia="宋体" w:cs="宋体"/>
                <w:bCs/>
                <w:sz w:val="24"/>
                <w:szCs w:val="24"/>
              </w:rPr>
            </w:pPr>
            <w:r>
              <w:rPr>
                <w:rFonts w:hint="eastAsia" w:ascii="宋体" w:hAnsi="宋体" w:eastAsia="宋体" w:cs="宋体"/>
                <w:bCs/>
                <w:sz w:val="24"/>
                <w:szCs w:val="24"/>
              </w:rPr>
              <w:t>安徽医科大学新医科中心（新校区）或比选人指定地点。</w:t>
            </w:r>
          </w:p>
        </w:tc>
      </w:tr>
      <w:tr w14:paraId="09A8C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53AD2987">
            <w:pPr>
              <w:wordWrap w:val="0"/>
              <w:spacing w:line="360" w:lineRule="auto"/>
              <w:jc w:val="center"/>
              <w:rPr>
                <w:rFonts w:hint="eastAsia" w:ascii="宋体" w:hAnsi="宋体" w:eastAsia="宋体" w:cs="宋体"/>
                <w:b/>
                <w:sz w:val="24"/>
                <w:szCs w:val="24"/>
              </w:rPr>
            </w:pPr>
            <w:r>
              <w:rPr>
                <w:rFonts w:hint="eastAsia" w:ascii="宋体" w:hAnsi="宋体" w:eastAsia="宋体" w:cs="宋体"/>
                <w:bCs/>
                <w:sz w:val="24"/>
                <w:szCs w:val="24"/>
              </w:rPr>
              <w:t>2</w:t>
            </w:r>
          </w:p>
        </w:tc>
        <w:tc>
          <w:tcPr>
            <w:tcW w:w="1291" w:type="dxa"/>
            <w:noWrap w:val="0"/>
            <w:vAlign w:val="center"/>
          </w:tcPr>
          <w:p w14:paraId="0E9383B0">
            <w:pPr>
              <w:wordWrap w:val="0"/>
              <w:spacing w:line="360" w:lineRule="auto"/>
              <w:rPr>
                <w:rFonts w:hint="eastAsia" w:ascii="宋体" w:hAnsi="宋体" w:eastAsia="宋体" w:cs="宋体"/>
                <w:b/>
                <w:sz w:val="24"/>
                <w:szCs w:val="24"/>
              </w:rPr>
            </w:pPr>
            <w:r>
              <w:rPr>
                <w:rFonts w:hint="eastAsia" w:ascii="宋体" w:hAnsi="宋体" w:eastAsia="宋体" w:cs="宋体"/>
                <w:bCs/>
                <w:sz w:val="24"/>
                <w:szCs w:val="24"/>
              </w:rPr>
              <w:t>计划工期</w:t>
            </w:r>
          </w:p>
        </w:tc>
        <w:tc>
          <w:tcPr>
            <w:tcW w:w="6355" w:type="dxa"/>
            <w:noWrap w:val="0"/>
            <w:vAlign w:val="center"/>
          </w:tcPr>
          <w:p w14:paraId="0AFD697E">
            <w:pPr>
              <w:wordWrap w:val="0"/>
              <w:spacing w:line="360" w:lineRule="auto"/>
              <w:rPr>
                <w:rFonts w:hint="eastAsia" w:ascii="宋体" w:hAnsi="宋体" w:eastAsia="宋体" w:cs="宋体"/>
                <w:bCs/>
                <w:sz w:val="24"/>
                <w:szCs w:val="24"/>
              </w:rPr>
            </w:pPr>
            <w:r>
              <w:rPr>
                <w:rFonts w:hint="eastAsia" w:ascii="宋体" w:hAnsi="宋体" w:eastAsia="宋体" w:cs="宋体"/>
                <w:bCs/>
                <w:sz w:val="24"/>
                <w:szCs w:val="24"/>
                <w:lang w:eastAsia="zh-CN"/>
              </w:rPr>
              <w:t>合同签订接比选人通知后40日历天</w:t>
            </w:r>
            <w:r>
              <w:rPr>
                <w:rFonts w:hint="eastAsia" w:ascii="宋体" w:hAnsi="宋体" w:eastAsia="宋体" w:cs="宋体"/>
                <w:bCs/>
                <w:sz w:val="24"/>
                <w:szCs w:val="24"/>
              </w:rPr>
              <w:t>。</w:t>
            </w:r>
          </w:p>
        </w:tc>
      </w:tr>
      <w:tr w14:paraId="50E1D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06C553D4">
            <w:pPr>
              <w:wordWrap w:val="0"/>
              <w:spacing w:line="360" w:lineRule="auto"/>
              <w:jc w:val="center"/>
              <w:rPr>
                <w:rFonts w:hint="eastAsia" w:ascii="宋体" w:hAnsi="宋体" w:eastAsia="宋体" w:cs="宋体"/>
                <w:b/>
                <w:sz w:val="24"/>
                <w:szCs w:val="24"/>
              </w:rPr>
            </w:pPr>
            <w:r>
              <w:rPr>
                <w:rFonts w:hint="eastAsia" w:ascii="宋体" w:hAnsi="宋体" w:eastAsia="宋体" w:cs="宋体"/>
                <w:bCs/>
                <w:sz w:val="24"/>
                <w:szCs w:val="24"/>
              </w:rPr>
              <w:t>3</w:t>
            </w:r>
          </w:p>
        </w:tc>
        <w:tc>
          <w:tcPr>
            <w:tcW w:w="1291" w:type="dxa"/>
            <w:noWrap w:val="0"/>
            <w:vAlign w:val="center"/>
          </w:tcPr>
          <w:p w14:paraId="2E76C5B1">
            <w:pPr>
              <w:wordWrap w:val="0"/>
              <w:spacing w:line="360" w:lineRule="auto"/>
              <w:jc w:val="left"/>
              <w:rPr>
                <w:rFonts w:hint="eastAsia" w:ascii="宋体" w:hAnsi="宋体" w:eastAsia="宋体" w:cs="宋体"/>
                <w:b/>
                <w:sz w:val="24"/>
                <w:szCs w:val="24"/>
              </w:rPr>
            </w:pPr>
            <w:r>
              <w:rPr>
                <w:rFonts w:hint="eastAsia" w:ascii="宋体" w:hAnsi="宋体" w:eastAsia="宋体" w:cs="宋体"/>
                <w:bCs/>
                <w:sz w:val="24"/>
                <w:szCs w:val="24"/>
              </w:rPr>
              <w:t>工程质量</w:t>
            </w:r>
          </w:p>
        </w:tc>
        <w:tc>
          <w:tcPr>
            <w:tcW w:w="6355" w:type="dxa"/>
            <w:noWrap w:val="0"/>
            <w:vAlign w:val="center"/>
          </w:tcPr>
          <w:p w14:paraId="559E3352">
            <w:pPr>
              <w:wordWrap w:val="0"/>
              <w:spacing w:line="360" w:lineRule="auto"/>
              <w:rPr>
                <w:rFonts w:hint="eastAsia" w:ascii="宋体" w:hAnsi="宋体" w:eastAsia="宋体" w:cs="宋体"/>
                <w:bCs/>
                <w:sz w:val="24"/>
                <w:szCs w:val="24"/>
              </w:rPr>
            </w:pPr>
            <w:r>
              <w:rPr>
                <w:rFonts w:hint="eastAsia" w:ascii="宋体" w:hAnsi="宋体" w:eastAsia="宋体" w:cs="宋体"/>
                <w:bCs/>
                <w:sz w:val="24"/>
                <w:szCs w:val="24"/>
              </w:rPr>
              <w:t>合格</w:t>
            </w:r>
          </w:p>
        </w:tc>
      </w:tr>
      <w:tr w14:paraId="03C21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537EEE3A">
            <w:pPr>
              <w:wordWrap w:val="0"/>
              <w:spacing w:line="360" w:lineRule="auto"/>
              <w:jc w:val="center"/>
              <w:rPr>
                <w:rFonts w:hint="eastAsia" w:ascii="宋体" w:hAnsi="宋体" w:eastAsia="宋体" w:cs="宋体"/>
                <w:b/>
                <w:sz w:val="24"/>
                <w:szCs w:val="24"/>
              </w:rPr>
            </w:pPr>
            <w:r>
              <w:rPr>
                <w:rFonts w:hint="eastAsia" w:ascii="宋体" w:hAnsi="宋体" w:eastAsia="宋体" w:cs="宋体"/>
                <w:bCs/>
                <w:sz w:val="24"/>
                <w:szCs w:val="24"/>
              </w:rPr>
              <w:t>4</w:t>
            </w:r>
          </w:p>
        </w:tc>
        <w:tc>
          <w:tcPr>
            <w:tcW w:w="1291" w:type="dxa"/>
            <w:noWrap w:val="0"/>
            <w:vAlign w:val="center"/>
          </w:tcPr>
          <w:p w14:paraId="38A942E7">
            <w:pPr>
              <w:wordWrap w:val="0"/>
              <w:spacing w:line="360" w:lineRule="auto"/>
              <w:jc w:val="left"/>
              <w:rPr>
                <w:rFonts w:hint="eastAsia" w:ascii="宋体" w:hAnsi="宋体" w:eastAsia="宋体" w:cs="宋体"/>
                <w:b/>
                <w:sz w:val="24"/>
                <w:szCs w:val="24"/>
              </w:rPr>
            </w:pPr>
            <w:r>
              <w:rPr>
                <w:rFonts w:hint="eastAsia" w:ascii="宋体" w:hAnsi="宋体" w:eastAsia="宋体" w:cs="宋体"/>
                <w:bCs/>
                <w:sz w:val="24"/>
                <w:szCs w:val="24"/>
              </w:rPr>
              <w:t>付款方式</w:t>
            </w:r>
          </w:p>
        </w:tc>
        <w:tc>
          <w:tcPr>
            <w:tcW w:w="6355" w:type="dxa"/>
            <w:noWrap w:val="0"/>
            <w:vAlign w:val="center"/>
          </w:tcPr>
          <w:p w14:paraId="119322A8">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1.工程竣工验收合格后退还履约保证金，同时付至合同价的80%；</w:t>
            </w:r>
          </w:p>
          <w:p w14:paraId="7E6396EB">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2.经安徽医科大学审计并出具结算报告后支付至结算价的97％；</w:t>
            </w:r>
          </w:p>
          <w:p w14:paraId="1F743C5E">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3.余款作为质量保证金在缺陷责任期（24个月）满后一次性支付。</w:t>
            </w:r>
          </w:p>
        </w:tc>
      </w:tr>
      <w:tr w14:paraId="7063A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52F6FB12">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5</w:t>
            </w:r>
          </w:p>
        </w:tc>
        <w:tc>
          <w:tcPr>
            <w:tcW w:w="1291" w:type="dxa"/>
            <w:noWrap w:val="0"/>
            <w:vAlign w:val="center"/>
          </w:tcPr>
          <w:p w14:paraId="4CC8B74F">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人员到岗及履约要求</w:t>
            </w:r>
          </w:p>
        </w:tc>
        <w:tc>
          <w:tcPr>
            <w:tcW w:w="6355" w:type="dxa"/>
            <w:noWrap w:val="0"/>
            <w:vAlign w:val="center"/>
          </w:tcPr>
          <w:p w14:paraId="62175BFD">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1.参选人一旦中选，比选时所报的本项目的项目经理、施工现场技术负责人、各专业负责工程师及施工机械等在整个项目施工期内必须在位，否则比选人有权终止合同。由此造成的损失，中选人自行承担并赔偿可能给比选人造成的损失。</w:t>
            </w:r>
          </w:p>
          <w:p w14:paraId="36856AB9">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2.中选人不得擅自更换比选时所报项目经理及项目部主要管理人员。确需更换时，须报比选人同意，更换后人员不得低于中选人比选时所报人员资质和技术水平。比选人如认为有必要，可要求对上述人员中的部分人员作出更好的调整。</w:t>
            </w:r>
          </w:p>
          <w:p w14:paraId="0559C53B">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3.中选人未能按照承诺到岗尽职的，比选人有权视情况严重程度对其作出相应处理，给予警告并发出整改通知。如仍未及时整改，比选人有权责令其停工整改、直至终止合同，引进新的承包人。比选人有权停止支付工程款项，扣留任何未付的工程进度款项补偿建设单位的有关损失或工期延误的损失，并就此向承包人索赔。</w:t>
            </w:r>
          </w:p>
        </w:tc>
      </w:tr>
      <w:tr w14:paraId="6BB92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36E26919">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6</w:t>
            </w:r>
          </w:p>
        </w:tc>
        <w:tc>
          <w:tcPr>
            <w:tcW w:w="1291" w:type="dxa"/>
            <w:noWrap w:val="0"/>
            <w:vAlign w:val="center"/>
          </w:tcPr>
          <w:p w14:paraId="4CAD37BE">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材料要求</w:t>
            </w:r>
          </w:p>
        </w:tc>
        <w:tc>
          <w:tcPr>
            <w:tcW w:w="6355" w:type="dxa"/>
            <w:noWrap w:val="0"/>
            <w:vAlign w:val="center"/>
          </w:tcPr>
          <w:p w14:paraId="1ACE72A4">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1.中选人自行采购的材料应满足设计和规范要求的质量等级，并须按有关技术规范要求对材料质量进行检验。中选人选定的材料供应厂家和价格须经比选人和监理单位认可。如比选人和监理单位对某种或某些材料的质量有异议，有权提出停止使用的要求，中选人必须服从该要求。若该材料经权威检验部门鉴定确有质量问题，由此而发生的一切费用由中选人自负。因中选人自行采购的材料质量引起的工程质量问题由中选人承担所造成的一切损失。</w:t>
            </w:r>
          </w:p>
          <w:p w14:paraId="695CFA7D">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2.如本项目比选人对工程质量有特殊需求的，对主要设备及材料提供不少于三个的参考品牌，对于比选人参考品牌的材料，参选人可选用参考品牌或不低于参考品牌质量标准的其它品牌；采用其它品牌的应在参选文件中提供相关技术参数证明材料供评审小组评审，未提供相关技术参数证明材料或经评审小组评审未通过的，中选后只能从比选人参考品牌中进行选择，价格不予调整。</w:t>
            </w:r>
          </w:p>
          <w:p w14:paraId="6359D5AF">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3.对于比选人参考品牌的材料，参选人如认为参考品牌有限定性、唯一性、明显不在同一档次等级的或者其他异议的，应在本项目询问截止时间前以书面方式提交给比选人或代理机构。</w:t>
            </w:r>
          </w:p>
        </w:tc>
      </w:tr>
      <w:tr w14:paraId="6B469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433CDF0B">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7</w:t>
            </w:r>
          </w:p>
        </w:tc>
        <w:tc>
          <w:tcPr>
            <w:tcW w:w="1291" w:type="dxa"/>
            <w:noWrap w:val="0"/>
            <w:vAlign w:val="center"/>
          </w:tcPr>
          <w:p w14:paraId="61DC42D6">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工程施工重点难点</w:t>
            </w:r>
          </w:p>
        </w:tc>
        <w:tc>
          <w:tcPr>
            <w:tcW w:w="6355" w:type="dxa"/>
            <w:noWrap w:val="0"/>
            <w:vAlign w:val="center"/>
          </w:tcPr>
          <w:p w14:paraId="3E4C939B">
            <w:pPr>
              <w:pStyle w:val="2"/>
              <w:rPr>
                <w:rFonts w:ascii="宋体" w:hAnsi="宋体" w:cs="宋体"/>
                <w:kern w:val="0"/>
                <w:sz w:val="24"/>
                <w:szCs w:val="24"/>
              </w:rPr>
            </w:pPr>
            <w:r>
              <w:rPr>
                <w:rFonts w:hint="eastAsia" w:ascii="宋体" w:hAnsi="宋体" w:cs="宋体"/>
                <w:kern w:val="0"/>
                <w:sz w:val="24"/>
                <w:szCs w:val="24"/>
              </w:rPr>
              <w:t>无</w:t>
            </w:r>
          </w:p>
        </w:tc>
      </w:tr>
      <w:tr w14:paraId="26D69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5C4629BA">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8</w:t>
            </w:r>
          </w:p>
        </w:tc>
        <w:tc>
          <w:tcPr>
            <w:tcW w:w="1291" w:type="dxa"/>
            <w:noWrap w:val="0"/>
            <w:vAlign w:val="center"/>
          </w:tcPr>
          <w:p w14:paraId="0FEBCACF">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报价须知</w:t>
            </w:r>
          </w:p>
        </w:tc>
        <w:tc>
          <w:tcPr>
            <w:tcW w:w="6355" w:type="dxa"/>
            <w:noWrap w:val="0"/>
            <w:vAlign w:val="center"/>
          </w:tcPr>
          <w:p w14:paraId="45D0A0B6">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sz w:val="24"/>
                <w:szCs w:val="24"/>
              </w:rPr>
              <w:t>参选人最后报价均不得高于比选文件（公告）列明的项目预算、最高投标限价（控制价），否则其参选文件将被认定为响应无效</w:t>
            </w:r>
            <w:r>
              <w:rPr>
                <w:rFonts w:hint="eastAsia" w:ascii="宋体" w:hAnsi="宋体" w:eastAsia="宋体" w:cs="宋体"/>
                <w:b w:val="0"/>
                <w:bCs w:val="0"/>
                <w:kern w:val="2"/>
                <w:sz w:val="24"/>
                <w:szCs w:val="24"/>
              </w:rPr>
              <w:t>。</w:t>
            </w:r>
          </w:p>
        </w:tc>
      </w:tr>
      <w:tr w14:paraId="60DC9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0B60BC56">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9</w:t>
            </w:r>
          </w:p>
        </w:tc>
        <w:tc>
          <w:tcPr>
            <w:tcW w:w="1291" w:type="dxa"/>
            <w:noWrap w:val="0"/>
            <w:vAlign w:val="center"/>
          </w:tcPr>
          <w:p w14:paraId="4E1F2C36">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重要说明</w:t>
            </w:r>
          </w:p>
        </w:tc>
        <w:tc>
          <w:tcPr>
            <w:tcW w:w="6355" w:type="dxa"/>
            <w:noWrap w:val="0"/>
            <w:vAlign w:val="center"/>
          </w:tcPr>
          <w:p w14:paraId="42B338C3">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1.本项目的比选文件、工程量清单、最高投标限价（控制价）、澄清、修改、补充等相关资料均通过</w:t>
            </w:r>
            <w:r>
              <w:rPr>
                <w:rFonts w:hint="eastAsia" w:ascii="宋体" w:hAnsi="宋体" w:eastAsia="宋体" w:cs="宋体"/>
                <w:b w:val="0"/>
                <w:bCs w:val="0"/>
                <w:sz w:val="24"/>
                <w:szCs w:val="24"/>
              </w:rPr>
              <w:t>安招采平台</w:t>
            </w:r>
            <w:r>
              <w:rPr>
                <w:rFonts w:hint="eastAsia" w:ascii="宋体" w:hAnsi="宋体" w:eastAsia="宋体" w:cs="宋体"/>
                <w:b w:val="0"/>
                <w:bCs w:val="0"/>
                <w:kern w:val="2"/>
                <w:sz w:val="24"/>
                <w:szCs w:val="24"/>
              </w:rPr>
              <w:t>发布，请参选人自行从网上下载，参选人应当及时查看有无相关澄清、修改、补充等内容。</w:t>
            </w:r>
          </w:p>
          <w:p w14:paraId="23C16A03">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2.在工程项目比选过程中，参选人最后报价与公布的最高投标限价（控制价）或项目概算相比降幅过小，或参选人最后报价明显缺乏竞争性的，评审小组可以否决其报价。</w:t>
            </w:r>
          </w:p>
          <w:p w14:paraId="5E0A2806">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3.承包人在工程实施过程中用工行为，必须严格执行国家及地方政府的有关规定，依法签订劳动合同，并按规定及时足额支付工资。</w:t>
            </w:r>
          </w:p>
          <w:p w14:paraId="29B658E7">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4.承包人在建设工程扬尘污染防治措施和费用管理上，必须严格执行《合肥市建设工程扬尘污染防治暂行规定》合建〔2015〕33号文规定。本工程最高投标限价（控制价）已按《关于关于贯彻执行2018版安徽省建设工程计价依据的通知》（合造价[2018]13号）的规定计取，参选人报价中已包含比选文件公布的施工扬尘污染防治措施费用，参选人中选后办理相关专户设立等事宜。</w:t>
            </w:r>
          </w:p>
        </w:tc>
      </w:tr>
      <w:tr w14:paraId="659F8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7299B8A5">
            <w:pPr>
              <w:wordWrap w:val="0"/>
              <w:spacing w:line="360" w:lineRule="auto"/>
              <w:jc w:val="center"/>
              <w:rPr>
                <w:rFonts w:ascii="宋体" w:hAnsi="宋体" w:eastAsia="宋体" w:cs="宋体"/>
                <w:sz w:val="24"/>
                <w:szCs w:val="24"/>
              </w:rPr>
            </w:pPr>
            <w:r>
              <w:rPr>
                <w:rFonts w:hint="eastAsia" w:ascii="宋体" w:hAnsi="宋体" w:eastAsia="宋体" w:cs="宋体"/>
                <w:sz w:val="24"/>
                <w:szCs w:val="24"/>
              </w:rPr>
              <w:t>10</w:t>
            </w:r>
          </w:p>
        </w:tc>
        <w:tc>
          <w:tcPr>
            <w:tcW w:w="1291" w:type="dxa"/>
            <w:noWrap w:val="0"/>
            <w:vAlign w:val="center"/>
          </w:tcPr>
          <w:p w14:paraId="312A4C31">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缺陷责任期</w:t>
            </w:r>
          </w:p>
        </w:tc>
        <w:tc>
          <w:tcPr>
            <w:tcW w:w="6355" w:type="dxa"/>
            <w:noWrap w:val="0"/>
            <w:vAlign w:val="center"/>
          </w:tcPr>
          <w:p w14:paraId="0DF7753A">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本项目缺陷责任期为2年，缺陷责任期以外需更换部分只收成本费。如与施工要求不符，以施工要求为准。缺陷责任期内，工程因自然力等主客观因素出现松动、脱落等现象，乙方需在2日内到场免费维修。</w:t>
            </w:r>
          </w:p>
        </w:tc>
      </w:tr>
    </w:tbl>
    <w:p w14:paraId="256D9187">
      <w:pPr>
        <w:pStyle w:val="4"/>
        <w:wordWrap w:val="0"/>
        <w:spacing w:line="360" w:lineRule="auto"/>
        <w:ind w:firstLine="240"/>
        <w:rPr>
          <w:rFonts w:hint="eastAsia" w:ascii="宋体" w:hAnsi="宋体" w:eastAsia="宋体" w:cs="宋体"/>
          <w:sz w:val="24"/>
        </w:rPr>
      </w:pPr>
    </w:p>
    <w:p w14:paraId="6882B35C">
      <w:pPr>
        <w:spacing w:line="360" w:lineRule="auto"/>
        <w:ind w:firstLine="482" w:firstLineChars="200"/>
        <w:jc w:val="left"/>
        <w:outlineLvl w:val="2"/>
        <w:rPr>
          <w:rFonts w:hint="eastAsia" w:ascii="宋体" w:hAnsi="宋体" w:eastAsia="宋体" w:cs="宋体"/>
          <w:b/>
          <w:sz w:val="24"/>
          <w:szCs w:val="24"/>
        </w:rPr>
      </w:pPr>
      <w:r>
        <w:rPr>
          <w:rFonts w:hint="eastAsia" w:ascii="宋体" w:hAnsi="宋体" w:eastAsia="宋体" w:cs="宋体"/>
          <w:b/>
          <w:sz w:val="24"/>
          <w:szCs w:val="24"/>
        </w:rPr>
        <w:br w:type="page"/>
      </w:r>
      <w:r>
        <w:rPr>
          <w:rFonts w:hint="eastAsia" w:ascii="宋体" w:hAnsi="宋体" w:eastAsia="宋体" w:cs="宋体"/>
          <w:b/>
          <w:sz w:val="24"/>
          <w:szCs w:val="24"/>
        </w:rPr>
        <w:t>一、项目概况</w:t>
      </w:r>
    </w:p>
    <w:p w14:paraId="116861A4">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 本项目为安徽医科大学新医科中心（新校区）教职工活动中心改造工程，具体详见工程量清单、比选文件。</w:t>
      </w:r>
    </w:p>
    <w:p w14:paraId="7243B35B">
      <w:pPr>
        <w:spacing w:line="360" w:lineRule="auto"/>
        <w:ind w:firstLine="482" w:firstLineChars="200"/>
        <w:jc w:val="left"/>
        <w:outlineLvl w:val="2"/>
        <w:rPr>
          <w:rFonts w:hint="eastAsia" w:ascii="宋体" w:hAnsi="宋体" w:eastAsia="宋体" w:cs="宋体"/>
          <w:b/>
          <w:sz w:val="24"/>
          <w:szCs w:val="24"/>
        </w:rPr>
      </w:pPr>
      <w:r>
        <w:rPr>
          <w:rFonts w:hint="eastAsia" w:ascii="宋体" w:hAnsi="宋体" w:eastAsia="宋体" w:cs="宋体"/>
          <w:b/>
          <w:sz w:val="24"/>
          <w:szCs w:val="24"/>
        </w:rPr>
        <w:t xml:space="preserve">二、施工要求 </w:t>
      </w:r>
    </w:p>
    <w:p w14:paraId="3DCC6BCE">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1.参选人应结合工程实际并综合考虑各种风险因素（如开工时间的不确定性），谨慎报价。施工过程中，参选人须主动解决可能遇到的一切难点问题，此项费用由参选人自行考虑，含在报价中，成交后不予调整。</w:t>
      </w:r>
    </w:p>
    <w:p w14:paraId="39CC42E1">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2.参选人可先到工地踏勘以充分了解工地位置、地形、地貌、道路、周边配套、现场条件及任何其他足以影响报价的情况，任何因忽视或误解工地情况而导致的索赔申请将不被批准。</w:t>
      </w:r>
    </w:p>
    <w:p w14:paraId="63EA4C20">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3.参选人应充分了解施工场地的现状，熟悉工程内容，正确估计施工的难易程度和必须投入技术力量，根据工程实际情况、施工内容和本单位实力，结合市场行情确定本项目工程费用。</w:t>
      </w:r>
    </w:p>
    <w:p w14:paraId="17D4D7AB">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4.参选人的价格应是施工期内，施工单位按比选文件及合同规定的范围所提供的全部服务所需的全部费用及应缴纳的一切税费，包括施工人员额外工作报酬及附加工作报酬。比选人不为成交人提供办公场地，其他一切办公、交通、住宿及生活等相关费用由成交人自理。</w:t>
      </w:r>
    </w:p>
    <w:p w14:paraId="06B38A1A">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5.成交人须按比选人要求开具有效发票。</w:t>
      </w:r>
    </w:p>
    <w:p w14:paraId="56E1DFAC">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6.工程质量、安全必须符合国家及地方现行相关法律、法规、技术规范及管理规定。</w:t>
      </w:r>
    </w:p>
    <w:p w14:paraId="578D6E45">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7.施工单位负责施工范围内的一切安全责任，务必做好各项安全维护、防护措施，确保施工安全、道路安全，行人安全、车辆安全等。</w:t>
      </w:r>
      <w:r>
        <w:rPr>
          <w:rFonts w:ascii="宋体" w:hAnsi="宋体" w:eastAsia="宋体" w:cs="宋体"/>
          <w:sz w:val="24"/>
          <w:szCs w:val="24"/>
        </w:rPr>
        <w:t>需考虑周边住户安全通行、生活作息等要求，需</w:t>
      </w:r>
      <w:r>
        <w:rPr>
          <w:rFonts w:hint="eastAsia" w:ascii="宋体" w:hAnsi="宋体" w:eastAsia="宋体" w:cs="宋体"/>
          <w:sz w:val="24"/>
          <w:szCs w:val="24"/>
        </w:rPr>
        <w:t>施行符合建设单位要求的专项施工方案。</w:t>
      </w:r>
    </w:p>
    <w:p w14:paraId="59E0C993">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8.施工单位需严格遵守校园管理规定，施工时要注意加强管理，文明施工。</w:t>
      </w:r>
    </w:p>
    <w:p w14:paraId="6A6FAB93">
      <w:pPr>
        <w:spacing w:line="360" w:lineRule="auto"/>
        <w:ind w:firstLine="482" w:firstLineChars="200"/>
        <w:jc w:val="left"/>
        <w:outlineLvl w:val="2"/>
        <w:rPr>
          <w:rFonts w:hint="eastAsia" w:ascii="宋体" w:hAnsi="宋体" w:eastAsia="宋体" w:cs="宋体"/>
          <w:b/>
          <w:bCs/>
          <w:sz w:val="24"/>
          <w:szCs w:val="24"/>
        </w:rPr>
      </w:pPr>
      <w:r>
        <w:rPr>
          <w:rFonts w:hint="eastAsia" w:ascii="宋体" w:hAnsi="宋体" w:eastAsia="宋体" w:cs="宋体"/>
          <w:b/>
          <w:bCs/>
          <w:sz w:val="24"/>
          <w:szCs w:val="24"/>
        </w:rPr>
        <w:t>三、响应报价要求</w:t>
      </w:r>
    </w:p>
    <w:p w14:paraId="1C067586">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本项目采用工程量清单综合单价计价方式，请参选人认真阅读比选文件的报价规定和合同主要条款中关于充分考虑本工程合同价款包含风险范围内的所有内容。同时施工合同履行过程中，除比选文件约定外，一律不允许调整合同中的综合单价。</w:t>
      </w:r>
    </w:p>
    <w:p w14:paraId="42AC3A4A">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参选人应仔细阅读采购文件及附件资料，了解拟采购项目的全部工程内容。参选人的响应报价应是采购文件所确定的采购范围内全部工程内容的价格体现。参选人的响应报价，应是在满足采购文件规定工期、质量要求下，完成采购项目范围的全部工作的报价。</w:t>
      </w:r>
    </w:p>
    <w:p w14:paraId="783DCB79">
      <w:pPr>
        <w:spacing w:line="360" w:lineRule="auto"/>
        <w:ind w:firstLine="482" w:firstLineChars="200"/>
        <w:jc w:val="left"/>
        <w:outlineLvl w:val="2"/>
        <w:rPr>
          <w:rFonts w:hint="eastAsia" w:ascii="宋体" w:hAnsi="宋体" w:eastAsia="宋体" w:cs="宋体"/>
          <w:b/>
          <w:bCs/>
          <w:sz w:val="24"/>
          <w:szCs w:val="24"/>
        </w:rPr>
      </w:pPr>
      <w:r>
        <w:rPr>
          <w:rFonts w:hint="eastAsia" w:ascii="宋体" w:hAnsi="宋体" w:eastAsia="宋体" w:cs="宋体"/>
          <w:b/>
          <w:bCs/>
          <w:sz w:val="24"/>
          <w:szCs w:val="24"/>
        </w:rPr>
        <w:t>四、其他要求</w:t>
      </w:r>
    </w:p>
    <w:p w14:paraId="181327D6">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1.参选人在编制工程进度计划时须充分考虑劳动力、材料物资、机械设备等资源投入和夜间加班计划，保证工期目标的实现，并做好相应的安全及文明施工保障措施。</w:t>
      </w:r>
    </w:p>
    <w:p w14:paraId="0222B424">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2.中选人在施工时须严格做好成品保护工作。</w:t>
      </w:r>
    </w:p>
    <w:p w14:paraId="178DAC4B">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3.该项目严禁转包分包。</w:t>
      </w:r>
    </w:p>
    <w:p w14:paraId="74C66A2F">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4.具体情况见工程量清单。</w:t>
      </w:r>
    </w:p>
    <w:p w14:paraId="7239BD06">
      <w:pPr>
        <w:spacing w:line="360" w:lineRule="auto"/>
        <w:ind w:firstLine="482" w:firstLineChars="200"/>
        <w:jc w:val="left"/>
        <w:outlineLvl w:val="2"/>
        <w:rPr>
          <w:rFonts w:hint="eastAsia" w:ascii="宋体" w:hAnsi="宋体" w:eastAsia="宋体" w:cs="宋体"/>
          <w:b/>
          <w:bCs/>
          <w:sz w:val="24"/>
          <w:szCs w:val="24"/>
        </w:rPr>
      </w:pPr>
      <w:r>
        <w:rPr>
          <w:rFonts w:hint="eastAsia" w:ascii="宋体" w:hAnsi="宋体" w:eastAsia="宋体" w:cs="宋体"/>
          <w:b/>
          <w:bCs/>
          <w:sz w:val="24"/>
          <w:szCs w:val="24"/>
        </w:rPr>
        <w:t>五、工程量清单控制价及图纸（另附）</w:t>
      </w:r>
    </w:p>
    <w:p w14:paraId="35766B39">
      <w:pPr>
        <w:spacing w:line="360" w:lineRule="auto"/>
        <w:ind w:firstLine="482" w:firstLineChars="200"/>
        <w:jc w:val="left"/>
        <w:outlineLvl w:val="2"/>
        <w:rPr>
          <w:rFonts w:hint="eastAsia" w:ascii="宋体" w:hAnsi="宋体" w:eastAsia="宋体" w:cs="宋体"/>
          <w:b/>
          <w:bCs/>
          <w:sz w:val="24"/>
          <w:szCs w:val="24"/>
          <w:lang w:val="en-US" w:eastAsia="zh-CN"/>
        </w:rPr>
      </w:pPr>
      <w:r>
        <w:rPr>
          <w:rFonts w:hint="eastAsia" w:ascii="宋体" w:hAnsi="宋体" w:eastAsia="宋体" w:cs="宋体"/>
          <w:b/>
          <w:bCs/>
          <w:sz w:val="24"/>
          <w:szCs w:val="24"/>
        </w:rPr>
        <w:t>六、</w:t>
      </w:r>
      <w:r>
        <w:rPr>
          <w:rFonts w:hint="eastAsia" w:ascii="宋体" w:hAnsi="宋体" w:eastAsia="宋体" w:cs="宋体"/>
          <w:b/>
          <w:bCs/>
          <w:sz w:val="24"/>
          <w:szCs w:val="24"/>
          <w:lang w:val="en-US" w:eastAsia="zh-CN"/>
        </w:rPr>
        <w:t>主要材料和产品推荐品牌表（仅供参考）</w:t>
      </w:r>
    </w:p>
    <w:tbl>
      <w:tblPr>
        <w:tblStyle w:val="5"/>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272"/>
        <w:gridCol w:w="4277"/>
        <w:gridCol w:w="2204"/>
      </w:tblGrid>
      <w:tr w14:paraId="19010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noWrap w:val="0"/>
            <w:vAlign w:val="center"/>
          </w:tcPr>
          <w:p w14:paraId="0FAF15B3">
            <w:pPr>
              <w:spacing w:line="360" w:lineRule="auto"/>
              <w:jc w:val="center"/>
              <w:rPr>
                <w:rFonts w:hint="eastAsia" w:ascii="宋体" w:hAnsi="宋体" w:eastAsia="宋体" w:cs="宋体"/>
                <w:bCs/>
                <w:szCs w:val="21"/>
              </w:rPr>
            </w:pPr>
            <w:r>
              <w:rPr>
                <w:rFonts w:hint="eastAsia" w:ascii="宋体" w:hAnsi="宋体" w:eastAsia="宋体" w:cs="宋体"/>
                <w:bCs/>
                <w:szCs w:val="21"/>
              </w:rPr>
              <w:t>序号</w:t>
            </w:r>
          </w:p>
        </w:tc>
        <w:tc>
          <w:tcPr>
            <w:tcW w:w="2272" w:type="dxa"/>
            <w:noWrap w:val="0"/>
            <w:vAlign w:val="center"/>
          </w:tcPr>
          <w:p w14:paraId="01605933">
            <w:pPr>
              <w:spacing w:line="360" w:lineRule="auto"/>
              <w:jc w:val="center"/>
              <w:rPr>
                <w:rFonts w:hint="eastAsia" w:ascii="宋体" w:hAnsi="宋体" w:eastAsia="宋体" w:cs="宋体"/>
                <w:bCs/>
                <w:szCs w:val="21"/>
              </w:rPr>
            </w:pPr>
            <w:r>
              <w:rPr>
                <w:rFonts w:hint="eastAsia" w:ascii="宋体" w:hAnsi="宋体" w:eastAsia="宋体" w:cs="宋体"/>
                <w:bCs/>
                <w:szCs w:val="21"/>
              </w:rPr>
              <w:t>名称</w:t>
            </w:r>
          </w:p>
        </w:tc>
        <w:tc>
          <w:tcPr>
            <w:tcW w:w="4277" w:type="dxa"/>
            <w:noWrap w:val="0"/>
            <w:vAlign w:val="center"/>
          </w:tcPr>
          <w:p w14:paraId="13BE87D1">
            <w:pPr>
              <w:spacing w:line="360" w:lineRule="auto"/>
              <w:jc w:val="center"/>
              <w:rPr>
                <w:rFonts w:hint="eastAsia" w:ascii="宋体" w:hAnsi="宋体" w:eastAsia="宋体" w:cs="宋体"/>
                <w:bCs/>
                <w:szCs w:val="21"/>
              </w:rPr>
            </w:pPr>
            <w:r>
              <w:rPr>
                <w:rFonts w:hint="eastAsia" w:ascii="宋体" w:hAnsi="宋体" w:eastAsia="宋体" w:cs="宋体"/>
                <w:bCs/>
                <w:szCs w:val="21"/>
              </w:rPr>
              <w:t>推荐品牌</w:t>
            </w:r>
          </w:p>
        </w:tc>
        <w:tc>
          <w:tcPr>
            <w:tcW w:w="2204" w:type="dxa"/>
            <w:noWrap w:val="0"/>
            <w:vAlign w:val="center"/>
          </w:tcPr>
          <w:p w14:paraId="1E26ED84">
            <w:pPr>
              <w:spacing w:line="360" w:lineRule="auto"/>
              <w:jc w:val="center"/>
              <w:rPr>
                <w:rFonts w:hint="eastAsia" w:ascii="宋体" w:hAnsi="宋体" w:eastAsia="宋体" w:cs="宋体"/>
                <w:bCs/>
                <w:szCs w:val="21"/>
              </w:rPr>
            </w:pPr>
            <w:r>
              <w:rPr>
                <w:rFonts w:hint="eastAsia" w:ascii="宋体" w:hAnsi="宋体" w:eastAsia="宋体" w:cs="宋体"/>
                <w:bCs/>
                <w:szCs w:val="21"/>
              </w:rPr>
              <w:t>备注</w:t>
            </w:r>
          </w:p>
        </w:tc>
      </w:tr>
      <w:tr w14:paraId="48A9B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101" w:type="dxa"/>
            <w:noWrap w:val="0"/>
            <w:vAlign w:val="center"/>
          </w:tcPr>
          <w:p w14:paraId="5EDE843D">
            <w:pPr>
              <w:spacing w:line="360" w:lineRule="auto"/>
              <w:jc w:val="center"/>
              <w:rPr>
                <w:rFonts w:hint="eastAsia" w:ascii="宋体" w:hAnsi="宋体" w:eastAsia="宋体" w:cs="宋体"/>
                <w:bCs/>
                <w:szCs w:val="21"/>
              </w:rPr>
            </w:pPr>
            <w:r>
              <w:rPr>
                <w:rFonts w:hint="eastAsia" w:ascii="宋体" w:hAnsi="宋体" w:eastAsia="宋体" w:cs="宋体"/>
                <w:bCs/>
                <w:szCs w:val="21"/>
              </w:rPr>
              <w:t>1</w:t>
            </w:r>
          </w:p>
        </w:tc>
        <w:tc>
          <w:tcPr>
            <w:tcW w:w="2272" w:type="dxa"/>
            <w:noWrap w:val="0"/>
            <w:vAlign w:val="center"/>
          </w:tcPr>
          <w:p w14:paraId="7C141470">
            <w:pPr>
              <w:spacing w:line="360" w:lineRule="auto"/>
              <w:jc w:val="center"/>
              <w:rPr>
                <w:rFonts w:hint="eastAsia" w:ascii="宋体" w:hAnsi="宋体" w:eastAsia="宋体" w:cs="宋体"/>
                <w:bCs/>
                <w:szCs w:val="21"/>
              </w:rPr>
            </w:pPr>
            <w:r>
              <w:rPr>
                <w:rFonts w:hint="eastAsia" w:ascii="宋体" w:hAnsi="宋体" w:eastAsia="宋体" w:cs="宋体"/>
                <w:bCs/>
                <w:szCs w:val="21"/>
              </w:rPr>
              <w:t>红色地胶楼地面</w:t>
            </w:r>
          </w:p>
        </w:tc>
        <w:tc>
          <w:tcPr>
            <w:tcW w:w="4277" w:type="dxa"/>
            <w:noWrap w:val="0"/>
            <w:vAlign w:val="center"/>
          </w:tcPr>
          <w:p w14:paraId="01E5BBCA">
            <w:pPr>
              <w:spacing w:line="360" w:lineRule="auto"/>
              <w:jc w:val="center"/>
              <w:rPr>
                <w:rFonts w:hint="eastAsia" w:ascii="宋体" w:hAnsi="宋体" w:eastAsia="宋体" w:cs="宋体"/>
                <w:bCs/>
                <w:szCs w:val="21"/>
              </w:rPr>
            </w:pPr>
            <w:r>
              <w:rPr>
                <w:rFonts w:hint="eastAsia" w:ascii="宋体" w:hAnsi="宋体" w:eastAsia="宋体" w:cs="宋体"/>
                <w:bCs/>
                <w:szCs w:val="21"/>
              </w:rPr>
              <w:t>英利奥、嘉华体育、长河体育、肯帝亚</w:t>
            </w:r>
          </w:p>
        </w:tc>
        <w:tc>
          <w:tcPr>
            <w:tcW w:w="2204" w:type="dxa"/>
            <w:vMerge w:val="restart"/>
            <w:noWrap w:val="0"/>
            <w:vAlign w:val="center"/>
          </w:tcPr>
          <w:p w14:paraId="13E50C58">
            <w:pPr>
              <w:jc w:val="center"/>
              <w:rPr>
                <w:rFonts w:hint="eastAsia" w:ascii="宋体" w:hAnsi="宋体" w:eastAsia="宋体" w:cs="宋体"/>
                <w:bCs/>
                <w:szCs w:val="21"/>
              </w:rPr>
            </w:pPr>
            <w:r>
              <w:rPr>
                <w:rFonts w:hint="eastAsia" w:ascii="宋体" w:hAnsi="宋体" w:eastAsia="宋体" w:cs="宋体"/>
                <w:bCs/>
                <w:szCs w:val="21"/>
              </w:rPr>
              <w:t>推荐品牌仅供参考，并无限制性。</w:t>
            </w:r>
            <w:r>
              <w:rPr>
                <w:rFonts w:hint="eastAsia" w:ascii="宋体" w:hAnsi="宋体" w:eastAsia="宋体" w:cs="宋体"/>
                <w:bCs/>
                <w:szCs w:val="21"/>
                <w:lang w:val="en-US" w:eastAsia="zh-CN"/>
              </w:rPr>
              <w:t>参选人</w:t>
            </w:r>
            <w:r>
              <w:rPr>
                <w:rFonts w:hint="eastAsia" w:ascii="宋体" w:hAnsi="宋体" w:eastAsia="宋体" w:cs="宋体"/>
                <w:bCs/>
                <w:szCs w:val="21"/>
              </w:rPr>
              <w:t>可以选用替代品牌，但这种替代应满足、等同或优于参考品牌，否则</w:t>
            </w:r>
            <w:r>
              <w:rPr>
                <w:rFonts w:hint="eastAsia" w:ascii="宋体" w:hAnsi="宋体" w:eastAsia="宋体" w:cs="宋体"/>
                <w:bCs/>
                <w:szCs w:val="21"/>
                <w:lang w:val="en-US" w:eastAsia="zh-CN"/>
              </w:rPr>
              <w:t>比选小组</w:t>
            </w:r>
            <w:r>
              <w:rPr>
                <w:rFonts w:hint="eastAsia" w:ascii="宋体" w:hAnsi="宋体" w:eastAsia="宋体" w:cs="宋体"/>
                <w:bCs/>
                <w:szCs w:val="21"/>
              </w:rPr>
              <w:t>在评审或评分时有权作出不利于</w:t>
            </w:r>
            <w:r>
              <w:rPr>
                <w:rFonts w:hint="eastAsia" w:ascii="宋体" w:hAnsi="宋体" w:eastAsia="宋体" w:cs="宋体"/>
                <w:bCs/>
                <w:szCs w:val="21"/>
                <w:lang w:val="en-US" w:eastAsia="zh-CN"/>
              </w:rPr>
              <w:t>参选人</w:t>
            </w:r>
            <w:r>
              <w:rPr>
                <w:rFonts w:hint="eastAsia" w:ascii="宋体" w:hAnsi="宋体" w:eastAsia="宋体" w:cs="宋体"/>
                <w:bCs/>
                <w:szCs w:val="21"/>
              </w:rPr>
              <w:t>的判定。</w:t>
            </w:r>
          </w:p>
        </w:tc>
      </w:tr>
      <w:tr w14:paraId="69FD5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101" w:type="dxa"/>
            <w:noWrap w:val="0"/>
            <w:vAlign w:val="center"/>
          </w:tcPr>
          <w:p w14:paraId="353ADE82">
            <w:pPr>
              <w:spacing w:line="360" w:lineRule="auto"/>
              <w:jc w:val="center"/>
              <w:rPr>
                <w:rFonts w:hint="eastAsia" w:ascii="宋体" w:hAnsi="宋体" w:eastAsia="宋体" w:cs="宋体"/>
                <w:bCs/>
                <w:szCs w:val="21"/>
              </w:rPr>
            </w:pPr>
            <w:r>
              <w:rPr>
                <w:rFonts w:hint="eastAsia" w:ascii="宋体" w:hAnsi="宋体" w:eastAsia="宋体" w:cs="宋体"/>
                <w:bCs/>
                <w:szCs w:val="21"/>
              </w:rPr>
              <w:t>2</w:t>
            </w:r>
          </w:p>
        </w:tc>
        <w:tc>
          <w:tcPr>
            <w:tcW w:w="2272" w:type="dxa"/>
            <w:noWrap w:val="0"/>
            <w:vAlign w:val="center"/>
          </w:tcPr>
          <w:p w14:paraId="1D885D3B">
            <w:pPr>
              <w:spacing w:line="360" w:lineRule="auto"/>
              <w:jc w:val="center"/>
              <w:rPr>
                <w:rFonts w:hint="eastAsia" w:ascii="宋体" w:hAnsi="宋体" w:eastAsia="宋体" w:cs="宋体"/>
                <w:bCs/>
                <w:szCs w:val="21"/>
              </w:rPr>
            </w:pPr>
            <w:r>
              <w:rPr>
                <w:rFonts w:hint="eastAsia" w:ascii="宋体" w:hAnsi="宋体" w:eastAsia="宋体" w:cs="宋体"/>
                <w:bCs/>
                <w:szCs w:val="21"/>
              </w:rPr>
              <w:t>乳胶漆</w:t>
            </w:r>
          </w:p>
        </w:tc>
        <w:tc>
          <w:tcPr>
            <w:tcW w:w="4277" w:type="dxa"/>
            <w:noWrap w:val="0"/>
            <w:vAlign w:val="center"/>
          </w:tcPr>
          <w:p w14:paraId="689D989C">
            <w:pPr>
              <w:spacing w:line="360" w:lineRule="auto"/>
              <w:jc w:val="center"/>
              <w:rPr>
                <w:rFonts w:hint="eastAsia" w:ascii="宋体" w:hAnsi="宋体" w:eastAsia="宋体" w:cs="宋体"/>
                <w:bCs/>
                <w:szCs w:val="21"/>
              </w:rPr>
            </w:pPr>
            <w:r>
              <w:rPr>
                <w:rFonts w:hint="eastAsia" w:ascii="宋体" w:hAnsi="宋体" w:eastAsia="宋体" w:cs="宋体"/>
                <w:bCs/>
                <w:szCs w:val="21"/>
              </w:rPr>
              <w:t>多乐士、华润、立邦</w:t>
            </w:r>
          </w:p>
        </w:tc>
        <w:tc>
          <w:tcPr>
            <w:tcW w:w="2204" w:type="dxa"/>
            <w:vMerge w:val="continue"/>
            <w:noWrap w:val="0"/>
            <w:vAlign w:val="center"/>
          </w:tcPr>
          <w:p w14:paraId="0A412416">
            <w:pPr>
              <w:spacing w:line="360" w:lineRule="auto"/>
              <w:jc w:val="center"/>
              <w:rPr>
                <w:rFonts w:hint="eastAsia" w:ascii="宋体" w:hAnsi="宋体" w:eastAsia="宋体" w:cs="宋体"/>
                <w:bCs/>
                <w:szCs w:val="21"/>
              </w:rPr>
            </w:pPr>
          </w:p>
        </w:tc>
      </w:tr>
      <w:tr w14:paraId="1A9AE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101" w:type="dxa"/>
            <w:noWrap w:val="0"/>
            <w:vAlign w:val="center"/>
          </w:tcPr>
          <w:p w14:paraId="3AA68952">
            <w:pPr>
              <w:spacing w:line="360" w:lineRule="auto"/>
              <w:jc w:val="center"/>
              <w:rPr>
                <w:rFonts w:hint="eastAsia" w:ascii="宋体" w:hAnsi="宋体" w:eastAsia="宋体" w:cs="宋体"/>
                <w:bCs/>
                <w:szCs w:val="21"/>
              </w:rPr>
            </w:pPr>
            <w:r>
              <w:rPr>
                <w:rFonts w:hint="eastAsia" w:ascii="宋体" w:hAnsi="宋体" w:eastAsia="宋体" w:cs="宋体"/>
                <w:bCs/>
                <w:szCs w:val="21"/>
              </w:rPr>
              <w:t>3</w:t>
            </w:r>
          </w:p>
        </w:tc>
        <w:tc>
          <w:tcPr>
            <w:tcW w:w="2272" w:type="dxa"/>
            <w:noWrap w:val="0"/>
            <w:vAlign w:val="center"/>
          </w:tcPr>
          <w:p w14:paraId="643D6ABC">
            <w:pPr>
              <w:spacing w:line="360" w:lineRule="auto"/>
              <w:jc w:val="center"/>
              <w:rPr>
                <w:rFonts w:hint="eastAsia" w:ascii="宋体" w:hAnsi="宋体" w:eastAsia="宋体" w:cs="宋体"/>
                <w:bCs/>
                <w:szCs w:val="21"/>
              </w:rPr>
            </w:pPr>
            <w:r>
              <w:rPr>
                <w:rFonts w:hint="eastAsia" w:ascii="宋体" w:hAnsi="宋体" w:eastAsia="宋体" w:cs="宋体"/>
                <w:bCs/>
                <w:szCs w:val="21"/>
              </w:rPr>
              <w:t>防水材料</w:t>
            </w:r>
          </w:p>
        </w:tc>
        <w:tc>
          <w:tcPr>
            <w:tcW w:w="4277" w:type="dxa"/>
            <w:noWrap w:val="0"/>
            <w:vAlign w:val="center"/>
          </w:tcPr>
          <w:p w14:paraId="1D4ADB83">
            <w:pPr>
              <w:spacing w:line="360" w:lineRule="auto"/>
              <w:jc w:val="center"/>
              <w:rPr>
                <w:rFonts w:hint="eastAsia" w:ascii="宋体" w:hAnsi="宋体" w:eastAsia="宋体" w:cs="宋体"/>
                <w:bCs/>
                <w:szCs w:val="21"/>
              </w:rPr>
            </w:pPr>
            <w:r>
              <w:rPr>
                <w:rFonts w:hint="eastAsia" w:ascii="宋体" w:hAnsi="宋体" w:eastAsia="宋体" w:cs="宋体"/>
                <w:bCs/>
                <w:szCs w:val="21"/>
              </w:rPr>
              <w:t>东方雨虹、禹王、华亚</w:t>
            </w:r>
          </w:p>
        </w:tc>
        <w:tc>
          <w:tcPr>
            <w:tcW w:w="2204" w:type="dxa"/>
            <w:vMerge w:val="continue"/>
            <w:noWrap w:val="0"/>
            <w:vAlign w:val="center"/>
          </w:tcPr>
          <w:p w14:paraId="475579A7">
            <w:pPr>
              <w:spacing w:line="360" w:lineRule="auto"/>
              <w:jc w:val="center"/>
              <w:rPr>
                <w:rFonts w:hint="eastAsia" w:ascii="宋体" w:hAnsi="宋体" w:eastAsia="宋体" w:cs="宋体"/>
                <w:bCs/>
                <w:szCs w:val="21"/>
              </w:rPr>
            </w:pPr>
          </w:p>
        </w:tc>
      </w:tr>
      <w:tr w14:paraId="388D4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101" w:type="dxa"/>
            <w:noWrap w:val="0"/>
            <w:vAlign w:val="center"/>
          </w:tcPr>
          <w:p w14:paraId="128F74FC">
            <w:pPr>
              <w:spacing w:line="360" w:lineRule="auto"/>
              <w:jc w:val="center"/>
              <w:rPr>
                <w:rFonts w:hint="eastAsia" w:ascii="宋体" w:hAnsi="宋体" w:eastAsia="宋体" w:cs="宋体"/>
                <w:bCs/>
                <w:szCs w:val="21"/>
              </w:rPr>
            </w:pPr>
            <w:r>
              <w:rPr>
                <w:rFonts w:hint="eastAsia" w:ascii="宋体" w:hAnsi="宋体" w:eastAsia="宋体" w:cs="宋体"/>
                <w:bCs/>
                <w:szCs w:val="21"/>
              </w:rPr>
              <w:t>4</w:t>
            </w:r>
          </w:p>
        </w:tc>
        <w:tc>
          <w:tcPr>
            <w:tcW w:w="2272" w:type="dxa"/>
            <w:noWrap w:val="0"/>
            <w:vAlign w:val="center"/>
          </w:tcPr>
          <w:p w14:paraId="4E49FE6A">
            <w:pPr>
              <w:spacing w:line="360" w:lineRule="auto"/>
              <w:jc w:val="center"/>
              <w:rPr>
                <w:rFonts w:hint="eastAsia" w:ascii="宋体" w:hAnsi="宋体" w:eastAsia="宋体" w:cs="宋体"/>
                <w:bCs/>
                <w:szCs w:val="21"/>
              </w:rPr>
            </w:pPr>
            <w:r>
              <w:rPr>
                <w:rFonts w:hint="eastAsia" w:ascii="宋体" w:hAnsi="宋体" w:eastAsia="宋体" w:cs="宋体"/>
                <w:bCs/>
                <w:szCs w:val="21"/>
              </w:rPr>
              <w:t>门锁</w:t>
            </w:r>
          </w:p>
        </w:tc>
        <w:tc>
          <w:tcPr>
            <w:tcW w:w="4277" w:type="dxa"/>
            <w:noWrap w:val="0"/>
            <w:vAlign w:val="center"/>
          </w:tcPr>
          <w:p w14:paraId="51B6BC62">
            <w:pPr>
              <w:spacing w:line="360" w:lineRule="auto"/>
              <w:jc w:val="center"/>
              <w:rPr>
                <w:rFonts w:hint="eastAsia" w:ascii="宋体" w:hAnsi="宋体" w:eastAsia="宋体" w:cs="宋体"/>
                <w:bCs/>
                <w:szCs w:val="21"/>
              </w:rPr>
            </w:pPr>
            <w:r>
              <w:rPr>
                <w:rFonts w:hint="eastAsia" w:ascii="宋体" w:hAnsi="宋体" w:eastAsia="宋体" w:cs="宋体"/>
                <w:bCs/>
                <w:szCs w:val="21"/>
              </w:rPr>
              <w:t>德施曼、萤石、凯迪仕</w:t>
            </w:r>
          </w:p>
        </w:tc>
        <w:tc>
          <w:tcPr>
            <w:tcW w:w="2204" w:type="dxa"/>
            <w:vMerge w:val="continue"/>
            <w:noWrap w:val="0"/>
            <w:vAlign w:val="center"/>
          </w:tcPr>
          <w:p w14:paraId="7A795C34">
            <w:pPr>
              <w:spacing w:line="360" w:lineRule="auto"/>
              <w:jc w:val="center"/>
              <w:rPr>
                <w:rFonts w:hint="eastAsia" w:ascii="宋体" w:hAnsi="宋体" w:eastAsia="宋体" w:cs="宋体"/>
                <w:bCs/>
                <w:szCs w:val="21"/>
              </w:rPr>
            </w:pPr>
          </w:p>
        </w:tc>
      </w:tr>
      <w:tr w14:paraId="05AE2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101" w:type="dxa"/>
            <w:noWrap w:val="0"/>
            <w:vAlign w:val="center"/>
          </w:tcPr>
          <w:p w14:paraId="0A24EBF7">
            <w:pPr>
              <w:spacing w:line="360" w:lineRule="auto"/>
              <w:jc w:val="center"/>
              <w:rPr>
                <w:rFonts w:hint="eastAsia" w:ascii="宋体" w:hAnsi="宋体" w:eastAsia="宋体" w:cs="宋体"/>
                <w:bCs/>
                <w:szCs w:val="21"/>
              </w:rPr>
            </w:pPr>
            <w:r>
              <w:rPr>
                <w:rFonts w:hint="eastAsia" w:ascii="宋体" w:hAnsi="宋体" w:eastAsia="宋体" w:cs="宋体"/>
                <w:bCs/>
                <w:szCs w:val="21"/>
              </w:rPr>
              <w:t>5</w:t>
            </w:r>
          </w:p>
        </w:tc>
        <w:tc>
          <w:tcPr>
            <w:tcW w:w="2272" w:type="dxa"/>
            <w:noWrap w:val="0"/>
            <w:vAlign w:val="center"/>
          </w:tcPr>
          <w:p w14:paraId="099E319D">
            <w:pPr>
              <w:spacing w:line="360" w:lineRule="auto"/>
              <w:jc w:val="center"/>
              <w:rPr>
                <w:rFonts w:hint="eastAsia" w:ascii="宋体" w:hAnsi="宋体" w:eastAsia="宋体" w:cs="宋体"/>
                <w:bCs/>
                <w:szCs w:val="21"/>
              </w:rPr>
            </w:pPr>
            <w:r>
              <w:rPr>
                <w:rFonts w:hint="eastAsia" w:ascii="宋体" w:hAnsi="宋体" w:eastAsia="宋体" w:cs="宋体"/>
                <w:bCs/>
                <w:szCs w:val="21"/>
              </w:rPr>
              <w:t>瓷砖</w:t>
            </w:r>
          </w:p>
        </w:tc>
        <w:tc>
          <w:tcPr>
            <w:tcW w:w="4277" w:type="dxa"/>
            <w:noWrap w:val="0"/>
            <w:vAlign w:val="center"/>
          </w:tcPr>
          <w:p w14:paraId="065FE05B">
            <w:pPr>
              <w:spacing w:line="360" w:lineRule="auto"/>
              <w:jc w:val="center"/>
              <w:rPr>
                <w:rFonts w:hint="eastAsia" w:ascii="宋体" w:hAnsi="宋体" w:eastAsia="宋体" w:cs="宋体"/>
                <w:bCs/>
                <w:szCs w:val="21"/>
              </w:rPr>
            </w:pPr>
            <w:r>
              <w:rPr>
                <w:rFonts w:hint="eastAsia" w:ascii="宋体" w:hAnsi="宋体" w:eastAsia="宋体" w:cs="宋体"/>
                <w:bCs/>
                <w:szCs w:val="21"/>
              </w:rPr>
              <w:t>东鹏、马可波罗、蒙娜丽莎</w:t>
            </w:r>
          </w:p>
        </w:tc>
        <w:tc>
          <w:tcPr>
            <w:tcW w:w="2204" w:type="dxa"/>
            <w:vMerge w:val="continue"/>
            <w:noWrap w:val="0"/>
            <w:vAlign w:val="center"/>
          </w:tcPr>
          <w:p w14:paraId="091B2CF4">
            <w:pPr>
              <w:spacing w:line="360" w:lineRule="auto"/>
              <w:jc w:val="center"/>
              <w:rPr>
                <w:rFonts w:hint="eastAsia" w:ascii="宋体" w:hAnsi="宋体" w:eastAsia="宋体" w:cs="宋体"/>
                <w:bCs/>
                <w:szCs w:val="21"/>
              </w:rPr>
            </w:pPr>
          </w:p>
        </w:tc>
      </w:tr>
      <w:tr w14:paraId="6DD38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101" w:type="dxa"/>
            <w:noWrap w:val="0"/>
            <w:vAlign w:val="center"/>
          </w:tcPr>
          <w:p w14:paraId="4591D76E">
            <w:pPr>
              <w:spacing w:line="360" w:lineRule="auto"/>
              <w:jc w:val="center"/>
              <w:rPr>
                <w:rFonts w:hint="eastAsia" w:ascii="宋体" w:hAnsi="宋体" w:eastAsia="宋体" w:cs="宋体"/>
                <w:bCs/>
                <w:szCs w:val="21"/>
              </w:rPr>
            </w:pPr>
            <w:r>
              <w:rPr>
                <w:rFonts w:hint="eastAsia" w:ascii="宋体" w:hAnsi="宋体" w:eastAsia="宋体" w:cs="宋体"/>
                <w:bCs/>
                <w:szCs w:val="21"/>
              </w:rPr>
              <w:t>6</w:t>
            </w:r>
          </w:p>
        </w:tc>
        <w:tc>
          <w:tcPr>
            <w:tcW w:w="2272" w:type="dxa"/>
            <w:noWrap w:val="0"/>
            <w:vAlign w:val="center"/>
          </w:tcPr>
          <w:p w14:paraId="6EA31899">
            <w:pPr>
              <w:spacing w:line="360" w:lineRule="auto"/>
              <w:jc w:val="center"/>
              <w:rPr>
                <w:rFonts w:hint="eastAsia" w:ascii="宋体" w:hAnsi="宋体" w:eastAsia="宋体" w:cs="宋体"/>
                <w:bCs/>
                <w:szCs w:val="21"/>
              </w:rPr>
            </w:pPr>
            <w:r>
              <w:rPr>
                <w:rFonts w:hint="eastAsia" w:ascii="宋体" w:hAnsi="宋体" w:eastAsia="宋体" w:cs="宋体"/>
                <w:bCs/>
                <w:szCs w:val="21"/>
              </w:rPr>
              <w:t>荧光灯、工厂灯</w:t>
            </w:r>
          </w:p>
        </w:tc>
        <w:tc>
          <w:tcPr>
            <w:tcW w:w="4277" w:type="dxa"/>
            <w:noWrap w:val="0"/>
            <w:vAlign w:val="center"/>
          </w:tcPr>
          <w:p w14:paraId="5DF4B95F">
            <w:pPr>
              <w:spacing w:line="360" w:lineRule="auto"/>
              <w:jc w:val="center"/>
              <w:rPr>
                <w:rFonts w:hint="eastAsia" w:ascii="宋体" w:hAnsi="宋体" w:eastAsia="宋体" w:cs="宋体"/>
                <w:bCs/>
                <w:szCs w:val="21"/>
              </w:rPr>
            </w:pPr>
            <w:r>
              <w:rPr>
                <w:rFonts w:hint="eastAsia" w:ascii="宋体" w:hAnsi="宋体" w:eastAsia="宋体" w:cs="宋体"/>
                <w:bCs/>
                <w:szCs w:val="21"/>
              </w:rPr>
              <w:t>佛山照明、欧普、三雄极光、飞利浦(Philips)、雷士</w:t>
            </w:r>
          </w:p>
        </w:tc>
        <w:tc>
          <w:tcPr>
            <w:tcW w:w="2204" w:type="dxa"/>
            <w:vMerge w:val="continue"/>
            <w:noWrap w:val="0"/>
            <w:vAlign w:val="center"/>
          </w:tcPr>
          <w:p w14:paraId="7DAFA294">
            <w:pPr>
              <w:spacing w:line="360" w:lineRule="auto"/>
              <w:jc w:val="center"/>
              <w:rPr>
                <w:rFonts w:hint="eastAsia" w:ascii="宋体" w:hAnsi="宋体" w:eastAsia="宋体" w:cs="宋体"/>
                <w:bCs/>
                <w:szCs w:val="21"/>
              </w:rPr>
            </w:pPr>
          </w:p>
        </w:tc>
      </w:tr>
      <w:tr w14:paraId="69DEF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101" w:type="dxa"/>
            <w:noWrap w:val="0"/>
            <w:vAlign w:val="center"/>
          </w:tcPr>
          <w:p w14:paraId="3BF47ACA">
            <w:pPr>
              <w:spacing w:line="360" w:lineRule="auto"/>
              <w:jc w:val="center"/>
              <w:rPr>
                <w:rFonts w:hint="eastAsia" w:ascii="宋体" w:hAnsi="宋体" w:eastAsia="宋体" w:cs="宋体"/>
                <w:bCs/>
                <w:szCs w:val="21"/>
              </w:rPr>
            </w:pPr>
            <w:r>
              <w:rPr>
                <w:rFonts w:hint="eastAsia" w:ascii="宋体" w:hAnsi="宋体" w:eastAsia="宋体" w:cs="宋体"/>
                <w:bCs/>
                <w:szCs w:val="21"/>
              </w:rPr>
              <w:t>7</w:t>
            </w:r>
          </w:p>
        </w:tc>
        <w:tc>
          <w:tcPr>
            <w:tcW w:w="2272" w:type="dxa"/>
            <w:noWrap w:val="0"/>
            <w:vAlign w:val="center"/>
          </w:tcPr>
          <w:p w14:paraId="7AAE524D">
            <w:pPr>
              <w:spacing w:line="360" w:lineRule="auto"/>
              <w:jc w:val="center"/>
              <w:rPr>
                <w:rFonts w:hint="eastAsia" w:ascii="宋体" w:hAnsi="宋体" w:eastAsia="宋体" w:cs="宋体"/>
                <w:bCs/>
                <w:szCs w:val="21"/>
              </w:rPr>
            </w:pPr>
            <w:r>
              <w:rPr>
                <w:rFonts w:hint="eastAsia" w:ascii="宋体" w:hAnsi="宋体" w:eastAsia="宋体" w:cs="宋体"/>
                <w:bCs/>
                <w:szCs w:val="21"/>
              </w:rPr>
              <w:t>大便器、小便器</w:t>
            </w:r>
          </w:p>
        </w:tc>
        <w:tc>
          <w:tcPr>
            <w:tcW w:w="4277" w:type="dxa"/>
            <w:noWrap w:val="0"/>
            <w:vAlign w:val="center"/>
          </w:tcPr>
          <w:p w14:paraId="485DE232">
            <w:pPr>
              <w:spacing w:line="360" w:lineRule="auto"/>
              <w:jc w:val="center"/>
              <w:rPr>
                <w:rFonts w:hint="eastAsia" w:ascii="宋体" w:hAnsi="宋体" w:eastAsia="宋体" w:cs="宋体"/>
                <w:bCs/>
                <w:szCs w:val="21"/>
              </w:rPr>
            </w:pPr>
            <w:r>
              <w:rPr>
                <w:rFonts w:hint="eastAsia" w:ascii="宋体" w:hAnsi="宋体" w:eastAsia="宋体" w:cs="宋体"/>
                <w:bCs/>
                <w:szCs w:val="21"/>
              </w:rPr>
              <w:t>恒洁、ToTo、箭牌、九牧</w:t>
            </w:r>
          </w:p>
        </w:tc>
        <w:tc>
          <w:tcPr>
            <w:tcW w:w="2204" w:type="dxa"/>
            <w:vMerge w:val="continue"/>
            <w:noWrap w:val="0"/>
            <w:vAlign w:val="center"/>
          </w:tcPr>
          <w:p w14:paraId="65190037">
            <w:pPr>
              <w:spacing w:line="360" w:lineRule="auto"/>
              <w:jc w:val="center"/>
              <w:rPr>
                <w:rFonts w:hint="eastAsia" w:ascii="宋体" w:hAnsi="宋体" w:eastAsia="宋体" w:cs="宋体"/>
                <w:bCs/>
                <w:szCs w:val="21"/>
              </w:rPr>
            </w:pPr>
          </w:p>
        </w:tc>
      </w:tr>
      <w:tr w14:paraId="05D3D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101" w:type="dxa"/>
            <w:noWrap w:val="0"/>
            <w:vAlign w:val="center"/>
          </w:tcPr>
          <w:p w14:paraId="02E6DC12">
            <w:pPr>
              <w:spacing w:line="360" w:lineRule="auto"/>
              <w:jc w:val="center"/>
              <w:rPr>
                <w:rFonts w:hint="eastAsia" w:ascii="宋体" w:hAnsi="宋体" w:eastAsia="宋体" w:cs="宋体"/>
                <w:bCs/>
                <w:szCs w:val="21"/>
              </w:rPr>
            </w:pPr>
            <w:r>
              <w:rPr>
                <w:rFonts w:hint="eastAsia" w:ascii="宋体" w:hAnsi="宋体" w:eastAsia="宋体" w:cs="宋体"/>
                <w:bCs/>
                <w:szCs w:val="21"/>
              </w:rPr>
              <w:t>8</w:t>
            </w:r>
          </w:p>
        </w:tc>
        <w:tc>
          <w:tcPr>
            <w:tcW w:w="2272" w:type="dxa"/>
            <w:noWrap w:val="0"/>
            <w:vAlign w:val="center"/>
          </w:tcPr>
          <w:p w14:paraId="6B049229">
            <w:pPr>
              <w:spacing w:line="360" w:lineRule="auto"/>
              <w:jc w:val="center"/>
              <w:rPr>
                <w:rFonts w:hint="eastAsia" w:ascii="宋体" w:hAnsi="宋体" w:eastAsia="宋体" w:cs="宋体"/>
                <w:bCs/>
                <w:szCs w:val="21"/>
              </w:rPr>
            </w:pPr>
            <w:r>
              <w:rPr>
                <w:rFonts w:hint="eastAsia" w:ascii="宋体" w:hAnsi="宋体" w:eastAsia="宋体" w:cs="宋体"/>
                <w:bCs/>
                <w:szCs w:val="21"/>
              </w:rPr>
              <w:t>热水器、开水炉</w:t>
            </w:r>
          </w:p>
        </w:tc>
        <w:tc>
          <w:tcPr>
            <w:tcW w:w="4277" w:type="dxa"/>
            <w:noWrap w:val="0"/>
            <w:vAlign w:val="center"/>
          </w:tcPr>
          <w:p w14:paraId="65111C51">
            <w:pPr>
              <w:spacing w:line="360" w:lineRule="auto"/>
              <w:jc w:val="center"/>
              <w:rPr>
                <w:rFonts w:hint="eastAsia" w:ascii="宋体" w:hAnsi="宋体" w:eastAsia="宋体" w:cs="宋体"/>
                <w:bCs/>
                <w:szCs w:val="21"/>
              </w:rPr>
            </w:pPr>
            <w:r>
              <w:rPr>
                <w:rFonts w:hint="eastAsia" w:ascii="宋体" w:hAnsi="宋体" w:eastAsia="宋体" w:cs="宋体"/>
                <w:bCs/>
                <w:szCs w:val="21"/>
              </w:rPr>
              <w:t>美的、海尔、AO史密斯</w:t>
            </w:r>
          </w:p>
        </w:tc>
        <w:tc>
          <w:tcPr>
            <w:tcW w:w="2204" w:type="dxa"/>
            <w:vMerge w:val="continue"/>
            <w:noWrap w:val="0"/>
            <w:vAlign w:val="center"/>
          </w:tcPr>
          <w:p w14:paraId="629141A7">
            <w:pPr>
              <w:spacing w:line="360" w:lineRule="auto"/>
              <w:jc w:val="center"/>
              <w:rPr>
                <w:rFonts w:hint="eastAsia" w:ascii="宋体" w:hAnsi="宋体" w:eastAsia="宋体" w:cs="宋体"/>
                <w:bCs/>
                <w:szCs w:val="21"/>
              </w:rPr>
            </w:pPr>
          </w:p>
        </w:tc>
      </w:tr>
    </w:tbl>
    <w:p w14:paraId="6B266CFB">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宋体">
    <w:panose1 w:val="02010600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95349"/>
    <w:rsid w:val="6C6953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annotation text"/>
    <w:basedOn w:val="1"/>
    <w:unhideWhenUsed/>
    <w:uiPriority w:val="99"/>
    <w:pPr>
      <w:jc w:val="left"/>
    </w:pPr>
    <w:rPr>
      <w:rFonts w:eastAsia="宋体" w:cs="Times New Roman"/>
    </w:rPr>
  </w:style>
  <w:style w:type="paragraph" w:styleId="3">
    <w:name w:val="Body Text"/>
    <w:basedOn w:val="1"/>
    <w:qFormat/>
    <w:uiPriority w:val="0"/>
    <w:pPr>
      <w:spacing w:after="120"/>
    </w:pPr>
    <w:rPr>
      <w:rFonts w:ascii="@微软简标宋" w:hAnsi="@微软简标宋" w:eastAsia="@微软简标宋" w:cs="@微软简标宋"/>
      <w:szCs w:val="24"/>
      <w:lang w:val="zh-CN"/>
    </w:rPr>
  </w:style>
  <w:style w:type="paragraph" w:styleId="4">
    <w:name w:val="Body Text First Indent"/>
    <w:basedOn w:val="3"/>
    <w:unhideWhenUsed/>
    <w:qFormat/>
    <w:uiPriority w:val="99"/>
    <w:pPr>
      <w:ind w:firstLine="420" w:firstLineChars="100"/>
    </w:p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2025-04-17T06:57:00Z</dcterms:created>
  <dc:creator>森</dc:creator>
  <cp:lastModifiedBy>森</cp:lastModifiedBy>
  <dcterms:modified xsi:type="dcterms:W3CDTF">2025-04-17T06:58:11Z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54A5C9F384DA4679A34265A3A52BDAFD_11</vt:lpwstr>
  </property>
  <property fmtid="{D5CDD505-2E9C-101B-9397-08002B2CF9AE}" pid="4" name="KSOTemplateDocerSaveRecord">
    <vt:lpwstr>eyJoZGlkIjoiOTc3M2Y5NzIzMDFlZjAyY2Q4Njk5ODkyYjFjNzBiNTQiLCJ1c2VySWQiOiI0MzAwMTYzNzkifQ==</vt:lpwstr>
  </property>
</Properties>
</file>