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AE5BF3">
      <w:pPr>
        <w:wordWrap w:val="0"/>
        <w:spacing w:line="360" w:lineRule="auto"/>
        <w:jc w:val="center"/>
        <w:outlineLvl w:val="1"/>
        <w:rPr>
          <w:rFonts w:hint="eastAsia" w:ascii="华文中宋" w:hAnsi="华文中宋" w:eastAsia="华文中宋" w:cs="Times New Roman"/>
          <w:b/>
          <w:bCs/>
          <w:kern w:val="44"/>
          <w:sz w:val="44"/>
          <w:szCs w:val="44"/>
        </w:rPr>
      </w:pPr>
      <w:bookmarkStart w:id="0" w:name="_Toc17224"/>
      <w:r>
        <w:rPr>
          <w:rFonts w:hint="eastAsia" w:ascii="华文中宋" w:hAnsi="华文中宋" w:eastAsia="华文中宋" w:cs="Times New Roman"/>
          <w:b/>
          <w:bCs/>
          <w:kern w:val="44"/>
          <w:sz w:val="44"/>
          <w:szCs w:val="44"/>
        </w:rPr>
        <w:t>第三章  采购需求</w:t>
      </w:r>
      <w:bookmarkEnd w:id="0"/>
    </w:p>
    <w:p w14:paraId="3BC8DCA1">
      <w:pPr>
        <w:wordWrap w:val="0"/>
        <w:spacing w:line="360" w:lineRule="auto"/>
        <w:rPr>
          <w:rFonts w:hint="eastAsia" w:ascii="宋体" w:hAnsi="宋体" w:eastAsia="宋体" w:cs="宋体"/>
          <w:b/>
          <w:sz w:val="24"/>
          <w:szCs w:val="24"/>
        </w:rPr>
      </w:pPr>
      <w:r>
        <w:rPr>
          <w:rFonts w:hint="eastAsia" w:ascii="宋体" w:hAnsi="宋体" w:eastAsia="宋体" w:cs="宋体"/>
          <w:b/>
          <w:sz w:val="24"/>
          <w:szCs w:val="24"/>
        </w:rPr>
        <w:t>前注：</w:t>
      </w:r>
    </w:p>
    <w:p w14:paraId="05CE6B35">
      <w:pPr>
        <w:wordWrap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1.本采购需求中提出的工程实施方案仅为参考，如无明确限制，参选人可以进行优化，提供满足比选人实际需要的更优（或者性能实质上不低于的）工程实施方案，且此方案须经评审小组评审认可。</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291"/>
        <w:gridCol w:w="6355"/>
      </w:tblGrid>
      <w:tr w14:paraId="01B5B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0" w:type="dxa"/>
            <w:noWrap w:val="0"/>
            <w:vAlign w:val="center"/>
          </w:tcPr>
          <w:p w14:paraId="5F87A082">
            <w:pPr>
              <w:wordWrap w:val="0"/>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1291" w:type="dxa"/>
            <w:noWrap w:val="0"/>
            <w:vAlign w:val="center"/>
          </w:tcPr>
          <w:p w14:paraId="3F150BA4">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内容</w:t>
            </w:r>
          </w:p>
        </w:tc>
        <w:tc>
          <w:tcPr>
            <w:tcW w:w="6355" w:type="dxa"/>
            <w:noWrap w:val="0"/>
            <w:vAlign w:val="center"/>
          </w:tcPr>
          <w:p w14:paraId="78DA64EA">
            <w:pPr>
              <w:wordWrap w:val="0"/>
              <w:spacing w:line="360" w:lineRule="auto"/>
              <w:ind w:firstLine="435"/>
              <w:jc w:val="center"/>
              <w:rPr>
                <w:rFonts w:hint="eastAsia" w:ascii="宋体" w:hAnsi="宋体" w:eastAsia="宋体" w:cs="宋体"/>
                <w:b/>
                <w:sz w:val="24"/>
                <w:szCs w:val="24"/>
              </w:rPr>
            </w:pPr>
            <w:r>
              <w:rPr>
                <w:rFonts w:hint="eastAsia" w:ascii="宋体" w:hAnsi="宋体" w:eastAsia="宋体" w:cs="宋体"/>
                <w:b/>
                <w:sz w:val="24"/>
                <w:szCs w:val="24"/>
              </w:rPr>
              <w:t>说明和要求</w:t>
            </w:r>
          </w:p>
        </w:tc>
      </w:tr>
      <w:tr w14:paraId="3EE1D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0F81C03">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1</w:t>
            </w:r>
          </w:p>
        </w:tc>
        <w:tc>
          <w:tcPr>
            <w:tcW w:w="1291" w:type="dxa"/>
            <w:noWrap w:val="0"/>
            <w:vAlign w:val="center"/>
          </w:tcPr>
          <w:p w14:paraId="2393490A">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工程地点</w:t>
            </w:r>
          </w:p>
        </w:tc>
        <w:tc>
          <w:tcPr>
            <w:tcW w:w="6355" w:type="dxa"/>
            <w:noWrap w:val="0"/>
            <w:vAlign w:val="center"/>
          </w:tcPr>
          <w:p w14:paraId="044E9AC5">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安徽医科大学新医科中心（新校区）或比选人指定地点。</w:t>
            </w:r>
          </w:p>
        </w:tc>
      </w:tr>
      <w:tr w14:paraId="2877E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728C690">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2</w:t>
            </w:r>
          </w:p>
        </w:tc>
        <w:tc>
          <w:tcPr>
            <w:tcW w:w="1291" w:type="dxa"/>
            <w:noWrap w:val="0"/>
            <w:vAlign w:val="center"/>
          </w:tcPr>
          <w:p w14:paraId="194C215E">
            <w:pPr>
              <w:wordWrap w:val="0"/>
              <w:spacing w:line="360" w:lineRule="auto"/>
              <w:rPr>
                <w:rFonts w:hint="eastAsia" w:ascii="宋体" w:hAnsi="宋体" w:eastAsia="宋体" w:cs="宋体"/>
                <w:b/>
                <w:sz w:val="24"/>
                <w:szCs w:val="24"/>
              </w:rPr>
            </w:pPr>
            <w:r>
              <w:rPr>
                <w:rFonts w:hint="eastAsia" w:ascii="宋体" w:hAnsi="宋体" w:eastAsia="宋体" w:cs="宋体"/>
                <w:bCs/>
                <w:sz w:val="24"/>
                <w:szCs w:val="24"/>
              </w:rPr>
              <w:t>计划工期</w:t>
            </w:r>
          </w:p>
        </w:tc>
        <w:tc>
          <w:tcPr>
            <w:tcW w:w="6355" w:type="dxa"/>
            <w:noWrap w:val="0"/>
            <w:vAlign w:val="center"/>
          </w:tcPr>
          <w:p w14:paraId="2C9114F5">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lang w:eastAsia="zh-CN"/>
              </w:rPr>
              <w:t>合同签订接比选人通知后30日历天</w:t>
            </w:r>
            <w:r>
              <w:rPr>
                <w:rFonts w:hint="eastAsia" w:ascii="宋体" w:hAnsi="宋体" w:eastAsia="宋体" w:cs="宋体"/>
                <w:bCs/>
                <w:sz w:val="24"/>
                <w:szCs w:val="24"/>
              </w:rPr>
              <w:t>。</w:t>
            </w:r>
          </w:p>
        </w:tc>
      </w:tr>
      <w:tr w14:paraId="30677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73943474">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3</w:t>
            </w:r>
          </w:p>
        </w:tc>
        <w:tc>
          <w:tcPr>
            <w:tcW w:w="1291" w:type="dxa"/>
            <w:noWrap w:val="0"/>
            <w:vAlign w:val="center"/>
          </w:tcPr>
          <w:p w14:paraId="267B9297">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工程质量</w:t>
            </w:r>
          </w:p>
        </w:tc>
        <w:tc>
          <w:tcPr>
            <w:tcW w:w="6355" w:type="dxa"/>
            <w:noWrap w:val="0"/>
            <w:vAlign w:val="center"/>
          </w:tcPr>
          <w:p w14:paraId="0008A55A">
            <w:pPr>
              <w:wordWrap w:val="0"/>
              <w:spacing w:line="360" w:lineRule="auto"/>
              <w:rPr>
                <w:rFonts w:hint="eastAsia" w:ascii="宋体" w:hAnsi="宋体" w:eastAsia="宋体" w:cs="宋体"/>
                <w:bCs/>
                <w:sz w:val="24"/>
                <w:szCs w:val="24"/>
              </w:rPr>
            </w:pPr>
            <w:r>
              <w:rPr>
                <w:rFonts w:hint="eastAsia" w:ascii="宋体" w:hAnsi="宋体" w:eastAsia="宋体" w:cs="宋体"/>
                <w:bCs/>
                <w:sz w:val="24"/>
                <w:szCs w:val="24"/>
              </w:rPr>
              <w:t>合格</w:t>
            </w:r>
          </w:p>
        </w:tc>
      </w:tr>
      <w:tr w14:paraId="2EF16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8AE381A">
            <w:pPr>
              <w:wordWrap w:val="0"/>
              <w:spacing w:line="360" w:lineRule="auto"/>
              <w:jc w:val="center"/>
              <w:rPr>
                <w:rFonts w:hint="eastAsia" w:ascii="宋体" w:hAnsi="宋体" w:eastAsia="宋体" w:cs="宋体"/>
                <w:b/>
                <w:sz w:val="24"/>
                <w:szCs w:val="24"/>
              </w:rPr>
            </w:pPr>
            <w:r>
              <w:rPr>
                <w:rFonts w:hint="eastAsia" w:ascii="宋体" w:hAnsi="宋体" w:eastAsia="宋体" w:cs="宋体"/>
                <w:bCs/>
                <w:sz w:val="24"/>
                <w:szCs w:val="24"/>
              </w:rPr>
              <w:t>4</w:t>
            </w:r>
          </w:p>
        </w:tc>
        <w:tc>
          <w:tcPr>
            <w:tcW w:w="1291" w:type="dxa"/>
            <w:noWrap w:val="0"/>
            <w:vAlign w:val="center"/>
          </w:tcPr>
          <w:p w14:paraId="7CB087FF">
            <w:pPr>
              <w:wordWrap w:val="0"/>
              <w:spacing w:line="360" w:lineRule="auto"/>
              <w:jc w:val="left"/>
              <w:rPr>
                <w:rFonts w:hint="eastAsia" w:ascii="宋体" w:hAnsi="宋体" w:eastAsia="宋体" w:cs="宋体"/>
                <w:b/>
                <w:sz w:val="24"/>
                <w:szCs w:val="24"/>
              </w:rPr>
            </w:pPr>
            <w:r>
              <w:rPr>
                <w:rFonts w:hint="eastAsia" w:ascii="宋体" w:hAnsi="宋体" w:eastAsia="宋体" w:cs="宋体"/>
                <w:bCs/>
                <w:sz w:val="24"/>
                <w:szCs w:val="24"/>
              </w:rPr>
              <w:t>付款方式</w:t>
            </w:r>
          </w:p>
        </w:tc>
        <w:tc>
          <w:tcPr>
            <w:tcW w:w="6355" w:type="dxa"/>
            <w:noWrap w:val="0"/>
            <w:vAlign w:val="center"/>
          </w:tcPr>
          <w:p w14:paraId="725E6CD7">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1.工程竣工验收合格后退还履约保证金，同时付至合同价的80%；</w:t>
            </w:r>
          </w:p>
          <w:p w14:paraId="2690DD1E">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2.经安徽医科大学审计并出具结算报告后支付至结算价的97％；</w:t>
            </w:r>
          </w:p>
          <w:p w14:paraId="0022B6C0">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3.余款作为质量保证金在缺陷责任期（24个月）满后一次性支付。</w:t>
            </w:r>
          </w:p>
        </w:tc>
      </w:tr>
      <w:tr w14:paraId="439C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1BBA903">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5</w:t>
            </w:r>
          </w:p>
        </w:tc>
        <w:tc>
          <w:tcPr>
            <w:tcW w:w="1291" w:type="dxa"/>
            <w:noWrap w:val="0"/>
            <w:vAlign w:val="center"/>
          </w:tcPr>
          <w:p w14:paraId="28D42904">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人员到岗及履约要求</w:t>
            </w:r>
          </w:p>
        </w:tc>
        <w:tc>
          <w:tcPr>
            <w:tcW w:w="6355" w:type="dxa"/>
            <w:noWrap w:val="0"/>
            <w:vAlign w:val="center"/>
          </w:tcPr>
          <w:p w14:paraId="7FA9BE35">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1.参选人一旦中选，比选时所报的本项目的项目经理、施工现场技术负责人、各专业负责工程师及施工机械等在整个项目施工期内必须在位，否则比选人有权终止合同。由此造成的损失，中选人自行承担并赔偿可能给比选人造成的损失。</w:t>
            </w:r>
          </w:p>
          <w:p w14:paraId="6B33E175">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2.中选人不得擅自更换比选时所报项目经理及项目部主要管理人员。确需更换时，须报比选人同意，更换后人员不得低于中选人比选时所报人员资质和技术水平。比选人如认为有必要，可要求对上述人员中的部分人员作出更好的调整。</w:t>
            </w:r>
          </w:p>
          <w:p w14:paraId="1D699155">
            <w:pPr>
              <w:wordWrap w:val="0"/>
              <w:spacing w:line="360" w:lineRule="auto"/>
              <w:rPr>
                <w:rFonts w:hint="eastAsia" w:ascii="宋体" w:hAnsi="宋体" w:eastAsia="宋体" w:cs="宋体"/>
                <w:sz w:val="24"/>
                <w:szCs w:val="24"/>
              </w:rPr>
            </w:pPr>
            <w:r>
              <w:rPr>
                <w:rFonts w:hint="eastAsia" w:ascii="宋体" w:hAnsi="宋体" w:eastAsia="宋体" w:cs="宋体"/>
                <w:sz w:val="24"/>
                <w:szCs w:val="24"/>
              </w:rPr>
              <w:t>3.中选人未能按照承诺到岗尽职的，比选人有权视情况严重程度对其作出相应处理，给予警告并发出整改通知。如仍未及时整改，比选人有权责令其停工整改、直至终止合同，引进新的承包人。比选人有权停止支付工程款项，扣留任何未付的工程进度款项补偿建设单位的有关损失或工期延误的损失，并就此向承包人索赔。</w:t>
            </w:r>
          </w:p>
        </w:tc>
      </w:tr>
      <w:tr w14:paraId="61671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6EE6C957">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6</w:t>
            </w:r>
          </w:p>
        </w:tc>
        <w:tc>
          <w:tcPr>
            <w:tcW w:w="1291" w:type="dxa"/>
            <w:noWrap w:val="0"/>
            <w:vAlign w:val="center"/>
          </w:tcPr>
          <w:p w14:paraId="139D6C24">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材料要求</w:t>
            </w:r>
          </w:p>
        </w:tc>
        <w:tc>
          <w:tcPr>
            <w:tcW w:w="6355" w:type="dxa"/>
            <w:noWrap w:val="0"/>
            <w:vAlign w:val="center"/>
          </w:tcPr>
          <w:p w14:paraId="53263199">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中选人自行采购的材料应满足设计和规范要求的质量等级，并须按有关技术规范要求对材料质量进行检验。中选人选定的材料供应厂家和价格须经比选人和监理单位认可。如比选人和监理单位对某种或某些材料的质量有异议，有权提出停止使用的要求，中选人必须服从该要求。若该材料经权威检验部门鉴定确有质量问题，由此而发生的一切费用由中选人自负。因中选人自行采购的材料质量引起的工程质量问题由中选人承担所造成的一切损失。</w:t>
            </w:r>
          </w:p>
          <w:p w14:paraId="40EA7ACB">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如本项目比选人对工程质量有特殊需求的，对主要设备及材料提供不少于三个的参考品牌，对于比选人参考品牌的材料，参选人可选用参考品牌或不低于参考品牌质量标准的其它品牌；采用其它品牌的应在参选文件中提供相关技术参数证明材料供评审小组评审，未提供相关技术参数证明材料或经评审小组评审未通过的，中选后只能从比选人参考品牌中进行选择，价格不予调整。</w:t>
            </w:r>
          </w:p>
          <w:p w14:paraId="69012A8E">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3.对于比选人参考品牌的材料，参选人如认为参考品牌有限定性、唯一性、明显不在同一档次等级的或者其他异议的，应在本项目询问截止时间前以书面方式提交给比选人或代理机构。</w:t>
            </w:r>
          </w:p>
        </w:tc>
      </w:tr>
      <w:tr w14:paraId="6D0C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2B0F6F2B">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7</w:t>
            </w:r>
          </w:p>
        </w:tc>
        <w:tc>
          <w:tcPr>
            <w:tcW w:w="1291" w:type="dxa"/>
            <w:noWrap w:val="0"/>
            <w:vAlign w:val="center"/>
          </w:tcPr>
          <w:p w14:paraId="62C1995A">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工程施工重点难点</w:t>
            </w:r>
          </w:p>
        </w:tc>
        <w:tc>
          <w:tcPr>
            <w:tcW w:w="6355" w:type="dxa"/>
            <w:noWrap w:val="0"/>
            <w:vAlign w:val="center"/>
          </w:tcPr>
          <w:p w14:paraId="14A201F8">
            <w:pPr>
              <w:pStyle w:val="2"/>
              <w:rPr>
                <w:rFonts w:hint="eastAsia" w:ascii="宋体" w:hAnsi="宋体" w:cs="宋体"/>
                <w:kern w:val="0"/>
                <w:sz w:val="24"/>
                <w:szCs w:val="24"/>
              </w:rPr>
            </w:pPr>
            <w:r>
              <w:rPr>
                <w:rFonts w:hint="eastAsia" w:ascii="宋体" w:hAnsi="宋体" w:cs="宋体"/>
                <w:kern w:val="0"/>
                <w:sz w:val="24"/>
                <w:szCs w:val="24"/>
              </w:rPr>
              <w:t>无</w:t>
            </w:r>
          </w:p>
        </w:tc>
      </w:tr>
      <w:tr w14:paraId="79FFC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03F322FA">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8</w:t>
            </w:r>
          </w:p>
        </w:tc>
        <w:tc>
          <w:tcPr>
            <w:tcW w:w="1291" w:type="dxa"/>
            <w:noWrap w:val="0"/>
            <w:vAlign w:val="center"/>
          </w:tcPr>
          <w:p w14:paraId="495985B5">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报价须知</w:t>
            </w:r>
          </w:p>
        </w:tc>
        <w:tc>
          <w:tcPr>
            <w:tcW w:w="6355" w:type="dxa"/>
            <w:noWrap w:val="0"/>
            <w:vAlign w:val="center"/>
          </w:tcPr>
          <w:p w14:paraId="31BB6B6F">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sz w:val="24"/>
                <w:szCs w:val="24"/>
              </w:rPr>
              <w:t>参选人最后报价均不得高于比选文件（公告）列明的项目预算、最高投标限价（控制价），否则其参选文件将被认定为响应无效</w:t>
            </w:r>
            <w:r>
              <w:rPr>
                <w:rFonts w:hint="eastAsia" w:ascii="宋体" w:hAnsi="宋体" w:eastAsia="宋体" w:cs="宋体"/>
                <w:b w:val="0"/>
                <w:bCs w:val="0"/>
                <w:kern w:val="2"/>
                <w:sz w:val="24"/>
                <w:szCs w:val="24"/>
              </w:rPr>
              <w:t>。</w:t>
            </w:r>
          </w:p>
        </w:tc>
      </w:tr>
      <w:tr w14:paraId="42614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7992A5A5">
            <w:pPr>
              <w:wordWrap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9</w:t>
            </w:r>
          </w:p>
        </w:tc>
        <w:tc>
          <w:tcPr>
            <w:tcW w:w="1291" w:type="dxa"/>
            <w:noWrap w:val="0"/>
            <w:vAlign w:val="center"/>
          </w:tcPr>
          <w:p w14:paraId="43335512">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重要说明</w:t>
            </w:r>
          </w:p>
        </w:tc>
        <w:tc>
          <w:tcPr>
            <w:tcW w:w="6355" w:type="dxa"/>
            <w:noWrap w:val="0"/>
            <w:vAlign w:val="center"/>
          </w:tcPr>
          <w:p w14:paraId="24DF9CCD">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1.本项目的比选文件、工程量清单、最高投标限价（控制价）、澄清、修改、补充等相关资料均通过</w:t>
            </w:r>
            <w:r>
              <w:rPr>
                <w:rFonts w:hint="eastAsia" w:ascii="宋体" w:hAnsi="宋体" w:eastAsia="宋体" w:cs="宋体"/>
                <w:b w:val="0"/>
                <w:bCs w:val="0"/>
                <w:sz w:val="24"/>
                <w:szCs w:val="24"/>
              </w:rPr>
              <w:t>安招采平台</w:t>
            </w:r>
            <w:r>
              <w:rPr>
                <w:rFonts w:hint="eastAsia" w:ascii="宋体" w:hAnsi="宋体" w:eastAsia="宋体" w:cs="宋体"/>
                <w:b w:val="0"/>
                <w:bCs w:val="0"/>
                <w:kern w:val="2"/>
                <w:sz w:val="24"/>
                <w:szCs w:val="24"/>
              </w:rPr>
              <w:t>发布，请参选人自行从网上下载，参选人应当及时查看有无相关澄清、修改、补充等内容。</w:t>
            </w:r>
          </w:p>
          <w:p w14:paraId="349F7435">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2.在工程项目比选过程中，参选人最后报价与公布的最高投标限价（控制价）或项目概算相比降幅过小，或参选人最后报价明显缺乏竞争性的，评审小组可以否决其报价。</w:t>
            </w:r>
          </w:p>
          <w:p w14:paraId="07830591">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3.承包人在工程实施过程中用工行为，必须严格执行国家及地方政府的有关规定，依法签订劳动合同，并按规定及时足额支付工资。</w:t>
            </w:r>
          </w:p>
          <w:p w14:paraId="7BFDB1D9">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4.承包人在建设工程扬尘污染防治措施和费用管理上，必须严格执行《合肥市建设工程扬尘污染防治暂行规定》合建〔2015〕33号文规定。本工程最高投标限价（控制价）已按《关于关于贯彻执行2018版安徽省建设工程计价依据的通知》（合造价[2018]13号）的规定计取，参选人报价中已包含比选文件公布的施工扬尘污染防治措施费用，参选人中选后办理相关专户设立等事宜。</w:t>
            </w:r>
          </w:p>
        </w:tc>
      </w:tr>
      <w:tr w14:paraId="14338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4E8BEF2D">
            <w:pPr>
              <w:wordWrap w:val="0"/>
              <w:spacing w:line="360" w:lineRule="auto"/>
              <w:jc w:val="center"/>
              <w:rPr>
                <w:rFonts w:ascii="宋体" w:hAnsi="宋体" w:eastAsia="宋体" w:cs="宋体"/>
                <w:sz w:val="24"/>
                <w:szCs w:val="24"/>
              </w:rPr>
            </w:pPr>
            <w:r>
              <w:rPr>
                <w:rFonts w:hint="eastAsia" w:ascii="宋体" w:hAnsi="宋体" w:eastAsia="宋体" w:cs="宋体"/>
                <w:sz w:val="24"/>
                <w:szCs w:val="24"/>
              </w:rPr>
              <w:t>10</w:t>
            </w:r>
          </w:p>
        </w:tc>
        <w:tc>
          <w:tcPr>
            <w:tcW w:w="1291" w:type="dxa"/>
            <w:noWrap w:val="0"/>
            <w:vAlign w:val="center"/>
          </w:tcPr>
          <w:p w14:paraId="6BB21A1B">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缺陷责任期</w:t>
            </w:r>
          </w:p>
        </w:tc>
        <w:tc>
          <w:tcPr>
            <w:tcW w:w="6355" w:type="dxa"/>
            <w:noWrap w:val="0"/>
            <w:vAlign w:val="center"/>
          </w:tcPr>
          <w:p w14:paraId="608EF1C7">
            <w:pPr>
              <w:pStyle w:val="7"/>
              <w:widowControl w:val="0"/>
              <w:wordWrap w:val="0"/>
              <w:spacing w:before="0" w:beforeAutospacing="0" w:after="0" w:afterAutospacing="0" w:line="360" w:lineRule="auto"/>
              <w:jc w:val="both"/>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本项目缺陷责任期为2年，缺陷责任期以外需更换部分只收成本费。如与施工要求不符，以施工要求为准。缺陷责任期内，工程因自然力等主客观因素出现松动、脱落等现象，乙方需在2日内到场免费维修。</w:t>
            </w:r>
          </w:p>
        </w:tc>
      </w:tr>
    </w:tbl>
    <w:p w14:paraId="51A54482">
      <w:pPr>
        <w:pStyle w:val="4"/>
        <w:wordWrap w:val="0"/>
        <w:spacing w:line="360" w:lineRule="auto"/>
        <w:ind w:firstLine="240"/>
        <w:rPr>
          <w:rFonts w:hint="eastAsia" w:ascii="宋体" w:hAnsi="宋体" w:eastAsia="宋体" w:cs="宋体"/>
          <w:sz w:val="24"/>
        </w:rPr>
      </w:pPr>
    </w:p>
    <w:p w14:paraId="35A540EA">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br w:type="page"/>
      </w:r>
      <w:r>
        <w:rPr>
          <w:rFonts w:hint="eastAsia" w:ascii="宋体" w:hAnsi="宋体" w:eastAsia="宋体" w:cs="宋体"/>
          <w:b/>
          <w:sz w:val="24"/>
          <w:szCs w:val="24"/>
        </w:rPr>
        <w:t>一、项目概况</w:t>
      </w:r>
    </w:p>
    <w:p w14:paraId="407EFEFF">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 本项目为安徽医科大学新医科中心（新校区）法学院模拟法庭装修项目，具体详见工程量清单、比选文件。</w:t>
      </w:r>
    </w:p>
    <w:p w14:paraId="5E2B0344">
      <w:pPr>
        <w:spacing w:line="360" w:lineRule="auto"/>
        <w:ind w:firstLine="482" w:firstLineChars="200"/>
        <w:jc w:val="left"/>
        <w:outlineLvl w:val="2"/>
        <w:rPr>
          <w:rFonts w:hint="eastAsia" w:ascii="宋体" w:hAnsi="宋体" w:eastAsia="宋体" w:cs="宋体"/>
          <w:b/>
          <w:sz w:val="24"/>
          <w:szCs w:val="24"/>
        </w:rPr>
      </w:pPr>
      <w:r>
        <w:rPr>
          <w:rFonts w:hint="eastAsia" w:ascii="宋体" w:hAnsi="宋体" w:eastAsia="宋体" w:cs="宋体"/>
          <w:b/>
          <w:sz w:val="24"/>
          <w:szCs w:val="24"/>
        </w:rPr>
        <w:t xml:space="preserve">二、施工要求 </w:t>
      </w:r>
    </w:p>
    <w:p w14:paraId="3E18A185">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1.参选人应结合工程实际并综合考虑各种风险因素（如开工时间的不确定性），谨慎报价。施工过程中，参选人须主动解决可能遇到的一切难点问题，此项费用由参选人自行考虑，含在报价中，成交后不予调整。</w:t>
      </w:r>
    </w:p>
    <w:p w14:paraId="627560C1">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2.参选人可先到工地踏勘以充分了解工地位置、地形、地貌、道路、周边配套、现场条件及任何其他足以影响报价的情况，任何因忽视或误解工地情况而导致的索赔申请将不被批准。</w:t>
      </w:r>
    </w:p>
    <w:p w14:paraId="680E0EA1">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3.参选人应充分了解施工场地的现状，熟悉工程内容，正确估计施工的难易程度和必须投入技术力量，根据工程实际情况、施工内容和本单位实力，结合市场行情确定本项目工程费用。</w:t>
      </w:r>
    </w:p>
    <w:p w14:paraId="07E4E77B">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参选人的价格应是施工期内，施工单位按比选文件及合同规定的范围所提供的全部服务所需的全部费用及应缴纳的一切税费，包括施工人员额外工作报酬及附加工作报酬。比选人不为成交人提供办公场地，其他一切办公、交通、住宿及生活等相关费用由成交人自理。</w:t>
      </w:r>
    </w:p>
    <w:p w14:paraId="6C183FE3">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5.成交人须按比选人要求开具有效发票。</w:t>
      </w:r>
    </w:p>
    <w:p w14:paraId="0E13DB42">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6.工程质量、安全必须符合国家及地方现行相关法律、法规、技术规范及管理规定。</w:t>
      </w:r>
    </w:p>
    <w:p w14:paraId="51309CDC">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7.施工单位负责施工范围内的一切安全责任，务必做好各项安全维护、防护措施，确保施工安全、道路安全，行人安全、车辆安全等。</w:t>
      </w:r>
      <w:r>
        <w:rPr>
          <w:rFonts w:ascii="宋体" w:hAnsi="宋体" w:eastAsia="宋体" w:cs="宋体"/>
          <w:sz w:val="24"/>
          <w:szCs w:val="24"/>
        </w:rPr>
        <w:t>需考虑周边住户安全通行、生活作息等要求，需</w:t>
      </w:r>
      <w:r>
        <w:rPr>
          <w:rFonts w:hint="eastAsia" w:ascii="宋体" w:hAnsi="宋体" w:eastAsia="宋体" w:cs="宋体"/>
          <w:sz w:val="24"/>
          <w:szCs w:val="24"/>
        </w:rPr>
        <w:t>施行符合建设单位要求的专项施工方案。</w:t>
      </w:r>
    </w:p>
    <w:p w14:paraId="03F65337">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8.施工单位需严格遵守校园管理规定，施工时要注意加强管理，文明施工。</w:t>
      </w:r>
    </w:p>
    <w:p w14:paraId="2A2C8CBE">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三、响应报价要求</w:t>
      </w:r>
    </w:p>
    <w:p w14:paraId="792B2AE4">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本项目采用工程量清单综合单价计价方式，请参选人认真阅读比选文件的报价规定和合同主要条款中关于充分考虑本工程合同价款包含风险范围内的所有内容。同时施工合同履行过程中，除比选文件约定外，一律不允许调整合同中的综合单价。</w:t>
      </w:r>
    </w:p>
    <w:p w14:paraId="29AAFC0E">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参选人应仔细阅读采购文件及附件资料，了解拟采购项目的全部工程内容。参选人的响应报价应是采购文件所确定的采购范围内全部工程内容的价格体现。参选人的响应报价，应是在满足采购文件规定工期、质量要求下，完成采购项目范围的全部工作的报价。</w:t>
      </w:r>
    </w:p>
    <w:p w14:paraId="2B905D27">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四、其他要求</w:t>
      </w:r>
    </w:p>
    <w:p w14:paraId="4D8647A8">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1.参选人在编制工程进度计划时须充分考虑劳动力、材料物资、机械设备等资源投入和夜间加班计划，保证工期目标的实现，并做好相应的安全及文明施工保障措施。</w:t>
      </w:r>
    </w:p>
    <w:p w14:paraId="6E747D45">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2.中选人在施工时须严格做好成品保护工作。</w:t>
      </w:r>
    </w:p>
    <w:p w14:paraId="309E837D">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3.该项目严禁转包分包。</w:t>
      </w:r>
    </w:p>
    <w:p w14:paraId="317B8D2D">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4.具体情况见工程量清单。</w:t>
      </w:r>
    </w:p>
    <w:p w14:paraId="1634021A">
      <w:pPr>
        <w:spacing w:line="360" w:lineRule="auto"/>
        <w:ind w:firstLine="482" w:firstLineChars="200"/>
        <w:jc w:val="left"/>
        <w:outlineLvl w:val="2"/>
        <w:rPr>
          <w:rFonts w:hint="eastAsia" w:ascii="宋体" w:hAnsi="宋体" w:eastAsia="宋体" w:cs="宋体"/>
          <w:b/>
          <w:bCs/>
          <w:sz w:val="24"/>
          <w:szCs w:val="24"/>
        </w:rPr>
      </w:pPr>
      <w:r>
        <w:rPr>
          <w:rFonts w:hint="eastAsia" w:ascii="宋体" w:hAnsi="宋体" w:eastAsia="宋体" w:cs="宋体"/>
          <w:b/>
          <w:bCs/>
          <w:sz w:val="24"/>
          <w:szCs w:val="24"/>
        </w:rPr>
        <w:t>五、工程量清单控制价及图纸（另附）</w:t>
      </w:r>
    </w:p>
    <w:p w14:paraId="1F43F45F">
      <w:pPr>
        <w:spacing w:line="360" w:lineRule="auto"/>
        <w:ind w:firstLine="482" w:firstLineChars="200"/>
        <w:jc w:val="left"/>
        <w:outlineLvl w:val="2"/>
        <w:rPr>
          <w:rFonts w:hint="eastAsia" w:ascii="宋体" w:hAnsi="宋体" w:eastAsia="宋体" w:cs="宋体"/>
          <w:b/>
          <w:bCs/>
          <w:sz w:val="24"/>
          <w:szCs w:val="24"/>
          <w:lang w:val="en-US" w:eastAsia="zh-CN"/>
        </w:rPr>
      </w:pPr>
      <w:r>
        <w:rPr>
          <w:rFonts w:hint="eastAsia" w:ascii="宋体" w:hAnsi="宋体" w:eastAsia="宋体" w:cs="宋体"/>
          <w:b/>
          <w:bCs/>
          <w:sz w:val="24"/>
          <w:szCs w:val="24"/>
        </w:rPr>
        <w:t>六、</w:t>
      </w:r>
      <w:r>
        <w:rPr>
          <w:rFonts w:hint="eastAsia" w:ascii="宋体" w:hAnsi="宋体" w:eastAsia="宋体" w:cs="宋体"/>
          <w:b/>
          <w:bCs/>
          <w:sz w:val="24"/>
          <w:szCs w:val="24"/>
          <w:lang w:val="en-US" w:eastAsia="zh-CN"/>
        </w:rPr>
        <w:t>主要材料推荐品牌（仅供参考）</w:t>
      </w:r>
    </w:p>
    <w:tbl>
      <w:tblPr>
        <w:tblStyle w:val="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126"/>
        <w:gridCol w:w="3119"/>
        <w:gridCol w:w="3763"/>
      </w:tblGrid>
      <w:tr w14:paraId="2D254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noWrap w:val="0"/>
            <w:vAlign w:val="center"/>
          </w:tcPr>
          <w:p w14:paraId="5FF38EA5">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2126" w:type="dxa"/>
            <w:noWrap w:val="0"/>
            <w:vAlign w:val="center"/>
          </w:tcPr>
          <w:p w14:paraId="0A199B5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名称</w:t>
            </w:r>
          </w:p>
        </w:tc>
        <w:tc>
          <w:tcPr>
            <w:tcW w:w="3119" w:type="dxa"/>
            <w:noWrap w:val="0"/>
            <w:vAlign w:val="center"/>
          </w:tcPr>
          <w:p w14:paraId="05258475">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推荐品牌</w:t>
            </w:r>
          </w:p>
        </w:tc>
        <w:tc>
          <w:tcPr>
            <w:tcW w:w="3763" w:type="dxa"/>
            <w:noWrap w:val="0"/>
            <w:vAlign w:val="center"/>
          </w:tcPr>
          <w:p w14:paraId="6DB4685D">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14:paraId="303F6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846" w:type="dxa"/>
            <w:noWrap w:val="0"/>
            <w:vAlign w:val="center"/>
          </w:tcPr>
          <w:p w14:paraId="78C5DDA8">
            <w:pPr>
              <w:spacing w:line="360"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2126" w:type="dxa"/>
            <w:noWrap w:val="0"/>
            <w:vAlign w:val="center"/>
          </w:tcPr>
          <w:p w14:paraId="5B3E21D0">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木地板</w:t>
            </w:r>
          </w:p>
        </w:tc>
        <w:tc>
          <w:tcPr>
            <w:tcW w:w="3119" w:type="dxa"/>
            <w:noWrap w:val="0"/>
            <w:vAlign w:val="center"/>
          </w:tcPr>
          <w:p w14:paraId="315AE383">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大自然、菲林格尔、圣象</w:t>
            </w:r>
          </w:p>
        </w:tc>
        <w:tc>
          <w:tcPr>
            <w:tcW w:w="3763" w:type="dxa"/>
            <w:vMerge w:val="restart"/>
            <w:noWrap w:val="0"/>
            <w:vAlign w:val="center"/>
          </w:tcPr>
          <w:p w14:paraId="02E9C2DE">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推荐品牌仅供参考，并无限制性。</w:t>
            </w:r>
            <w:r>
              <w:rPr>
                <w:rFonts w:hint="eastAsia" w:ascii="宋体" w:hAnsi="宋体" w:eastAsia="宋体" w:cs="宋体"/>
                <w:sz w:val="24"/>
                <w:szCs w:val="24"/>
                <w:lang w:val="en-US" w:eastAsia="zh-CN"/>
              </w:rPr>
              <w:t>参选人</w:t>
            </w:r>
            <w:r>
              <w:rPr>
                <w:rFonts w:hint="eastAsia" w:ascii="宋体" w:hAnsi="宋体" w:eastAsia="宋体" w:cs="宋体"/>
                <w:sz w:val="24"/>
                <w:szCs w:val="24"/>
              </w:rPr>
              <w:t>可以选用替代品牌，但这种替代应满足、等同或优于参考品牌，否则</w:t>
            </w:r>
            <w:r>
              <w:rPr>
                <w:rFonts w:hint="eastAsia" w:ascii="宋体" w:hAnsi="宋体" w:eastAsia="宋体" w:cs="宋体"/>
                <w:sz w:val="24"/>
                <w:szCs w:val="24"/>
                <w:lang w:val="en-US" w:eastAsia="zh-CN"/>
              </w:rPr>
              <w:t>比选小组</w:t>
            </w:r>
            <w:r>
              <w:rPr>
                <w:rFonts w:hint="eastAsia" w:ascii="宋体" w:hAnsi="宋体" w:eastAsia="宋体" w:cs="宋体"/>
                <w:sz w:val="24"/>
                <w:szCs w:val="24"/>
              </w:rPr>
              <w:t>在评审或评分时有权作出不利于</w:t>
            </w:r>
            <w:r>
              <w:rPr>
                <w:rFonts w:hint="eastAsia" w:ascii="宋体" w:hAnsi="宋体" w:eastAsia="宋体" w:cs="宋体"/>
                <w:sz w:val="24"/>
                <w:szCs w:val="24"/>
                <w:lang w:val="en-US" w:eastAsia="zh-CN"/>
              </w:rPr>
              <w:t>参选人</w:t>
            </w:r>
            <w:r>
              <w:rPr>
                <w:rFonts w:hint="eastAsia" w:ascii="宋体" w:hAnsi="宋体" w:eastAsia="宋体" w:cs="宋体"/>
                <w:sz w:val="24"/>
                <w:szCs w:val="24"/>
              </w:rPr>
              <w:t>的判定。</w:t>
            </w:r>
          </w:p>
        </w:tc>
      </w:tr>
      <w:tr w14:paraId="44AC0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846" w:type="dxa"/>
            <w:noWrap w:val="0"/>
            <w:vAlign w:val="center"/>
          </w:tcPr>
          <w:p w14:paraId="70D27916">
            <w:pPr>
              <w:spacing w:line="360"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2126" w:type="dxa"/>
            <w:noWrap w:val="0"/>
            <w:vAlign w:val="center"/>
          </w:tcPr>
          <w:p w14:paraId="763F14BB">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墙面装饰板材</w:t>
            </w:r>
          </w:p>
        </w:tc>
        <w:tc>
          <w:tcPr>
            <w:tcW w:w="3119" w:type="dxa"/>
            <w:noWrap w:val="0"/>
            <w:vAlign w:val="center"/>
          </w:tcPr>
          <w:p w14:paraId="717383FC">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兔宝宝、莫干山、千年舟</w:t>
            </w:r>
          </w:p>
        </w:tc>
        <w:tc>
          <w:tcPr>
            <w:tcW w:w="3763" w:type="dxa"/>
            <w:vMerge w:val="continue"/>
            <w:noWrap w:val="0"/>
            <w:vAlign w:val="center"/>
          </w:tcPr>
          <w:p w14:paraId="0549A7C2">
            <w:pPr>
              <w:spacing w:line="360" w:lineRule="auto"/>
              <w:ind w:firstLine="480" w:firstLineChars="200"/>
              <w:jc w:val="center"/>
              <w:rPr>
                <w:rFonts w:hint="eastAsia" w:ascii="宋体" w:hAnsi="宋体" w:eastAsia="宋体" w:cs="宋体"/>
                <w:sz w:val="24"/>
                <w:szCs w:val="24"/>
              </w:rPr>
            </w:pPr>
          </w:p>
        </w:tc>
      </w:tr>
      <w:tr w14:paraId="1C6B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846" w:type="dxa"/>
            <w:noWrap w:val="0"/>
            <w:vAlign w:val="center"/>
          </w:tcPr>
          <w:p w14:paraId="6044DEF9">
            <w:pPr>
              <w:spacing w:line="360"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2126" w:type="dxa"/>
            <w:noWrap w:val="0"/>
            <w:vAlign w:val="center"/>
          </w:tcPr>
          <w:p w14:paraId="75795526">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吸音软包墙面</w:t>
            </w:r>
          </w:p>
        </w:tc>
        <w:tc>
          <w:tcPr>
            <w:tcW w:w="3119" w:type="dxa"/>
            <w:noWrap w:val="0"/>
            <w:vAlign w:val="center"/>
          </w:tcPr>
          <w:p w14:paraId="00770427">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金达莱、仁龙、古卡罗</w:t>
            </w:r>
          </w:p>
        </w:tc>
        <w:tc>
          <w:tcPr>
            <w:tcW w:w="3763" w:type="dxa"/>
            <w:vMerge w:val="continue"/>
            <w:noWrap w:val="0"/>
            <w:vAlign w:val="center"/>
          </w:tcPr>
          <w:p w14:paraId="0106CAB2">
            <w:pPr>
              <w:spacing w:line="360" w:lineRule="auto"/>
              <w:ind w:firstLine="480" w:firstLineChars="200"/>
              <w:jc w:val="center"/>
              <w:rPr>
                <w:rFonts w:hint="eastAsia" w:ascii="宋体" w:hAnsi="宋体" w:eastAsia="宋体" w:cs="宋体"/>
                <w:sz w:val="24"/>
                <w:szCs w:val="24"/>
              </w:rPr>
            </w:pPr>
          </w:p>
        </w:tc>
      </w:tr>
    </w:tbl>
    <w:p w14:paraId="529BAA6C">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00E45"/>
    <w:rsid w:val="78500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uiPriority w:val="99"/>
    <w:pPr>
      <w:jc w:val="left"/>
    </w:pPr>
    <w:rPr>
      <w:rFonts w:eastAsia="宋体" w:cs="Times New Roman"/>
    </w:rPr>
  </w:style>
  <w:style w:type="paragraph" w:styleId="3">
    <w:name w:val="Body Text"/>
    <w:basedOn w:val="1"/>
    <w:qFormat/>
    <w:uiPriority w:val="0"/>
    <w:pPr>
      <w:spacing w:after="120"/>
    </w:pPr>
    <w:rPr>
      <w:rFonts w:ascii="@微软简标宋" w:hAnsi="@微软简标宋" w:eastAsia="@微软简标宋" w:cs="@微软简标宋"/>
      <w:szCs w:val="24"/>
      <w:lang w:val="zh-CN"/>
    </w:rPr>
  </w:style>
  <w:style w:type="paragraph" w:styleId="4">
    <w:name w:val="Body Text First Indent"/>
    <w:basedOn w:val="3"/>
    <w:unhideWhenUsed/>
    <w:qFormat/>
    <w:uiPriority w:val="99"/>
    <w:pPr>
      <w:ind w:firstLine="420" w:firstLineChars="100"/>
    </w:p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2025-04-17T07:19:00Z</dcterms:created>
  <dc:creator>森</dc:creator>
  <cp:lastModifiedBy>森</cp:lastModifiedBy>
  <dcterms:modified xsi:type="dcterms:W3CDTF">2025-04-17T07:19:38Z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781AB4F3AD094EC4A7840BF3ECDE00E9_11</vt:lpwstr>
  </property>
  <property fmtid="{D5CDD505-2E9C-101B-9397-08002B2CF9AE}" pid="4" name="KSOTemplateDocerSaveRecord">
    <vt:lpwstr>eyJoZGlkIjoiOTc3M2Y5NzIzMDFlZjAyY2Q4Njk5ODkyYjFjNzBiNTQiLCJ1c2VySWQiOiI0MzAwMTYzNzkifQ==</vt:lpwstr>
  </property>
</Properties>
</file>