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3377A">
      <w:pPr>
        <w:spacing w:line="360" w:lineRule="auto"/>
        <w:jc w:val="center"/>
        <w:outlineLvl w:val="1"/>
        <w:rPr>
          <w:rFonts w:hint="eastAsia" w:ascii="宋体" w:hAnsi="宋体" w:cs="宋体"/>
          <w:b/>
          <w:sz w:val="28"/>
        </w:rPr>
      </w:pPr>
      <w:r>
        <w:rPr>
          <w:rFonts w:hint="eastAsia" w:ascii="宋体" w:hAnsi="宋体" w:cs="宋体"/>
          <w:b/>
          <w:sz w:val="28"/>
        </w:rPr>
        <w:t>采购需求</w:t>
      </w:r>
    </w:p>
    <w:p w14:paraId="7DAB0047">
      <w:pPr>
        <w:spacing w:line="360" w:lineRule="auto"/>
        <w:jc w:val="left"/>
        <w:rPr>
          <w:rFonts w:hint="eastAsia" w:ascii="宋体" w:hAnsi="宋体" w:cs="宋体"/>
          <w:b/>
          <w:sz w:val="24"/>
          <w:szCs w:val="24"/>
        </w:rPr>
      </w:pPr>
      <w:r>
        <w:rPr>
          <w:rFonts w:hint="eastAsia" w:ascii="宋体" w:hAnsi="宋体" w:cs="宋体"/>
          <w:b/>
          <w:sz w:val="24"/>
          <w:szCs w:val="24"/>
        </w:rPr>
        <w:t>前注：</w:t>
      </w:r>
    </w:p>
    <w:p w14:paraId="557177EE">
      <w:pPr>
        <w:spacing w:line="360" w:lineRule="auto"/>
        <w:ind w:firstLine="437"/>
        <w:jc w:val="left"/>
        <w:rPr>
          <w:rFonts w:hint="eastAsia" w:ascii="宋体" w:hAnsi="宋体" w:cs="宋体"/>
          <w:sz w:val="24"/>
          <w:szCs w:val="24"/>
        </w:rPr>
      </w:pPr>
      <w:r>
        <w:rPr>
          <w:rFonts w:hint="eastAsia" w:ascii="宋体" w:hAnsi="宋体" w:cs="宋体"/>
          <w:sz w:val="24"/>
          <w:szCs w:val="24"/>
        </w:rPr>
        <w:t>1.本说明中提出的技术方案仅为参考，如无明确限制，参选人可以进行优化，提供满足用户实际需要的更优（或者性能实质上不低于的）技术方案，且此方案须经评审小组评审认可；</w:t>
      </w:r>
    </w:p>
    <w:p w14:paraId="0D86BC25">
      <w:pPr>
        <w:spacing w:line="360" w:lineRule="auto"/>
        <w:ind w:firstLine="437"/>
        <w:jc w:val="left"/>
        <w:rPr>
          <w:rFonts w:hint="eastAsia" w:ascii="宋体" w:hAnsi="宋体" w:cs="宋体"/>
          <w:sz w:val="24"/>
          <w:szCs w:val="24"/>
        </w:rPr>
      </w:pPr>
      <w:r>
        <w:rPr>
          <w:rFonts w:hint="eastAsia" w:ascii="宋体" w:hAnsi="宋体" w:cs="宋体"/>
          <w:sz w:val="24"/>
          <w:szCs w:val="24"/>
        </w:rPr>
        <w:t>2.为鼓励不同品牌的充分竞争，如某设备的某技术参数或要求属于个别品牌专有，则该技术参数及要求不具有限制性，参选人可对该参数或要求进行适当调整，并应当说明调整的理由，且此调整须经评审小组评审认可；</w:t>
      </w:r>
    </w:p>
    <w:p w14:paraId="121DA341">
      <w:pPr>
        <w:spacing w:line="360" w:lineRule="auto"/>
        <w:ind w:firstLine="437"/>
        <w:jc w:val="left"/>
        <w:rPr>
          <w:rFonts w:hint="eastAsia" w:ascii="宋体" w:hAnsi="宋体" w:cs="宋体"/>
          <w:sz w:val="24"/>
          <w:szCs w:val="24"/>
        </w:rPr>
      </w:pPr>
      <w:r>
        <w:rPr>
          <w:rFonts w:hint="eastAsia" w:ascii="宋体" w:hAnsi="宋体" w:cs="宋体"/>
          <w:sz w:val="24"/>
          <w:szCs w:val="24"/>
        </w:rPr>
        <w:t>3.为有助于参选人选择参选产品，项目说明中可能提供了推荐品牌（或型号）、参考品牌（或型号）等，这些品牌（或型号）仅供参考，并无限制性。参选人可以选择性能不低于推荐（或参考）的品牌（或型号）的其他品牌产品，但比选时应当提有关技术证明资料，未提供的可能导致响应无效；</w:t>
      </w:r>
    </w:p>
    <w:p w14:paraId="1C504822">
      <w:pPr>
        <w:spacing w:line="360" w:lineRule="auto"/>
        <w:ind w:firstLine="437"/>
        <w:jc w:val="left"/>
        <w:rPr>
          <w:rFonts w:hint="eastAsia" w:ascii="宋体" w:hAnsi="宋体" w:cs="宋体"/>
          <w:b/>
          <w:sz w:val="24"/>
          <w:szCs w:val="24"/>
        </w:rPr>
      </w:pPr>
      <w:r>
        <w:rPr>
          <w:rFonts w:hint="eastAsia" w:ascii="宋体" w:hAnsi="宋体" w:cs="宋体"/>
          <w:sz w:val="24"/>
          <w:szCs w:val="24"/>
        </w:rPr>
        <w:t>4.下列采购需求中标注进口产品的货物均已履行相关论证手续，经核准采购进口产品，但不限制满足参选文件要求的国内产品参与竞争。未标注进口产品的货物均为拒绝采购进口产品。</w:t>
      </w:r>
      <w:r>
        <w:rPr>
          <w:rFonts w:hint="eastAsia" w:ascii="宋体" w:hAnsi="宋体" w:cs="宋体"/>
          <w:b/>
          <w:sz w:val="24"/>
          <w:szCs w:val="24"/>
        </w:rPr>
        <w:br w:type="page"/>
      </w:r>
      <w:r>
        <w:rPr>
          <w:rFonts w:hint="eastAsia" w:ascii="宋体" w:hAnsi="宋体" w:cs="宋体"/>
          <w:b/>
          <w:sz w:val="24"/>
          <w:szCs w:val="24"/>
        </w:rPr>
        <w:t xml:space="preserve">    一、采购需求前附表</w:t>
      </w:r>
    </w:p>
    <w:tbl>
      <w:tblPr>
        <w:tblStyle w:val="4"/>
        <w:tblW w:w="8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34"/>
        <w:gridCol w:w="5776"/>
      </w:tblGrid>
      <w:tr w14:paraId="70F4D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1A750CEE">
            <w:pPr>
              <w:jc w:val="center"/>
              <w:rPr>
                <w:rFonts w:ascii="Times New Roman" w:hAnsi="Times New Roman" w:cs="Times New Roman"/>
                <w:b/>
                <w:sz w:val="24"/>
              </w:rPr>
            </w:pPr>
            <w:r>
              <w:rPr>
                <w:rFonts w:ascii="Times New Roman" w:hAnsi="Times New Roman" w:cs="Times New Roman"/>
                <w:b/>
                <w:sz w:val="24"/>
              </w:rPr>
              <w:t>序号</w:t>
            </w:r>
          </w:p>
        </w:tc>
        <w:tc>
          <w:tcPr>
            <w:tcW w:w="2034" w:type="dxa"/>
            <w:noWrap w:val="0"/>
            <w:vAlign w:val="center"/>
          </w:tcPr>
          <w:p w14:paraId="3799F85D">
            <w:pPr>
              <w:spacing w:line="360" w:lineRule="auto"/>
              <w:jc w:val="center"/>
              <w:rPr>
                <w:rFonts w:ascii="Times New Roman" w:hAnsi="Times New Roman" w:cs="Times New Roman"/>
                <w:b/>
                <w:kern w:val="0"/>
                <w:sz w:val="24"/>
                <w:szCs w:val="28"/>
              </w:rPr>
            </w:pPr>
            <w:r>
              <w:rPr>
                <w:rFonts w:ascii="Times New Roman" w:hAnsi="Times New Roman" w:cs="Times New Roman"/>
                <w:b/>
                <w:kern w:val="0"/>
                <w:sz w:val="24"/>
                <w:szCs w:val="28"/>
              </w:rPr>
              <w:t>条款名称</w:t>
            </w:r>
          </w:p>
        </w:tc>
        <w:tc>
          <w:tcPr>
            <w:tcW w:w="5776" w:type="dxa"/>
            <w:noWrap w:val="0"/>
            <w:vAlign w:val="center"/>
          </w:tcPr>
          <w:p w14:paraId="508FC1D1">
            <w:pPr>
              <w:spacing w:line="360" w:lineRule="auto"/>
              <w:jc w:val="center"/>
              <w:rPr>
                <w:rFonts w:ascii="Times New Roman" w:hAnsi="Times New Roman" w:cs="Times New Roman"/>
                <w:b/>
                <w:kern w:val="0"/>
                <w:sz w:val="24"/>
                <w:szCs w:val="28"/>
              </w:rPr>
            </w:pPr>
            <w:r>
              <w:rPr>
                <w:rFonts w:ascii="Times New Roman" w:hAnsi="Times New Roman" w:cs="Times New Roman"/>
                <w:b/>
                <w:kern w:val="0"/>
                <w:sz w:val="24"/>
                <w:szCs w:val="28"/>
              </w:rPr>
              <w:t>内容、说明与要求</w:t>
            </w:r>
          </w:p>
        </w:tc>
      </w:tr>
      <w:tr w14:paraId="50C13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0D72F922">
            <w:pPr>
              <w:jc w:val="center"/>
              <w:rPr>
                <w:rFonts w:ascii="Times New Roman" w:hAnsi="Times New Roman" w:cs="Times New Roman"/>
                <w:bCs/>
                <w:sz w:val="24"/>
              </w:rPr>
            </w:pPr>
            <w:r>
              <w:rPr>
                <w:rFonts w:ascii="Times New Roman" w:hAnsi="Times New Roman" w:cs="Times New Roman"/>
                <w:bCs/>
                <w:sz w:val="24"/>
              </w:rPr>
              <w:t>1</w:t>
            </w:r>
          </w:p>
        </w:tc>
        <w:tc>
          <w:tcPr>
            <w:tcW w:w="2034" w:type="dxa"/>
            <w:noWrap w:val="0"/>
            <w:vAlign w:val="center"/>
          </w:tcPr>
          <w:p w14:paraId="6D114C04">
            <w:pPr>
              <w:spacing w:line="360" w:lineRule="auto"/>
              <w:jc w:val="center"/>
              <w:rPr>
                <w:rFonts w:ascii="Times New Roman" w:hAnsi="Times New Roman" w:cs="Times New Roman"/>
                <w:bCs/>
                <w:kern w:val="0"/>
                <w:sz w:val="24"/>
                <w:szCs w:val="28"/>
              </w:rPr>
            </w:pPr>
            <w:r>
              <w:rPr>
                <w:rFonts w:ascii="Times New Roman" w:hAnsi="Times New Roman" w:cs="Times New Roman"/>
                <w:bCs/>
                <w:kern w:val="0"/>
                <w:sz w:val="24"/>
                <w:szCs w:val="28"/>
              </w:rPr>
              <w:t>付款方式</w:t>
            </w:r>
          </w:p>
        </w:tc>
        <w:tc>
          <w:tcPr>
            <w:tcW w:w="5776" w:type="dxa"/>
            <w:noWrap w:val="0"/>
            <w:vAlign w:val="center"/>
          </w:tcPr>
          <w:p w14:paraId="38FB9730">
            <w:pPr>
              <w:spacing w:line="360" w:lineRule="auto"/>
              <w:jc w:val="left"/>
              <w:rPr>
                <w:rFonts w:ascii="Times New Roman" w:hAnsi="Times New Roman" w:cs="Times New Roman"/>
                <w:bCs/>
                <w:kern w:val="0"/>
                <w:sz w:val="24"/>
                <w:szCs w:val="28"/>
              </w:rPr>
            </w:pPr>
            <w:r>
              <w:rPr>
                <w:rFonts w:hint="eastAsia" w:ascii="Times New Roman" w:hAnsi="Times New Roman" w:cs="Times New Roman"/>
                <w:bCs/>
                <w:kern w:val="0"/>
                <w:sz w:val="24"/>
                <w:szCs w:val="28"/>
              </w:rPr>
              <w:t>图书到馆加工、上架、验收合格后，一次性付款。</w:t>
            </w:r>
          </w:p>
        </w:tc>
      </w:tr>
      <w:tr w14:paraId="4151F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73E5E0C5">
            <w:pPr>
              <w:jc w:val="center"/>
              <w:rPr>
                <w:rFonts w:ascii="Times New Roman" w:hAnsi="Times New Roman" w:cs="Times New Roman"/>
                <w:bCs/>
                <w:sz w:val="24"/>
              </w:rPr>
            </w:pPr>
            <w:r>
              <w:rPr>
                <w:rFonts w:ascii="Times New Roman" w:hAnsi="Times New Roman" w:cs="Times New Roman"/>
                <w:bCs/>
                <w:sz w:val="24"/>
              </w:rPr>
              <w:t>2</w:t>
            </w:r>
          </w:p>
        </w:tc>
        <w:tc>
          <w:tcPr>
            <w:tcW w:w="2034" w:type="dxa"/>
            <w:noWrap w:val="0"/>
            <w:vAlign w:val="center"/>
          </w:tcPr>
          <w:p w14:paraId="04D72843">
            <w:pPr>
              <w:spacing w:line="360" w:lineRule="auto"/>
              <w:jc w:val="center"/>
              <w:rPr>
                <w:rFonts w:ascii="Times New Roman" w:hAnsi="Times New Roman" w:cs="Times New Roman"/>
                <w:bCs/>
                <w:kern w:val="0"/>
                <w:sz w:val="24"/>
                <w:szCs w:val="28"/>
              </w:rPr>
            </w:pPr>
            <w:r>
              <w:rPr>
                <w:rFonts w:ascii="Times New Roman" w:hAnsi="Times New Roman" w:cs="Times New Roman"/>
                <w:bCs/>
                <w:kern w:val="0"/>
                <w:sz w:val="24"/>
                <w:szCs w:val="28"/>
              </w:rPr>
              <w:t>供货及安装地点</w:t>
            </w:r>
          </w:p>
        </w:tc>
        <w:tc>
          <w:tcPr>
            <w:tcW w:w="5776" w:type="dxa"/>
            <w:noWrap w:val="0"/>
            <w:vAlign w:val="center"/>
          </w:tcPr>
          <w:p w14:paraId="2E108E07">
            <w:pPr>
              <w:spacing w:line="360" w:lineRule="auto"/>
              <w:jc w:val="left"/>
              <w:rPr>
                <w:rFonts w:ascii="Times New Roman" w:hAnsi="Times New Roman" w:cs="Times New Roman"/>
                <w:bCs/>
                <w:kern w:val="0"/>
                <w:sz w:val="24"/>
                <w:szCs w:val="28"/>
              </w:rPr>
            </w:pPr>
            <w:r>
              <w:rPr>
                <w:rFonts w:hint="eastAsia" w:ascii="Times New Roman" w:hAnsi="Times New Roman" w:cs="Times New Roman"/>
                <w:bCs/>
                <w:kern w:val="0"/>
                <w:sz w:val="24"/>
                <w:szCs w:val="28"/>
              </w:rPr>
              <w:t>安徽职业技术学院或比选</w:t>
            </w:r>
            <w:r>
              <w:rPr>
                <w:rFonts w:ascii="Times New Roman" w:hAnsi="Times New Roman" w:cs="Times New Roman"/>
                <w:bCs/>
                <w:kern w:val="0"/>
                <w:sz w:val="24"/>
                <w:szCs w:val="28"/>
              </w:rPr>
              <w:t>人指定地点。</w:t>
            </w:r>
          </w:p>
        </w:tc>
      </w:tr>
      <w:tr w14:paraId="248D5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6CD2D9BD">
            <w:pPr>
              <w:jc w:val="center"/>
              <w:rPr>
                <w:rFonts w:ascii="Times New Roman" w:hAnsi="Times New Roman" w:cs="Times New Roman"/>
                <w:bCs/>
                <w:sz w:val="24"/>
              </w:rPr>
            </w:pPr>
            <w:r>
              <w:rPr>
                <w:rFonts w:ascii="Times New Roman" w:hAnsi="Times New Roman" w:cs="Times New Roman"/>
                <w:bCs/>
                <w:sz w:val="24"/>
              </w:rPr>
              <w:t>3</w:t>
            </w:r>
          </w:p>
        </w:tc>
        <w:tc>
          <w:tcPr>
            <w:tcW w:w="2034" w:type="dxa"/>
            <w:noWrap w:val="0"/>
            <w:vAlign w:val="center"/>
          </w:tcPr>
          <w:p w14:paraId="79D6C1C2">
            <w:pPr>
              <w:spacing w:line="360" w:lineRule="auto"/>
              <w:jc w:val="center"/>
              <w:rPr>
                <w:rFonts w:ascii="Times New Roman" w:hAnsi="Times New Roman" w:cs="Times New Roman"/>
                <w:bCs/>
                <w:kern w:val="0"/>
                <w:sz w:val="24"/>
                <w:szCs w:val="28"/>
              </w:rPr>
            </w:pPr>
            <w:r>
              <w:rPr>
                <w:rFonts w:ascii="Times New Roman" w:hAnsi="Times New Roman" w:cs="Times New Roman"/>
                <w:bCs/>
                <w:kern w:val="0"/>
                <w:sz w:val="24"/>
                <w:szCs w:val="28"/>
              </w:rPr>
              <w:t>供货及安装期限</w:t>
            </w:r>
          </w:p>
        </w:tc>
        <w:tc>
          <w:tcPr>
            <w:tcW w:w="5776" w:type="dxa"/>
            <w:noWrap w:val="0"/>
            <w:vAlign w:val="center"/>
          </w:tcPr>
          <w:p w14:paraId="40FCDCCE">
            <w:pPr>
              <w:spacing w:line="360" w:lineRule="auto"/>
              <w:jc w:val="left"/>
              <w:rPr>
                <w:rFonts w:hint="eastAsia" w:ascii="Times New Roman" w:hAnsi="Times New Roman" w:cs="Times New Roman"/>
                <w:bCs/>
                <w:kern w:val="0"/>
                <w:sz w:val="24"/>
                <w:szCs w:val="28"/>
              </w:rPr>
            </w:pPr>
            <w:r>
              <w:rPr>
                <w:rFonts w:hint="eastAsia" w:ascii="宋体" w:hAnsi="宋体" w:cs="宋体"/>
                <w:sz w:val="24"/>
              </w:rPr>
              <w:t>中选人应在合同生效后 60天内完成全部图书供货，须雇佣专业加工人员（</w:t>
            </w:r>
            <w:r>
              <w:rPr>
                <w:rFonts w:hint="eastAsia" w:ascii="宋体" w:hAnsi="宋体" w:cs="宋体"/>
                <w:bCs/>
                <w:sz w:val="24"/>
              </w:rPr>
              <w:t>合同签订后服务前向比选人提供证书核实</w:t>
            </w:r>
            <w:r>
              <w:rPr>
                <w:rFonts w:hint="eastAsia" w:ascii="宋体" w:hAnsi="宋体" w:cs="宋体"/>
                <w:sz w:val="24"/>
              </w:rPr>
              <w:t>）到馆现场加工（安徽职业技术学院图书馆，采购人指定地点，加工结束后中选人需将图书搬运图书馆及指定地点，归类到一级类目，并送达到各相应书库上架），加工人员应相对稳定并严格按照采购人提出的加工要求进行加工。</w:t>
            </w:r>
          </w:p>
        </w:tc>
      </w:tr>
    </w:tbl>
    <w:p w14:paraId="1581D48F">
      <w:pPr>
        <w:spacing w:line="360" w:lineRule="auto"/>
        <w:ind w:firstLine="482" w:firstLineChars="200"/>
        <w:rPr>
          <w:rFonts w:hint="eastAsia" w:ascii="宋体" w:hAnsi="宋体" w:cs="宋体"/>
          <w:b/>
          <w:bCs/>
          <w:sz w:val="24"/>
          <w:szCs w:val="18"/>
        </w:rPr>
      </w:pPr>
      <w:r>
        <w:rPr>
          <w:rFonts w:hint="eastAsia" w:ascii="宋体" w:hAnsi="宋体" w:cs="宋体"/>
          <w:b/>
          <w:bCs/>
          <w:sz w:val="24"/>
          <w:szCs w:val="24"/>
        </w:rPr>
        <w:t>二、采购需求</w:t>
      </w:r>
      <w:r>
        <w:rPr>
          <w:rFonts w:hint="eastAsia" w:ascii="宋体" w:hAnsi="宋体" w:cs="宋体"/>
          <w:sz w:val="24"/>
          <w:szCs w:val="24"/>
        </w:rPr>
        <w:t xml:space="preserve"> </w:t>
      </w:r>
    </w:p>
    <w:p w14:paraId="0FA5633A">
      <w:pPr>
        <w:spacing w:line="560" w:lineRule="exact"/>
        <w:ind w:firstLine="482" w:firstLineChars="200"/>
        <w:rPr>
          <w:rFonts w:hint="eastAsia" w:ascii="宋体" w:hAnsi="宋体" w:cs="宋体"/>
          <w:b/>
          <w:bCs/>
          <w:sz w:val="24"/>
          <w:szCs w:val="24"/>
        </w:rPr>
      </w:pPr>
      <w:r>
        <w:rPr>
          <w:rFonts w:hint="eastAsia" w:ascii="宋体" w:hAnsi="宋体" w:cs="宋体"/>
          <w:b/>
          <w:bCs/>
          <w:sz w:val="24"/>
          <w:szCs w:val="24"/>
        </w:rPr>
        <w:t>1.采购标的一览表</w:t>
      </w:r>
    </w:p>
    <w:tbl>
      <w:tblPr>
        <w:tblStyle w:val="4"/>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663"/>
        <w:gridCol w:w="1904"/>
        <w:gridCol w:w="1183"/>
        <w:gridCol w:w="1263"/>
        <w:gridCol w:w="987"/>
        <w:gridCol w:w="878"/>
      </w:tblGrid>
      <w:tr w14:paraId="64031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noWrap w:val="0"/>
            <w:vAlign w:val="center"/>
          </w:tcPr>
          <w:p w14:paraId="127F36DD">
            <w:pPr>
              <w:rPr>
                <w:rFonts w:hint="eastAsia" w:ascii="宋体" w:hAnsi="宋体" w:cs="宋体"/>
                <w:b/>
                <w:sz w:val="24"/>
                <w:szCs w:val="24"/>
              </w:rPr>
            </w:pPr>
            <w:r>
              <w:rPr>
                <w:rFonts w:hint="eastAsia" w:ascii="宋体" w:hAnsi="宋体" w:cs="宋体"/>
                <w:b/>
                <w:sz w:val="24"/>
                <w:szCs w:val="24"/>
              </w:rPr>
              <w:t>序号</w:t>
            </w:r>
          </w:p>
        </w:tc>
        <w:tc>
          <w:tcPr>
            <w:tcW w:w="1663" w:type="dxa"/>
            <w:noWrap w:val="0"/>
            <w:vAlign w:val="center"/>
          </w:tcPr>
          <w:p w14:paraId="4912EA84">
            <w:pPr>
              <w:rPr>
                <w:rFonts w:hint="eastAsia" w:ascii="宋体" w:hAnsi="宋体" w:cs="宋体"/>
                <w:b/>
                <w:sz w:val="24"/>
                <w:szCs w:val="24"/>
              </w:rPr>
            </w:pPr>
            <w:r>
              <w:rPr>
                <w:rFonts w:hint="eastAsia" w:ascii="宋体" w:hAnsi="宋体" w:cs="宋体"/>
                <w:b/>
                <w:sz w:val="24"/>
                <w:szCs w:val="24"/>
              </w:rPr>
              <w:t>标的名称</w:t>
            </w:r>
          </w:p>
        </w:tc>
        <w:tc>
          <w:tcPr>
            <w:tcW w:w="1904" w:type="dxa"/>
            <w:noWrap w:val="0"/>
            <w:vAlign w:val="center"/>
          </w:tcPr>
          <w:p w14:paraId="1ADB211D">
            <w:pPr>
              <w:rPr>
                <w:rFonts w:hint="eastAsia" w:ascii="宋体" w:hAnsi="宋体" w:cs="宋体"/>
                <w:b/>
                <w:sz w:val="24"/>
                <w:szCs w:val="24"/>
              </w:rPr>
            </w:pPr>
            <w:r>
              <w:rPr>
                <w:rFonts w:hint="eastAsia" w:ascii="宋体" w:hAnsi="宋体" w:cs="宋体"/>
                <w:b/>
                <w:sz w:val="24"/>
                <w:szCs w:val="24"/>
              </w:rPr>
              <w:t>数量及单位</w:t>
            </w:r>
          </w:p>
        </w:tc>
        <w:tc>
          <w:tcPr>
            <w:tcW w:w="1183" w:type="dxa"/>
            <w:noWrap w:val="0"/>
            <w:vAlign w:val="center"/>
          </w:tcPr>
          <w:p w14:paraId="33C7C71B">
            <w:pPr>
              <w:rPr>
                <w:rFonts w:hint="default" w:ascii="宋体" w:hAnsi="宋体" w:eastAsia="宋体" w:cs="宋体"/>
                <w:b/>
                <w:sz w:val="24"/>
                <w:szCs w:val="24"/>
                <w:lang w:val="en-US" w:eastAsia="zh-CN"/>
              </w:rPr>
            </w:pPr>
            <w:r>
              <w:rPr>
                <w:rFonts w:hint="eastAsia" w:ascii="宋体" w:hAnsi="宋体" w:cs="宋体"/>
                <w:b/>
                <w:sz w:val="24"/>
                <w:szCs w:val="24"/>
              </w:rPr>
              <w:t>单价</w:t>
            </w:r>
            <w:r>
              <w:rPr>
                <w:rFonts w:hint="eastAsia" w:ascii="宋体" w:hAnsi="宋体" w:eastAsia="宋体" w:cs="宋体"/>
                <w:b/>
                <w:sz w:val="24"/>
                <w:szCs w:val="24"/>
                <w:lang w:val="en-US" w:eastAsia="zh-CN"/>
              </w:rPr>
              <w:t>及单位</w:t>
            </w:r>
          </w:p>
        </w:tc>
        <w:tc>
          <w:tcPr>
            <w:tcW w:w="1263" w:type="dxa"/>
            <w:noWrap w:val="0"/>
            <w:vAlign w:val="center"/>
          </w:tcPr>
          <w:p w14:paraId="4E3A99DF">
            <w:pPr>
              <w:rPr>
                <w:rFonts w:hint="eastAsia" w:ascii="宋体" w:hAnsi="宋体" w:cs="宋体"/>
                <w:b/>
                <w:sz w:val="24"/>
                <w:szCs w:val="24"/>
              </w:rPr>
            </w:pPr>
            <w:r>
              <w:rPr>
                <w:rFonts w:hint="eastAsia" w:ascii="宋体" w:hAnsi="宋体" w:cs="宋体"/>
                <w:b/>
                <w:sz w:val="24"/>
                <w:szCs w:val="24"/>
              </w:rPr>
              <w:t>总价</w:t>
            </w:r>
          </w:p>
        </w:tc>
        <w:tc>
          <w:tcPr>
            <w:tcW w:w="987" w:type="dxa"/>
            <w:noWrap w:val="0"/>
            <w:vAlign w:val="center"/>
          </w:tcPr>
          <w:p w14:paraId="1F485E2D">
            <w:pPr>
              <w:rPr>
                <w:rFonts w:hint="eastAsia" w:ascii="宋体" w:hAnsi="宋体" w:cs="宋体"/>
                <w:b/>
                <w:sz w:val="24"/>
                <w:szCs w:val="24"/>
              </w:rPr>
            </w:pPr>
            <w:r>
              <w:rPr>
                <w:rFonts w:hint="eastAsia" w:ascii="宋体" w:hAnsi="宋体" w:cs="宋体"/>
                <w:b/>
                <w:sz w:val="24"/>
                <w:szCs w:val="24"/>
              </w:rPr>
              <w:t>是否</w:t>
            </w:r>
          </w:p>
          <w:p w14:paraId="09E4FF2D">
            <w:pPr>
              <w:rPr>
                <w:rFonts w:hint="eastAsia" w:ascii="宋体" w:hAnsi="宋体" w:cs="宋体"/>
                <w:b/>
                <w:sz w:val="24"/>
                <w:szCs w:val="24"/>
              </w:rPr>
            </w:pPr>
            <w:r>
              <w:rPr>
                <w:rFonts w:hint="eastAsia" w:ascii="宋体" w:hAnsi="宋体" w:cs="宋体"/>
                <w:b/>
                <w:sz w:val="24"/>
                <w:szCs w:val="24"/>
              </w:rPr>
              <w:t>进口</w:t>
            </w:r>
          </w:p>
        </w:tc>
        <w:tc>
          <w:tcPr>
            <w:tcW w:w="878" w:type="dxa"/>
            <w:noWrap w:val="0"/>
            <w:vAlign w:val="center"/>
          </w:tcPr>
          <w:p w14:paraId="17B6AC8F">
            <w:pPr>
              <w:rPr>
                <w:rFonts w:hint="eastAsia" w:ascii="宋体" w:hAnsi="宋体" w:cs="宋体"/>
                <w:b/>
                <w:sz w:val="24"/>
                <w:szCs w:val="24"/>
              </w:rPr>
            </w:pPr>
            <w:r>
              <w:rPr>
                <w:rFonts w:hint="eastAsia" w:ascii="宋体" w:hAnsi="宋体" w:cs="宋体"/>
                <w:b/>
                <w:sz w:val="24"/>
                <w:szCs w:val="24"/>
              </w:rPr>
              <w:t>备注</w:t>
            </w:r>
          </w:p>
        </w:tc>
      </w:tr>
      <w:tr w14:paraId="6C574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noWrap w:val="0"/>
            <w:vAlign w:val="center"/>
          </w:tcPr>
          <w:p w14:paraId="13548260">
            <w:pPr>
              <w:adjustRightInd w:val="0"/>
              <w:snapToGrid w:val="0"/>
              <w:spacing w:line="560" w:lineRule="exact"/>
              <w:rPr>
                <w:rFonts w:hint="eastAsia" w:ascii="宋体" w:hAnsi="宋体" w:cs="宋体"/>
                <w:sz w:val="24"/>
                <w:szCs w:val="24"/>
              </w:rPr>
            </w:pPr>
            <w:r>
              <w:rPr>
                <w:rFonts w:hint="eastAsia" w:ascii="宋体" w:hAnsi="宋体" w:cs="宋体"/>
                <w:sz w:val="24"/>
                <w:szCs w:val="24"/>
              </w:rPr>
              <w:t>1</w:t>
            </w:r>
          </w:p>
        </w:tc>
        <w:tc>
          <w:tcPr>
            <w:tcW w:w="1663" w:type="dxa"/>
            <w:noWrap w:val="0"/>
            <w:vAlign w:val="center"/>
          </w:tcPr>
          <w:p w14:paraId="3E4986BF">
            <w:pPr>
              <w:pStyle w:val="3"/>
              <w:jc w:val="both"/>
              <w:rPr>
                <w:rFonts w:hint="eastAsia"/>
                <w:szCs w:val="24"/>
              </w:rPr>
            </w:pPr>
            <w:r>
              <w:rPr>
                <w:rFonts w:hint="eastAsia"/>
                <w:szCs w:val="24"/>
              </w:rPr>
              <w:t>综合类图书</w:t>
            </w:r>
          </w:p>
        </w:tc>
        <w:tc>
          <w:tcPr>
            <w:tcW w:w="1904" w:type="dxa"/>
            <w:noWrap w:val="0"/>
            <w:vAlign w:val="center"/>
          </w:tcPr>
          <w:p w14:paraId="174057BF">
            <w:pPr>
              <w:adjustRightInd w:val="0"/>
              <w:snapToGrid w:val="0"/>
              <w:spacing w:line="560" w:lineRule="exact"/>
              <w:rPr>
                <w:rFonts w:hint="eastAsia" w:ascii="宋体" w:hAnsi="宋体" w:cs="宋体"/>
                <w:sz w:val="24"/>
                <w:szCs w:val="24"/>
              </w:rPr>
            </w:pPr>
            <w:r>
              <w:rPr>
                <w:rFonts w:hint="eastAsia" w:ascii="宋体" w:hAnsi="宋体" w:cs="宋体"/>
                <w:sz w:val="24"/>
                <w:szCs w:val="24"/>
              </w:rPr>
              <w:t>约1500册</w:t>
            </w:r>
          </w:p>
        </w:tc>
        <w:tc>
          <w:tcPr>
            <w:tcW w:w="1183" w:type="dxa"/>
            <w:noWrap w:val="0"/>
            <w:vAlign w:val="center"/>
          </w:tcPr>
          <w:p w14:paraId="714F76FB">
            <w:pPr>
              <w:adjustRightInd w:val="0"/>
              <w:snapToGrid w:val="0"/>
              <w:spacing w:line="560" w:lineRule="exact"/>
              <w:rPr>
                <w:rFonts w:hint="eastAsia" w:ascii="宋体" w:hAnsi="宋体" w:eastAsia="宋体" w:cs="宋体"/>
                <w:sz w:val="24"/>
                <w:szCs w:val="24"/>
                <w:lang w:val="en-US" w:eastAsia="zh-CN"/>
              </w:rPr>
            </w:pPr>
            <w:r>
              <w:rPr>
                <w:rFonts w:ascii="宋体" w:hAnsi="宋体" w:cs="宋体"/>
                <w:sz w:val="24"/>
                <w:szCs w:val="24"/>
              </w:rPr>
              <w:t>60</w:t>
            </w:r>
            <w:r>
              <w:rPr>
                <w:rFonts w:hint="eastAsia" w:ascii="宋体" w:hAnsi="宋体" w:cs="宋体"/>
                <w:sz w:val="24"/>
                <w:szCs w:val="24"/>
                <w:lang w:val="en-US" w:eastAsia="zh-CN"/>
              </w:rPr>
              <w:t>元</w:t>
            </w:r>
          </w:p>
        </w:tc>
        <w:tc>
          <w:tcPr>
            <w:tcW w:w="1263" w:type="dxa"/>
            <w:noWrap w:val="0"/>
            <w:vAlign w:val="center"/>
          </w:tcPr>
          <w:p w14:paraId="2213E298">
            <w:pPr>
              <w:adjustRightInd w:val="0"/>
              <w:snapToGrid w:val="0"/>
              <w:spacing w:line="560" w:lineRule="exact"/>
              <w:rPr>
                <w:rFonts w:hint="eastAsia" w:ascii="宋体" w:hAnsi="宋体" w:eastAsia="宋体" w:cs="宋体"/>
                <w:sz w:val="24"/>
                <w:szCs w:val="24"/>
                <w:lang w:val="en-US" w:eastAsia="zh-CN"/>
              </w:rPr>
            </w:pPr>
            <w:r>
              <w:rPr>
                <w:rFonts w:hint="eastAsia" w:ascii="宋体" w:hAnsi="宋体" w:cs="宋体"/>
                <w:sz w:val="24"/>
                <w:szCs w:val="24"/>
              </w:rPr>
              <w:t>1</w:t>
            </w:r>
            <w:r>
              <w:rPr>
                <w:rFonts w:ascii="宋体" w:hAnsi="宋体" w:cs="宋体"/>
                <w:sz w:val="24"/>
                <w:szCs w:val="24"/>
              </w:rPr>
              <w:t>0</w:t>
            </w:r>
            <w:r>
              <w:rPr>
                <w:rFonts w:hint="eastAsia" w:ascii="宋体" w:hAnsi="宋体" w:cs="宋体"/>
                <w:sz w:val="24"/>
                <w:szCs w:val="24"/>
              </w:rPr>
              <w:t>万</w:t>
            </w:r>
            <w:r>
              <w:rPr>
                <w:rFonts w:hint="eastAsia" w:ascii="宋体" w:hAnsi="宋体" w:cs="宋体"/>
                <w:sz w:val="24"/>
                <w:szCs w:val="24"/>
                <w:lang w:val="en-US" w:eastAsia="zh-CN"/>
              </w:rPr>
              <w:t>元</w:t>
            </w:r>
          </w:p>
        </w:tc>
        <w:tc>
          <w:tcPr>
            <w:tcW w:w="987" w:type="dxa"/>
            <w:noWrap w:val="0"/>
            <w:vAlign w:val="center"/>
          </w:tcPr>
          <w:p w14:paraId="7749EDBF">
            <w:pPr>
              <w:adjustRightInd w:val="0"/>
              <w:snapToGrid w:val="0"/>
              <w:spacing w:line="560" w:lineRule="exact"/>
              <w:rPr>
                <w:rFonts w:hint="eastAsia" w:ascii="宋体" w:hAnsi="宋体" w:cs="宋体"/>
                <w:sz w:val="24"/>
                <w:szCs w:val="24"/>
              </w:rPr>
            </w:pPr>
            <w:r>
              <w:rPr>
                <w:rFonts w:hint="eastAsia" w:ascii="宋体" w:hAnsi="宋体" w:cs="宋体"/>
                <w:sz w:val="24"/>
                <w:szCs w:val="24"/>
              </w:rPr>
              <w:t>否</w:t>
            </w:r>
          </w:p>
        </w:tc>
        <w:tc>
          <w:tcPr>
            <w:tcW w:w="878" w:type="dxa"/>
            <w:noWrap w:val="0"/>
            <w:vAlign w:val="center"/>
          </w:tcPr>
          <w:p w14:paraId="24233C8C">
            <w:pPr>
              <w:adjustRightInd w:val="0"/>
              <w:snapToGrid w:val="0"/>
              <w:spacing w:line="560" w:lineRule="exact"/>
              <w:rPr>
                <w:rFonts w:hint="eastAsia" w:ascii="宋体" w:hAnsi="宋体" w:cs="宋体"/>
                <w:sz w:val="24"/>
                <w:szCs w:val="24"/>
              </w:rPr>
            </w:pPr>
          </w:p>
        </w:tc>
      </w:tr>
      <w:tr w14:paraId="1502D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noWrap w:val="0"/>
            <w:vAlign w:val="center"/>
          </w:tcPr>
          <w:p w14:paraId="73EB37E9">
            <w:pPr>
              <w:adjustRightInd w:val="0"/>
              <w:snapToGrid w:val="0"/>
              <w:spacing w:line="560" w:lineRule="exact"/>
              <w:rPr>
                <w:rFonts w:hint="eastAsia" w:ascii="宋体" w:hAnsi="宋体" w:cs="宋体"/>
                <w:sz w:val="24"/>
                <w:szCs w:val="24"/>
              </w:rPr>
            </w:pPr>
            <w:r>
              <w:rPr>
                <w:rFonts w:hint="eastAsia" w:ascii="宋体" w:hAnsi="宋体" w:cs="宋体"/>
                <w:sz w:val="24"/>
                <w:szCs w:val="24"/>
              </w:rPr>
              <w:t>总价</w:t>
            </w:r>
          </w:p>
        </w:tc>
        <w:tc>
          <w:tcPr>
            <w:tcW w:w="7878" w:type="dxa"/>
            <w:gridSpan w:val="6"/>
            <w:noWrap w:val="0"/>
            <w:vAlign w:val="center"/>
          </w:tcPr>
          <w:p w14:paraId="797FC204">
            <w:pPr>
              <w:adjustRightInd w:val="0"/>
              <w:snapToGrid w:val="0"/>
              <w:spacing w:line="560" w:lineRule="exact"/>
              <w:rPr>
                <w:rFonts w:hint="eastAsia" w:ascii="宋体" w:hAnsi="宋体" w:cs="宋体"/>
                <w:sz w:val="24"/>
                <w:szCs w:val="24"/>
              </w:rPr>
            </w:pPr>
            <w:r>
              <w:rPr>
                <w:rFonts w:hint="eastAsia" w:ascii="宋体" w:hAnsi="宋体" w:cs="宋体"/>
                <w:sz w:val="24"/>
                <w:szCs w:val="24"/>
              </w:rPr>
              <w:t>小写： 1</w:t>
            </w:r>
            <w:r>
              <w:rPr>
                <w:rFonts w:ascii="宋体" w:hAnsi="宋体" w:cs="宋体"/>
                <w:sz w:val="24"/>
                <w:szCs w:val="24"/>
              </w:rPr>
              <w:t>0</w:t>
            </w:r>
            <w:r>
              <w:rPr>
                <w:rFonts w:hint="eastAsia" w:ascii="宋体" w:hAnsi="宋体" w:cs="宋体"/>
                <w:sz w:val="24"/>
                <w:szCs w:val="24"/>
              </w:rPr>
              <w:t>0000</w:t>
            </w:r>
            <w:r>
              <w:rPr>
                <w:rFonts w:hint="eastAsia" w:ascii="宋体" w:hAnsi="宋体" w:cs="宋体"/>
                <w:sz w:val="24"/>
                <w:szCs w:val="24"/>
                <w:lang w:val="en-US" w:eastAsia="zh-CN"/>
              </w:rPr>
              <w:t>元</w:t>
            </w:r>
            <w:r>
              <w:rPr>
                <w:rFonts w:hint="eastAsia" w:ascii="宋体" w:hAnsi="宋体" w:cs="宋体"/>
                <w:sz w:val="24"/>
                <w:szCs w:val="24"/>
              </w:rPr>
              <w:t xml:space="preserve">      大写：壹拾万圆</w:t>
            </w:r>
          </w:p>
        </w:tc>
      </w:tr>
    </w:tbl>
    <w:p w14:paraId="67BE8BDC">
      <w:pPr>
        <w:ind w:firstLine="420" w:firstLineChars="200"/>
        <w:rPr>
          <w:rFonts w:hint="eastAsia" w:ascii="宋体" w:hAnsi="宋体" w:cs="宋体"/>
          <w:szCs w:val="21"/>
        </w:rPr>
      </w:pPr>
    </w:p>
    <w:p w14:paraId="4BFEDC06">
      <w:pPr>
        <w:tabs>
          <w:tab w:val="left" w:pos="312"/>
        </w:tabs>
        <w:ind w:left="482"/>
        <w:rPr>
          <w:rFonts w:hint="eastAsia" w:ascii="宋体" w:hAnsi="宋体" w:cs="宋体"/>
          <w:b/>
          <w:bCs/>
          <w:sz w:val="24"/>
          <w:szCs w:val="24"/>
        </w:rPr>
      </w:pPr>
      <w:r>
        <w:rPr>
          <w:rFonts w:hint="eastAsia" w:ascii="宋体" w:hAnsi="宋体" w:cs="宋体"/>
          <w:b/>
          <w:bCs/>
          <w:sz w:val="24"/>
          <w:szCs w:val="24"/>
        </w:rPr>
        <w:t>2.采购需求表</w:t>
      </w:r>
    </w:p>
    <w:p w14:paraId="0F9261A1"/>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7"/>
        <w:gridCol w:w="580"/>
        <w:gridCol w:w="6171"/>
        <w:gridCol w:w="797"/>
        <w:gridCol w:w="487"/>
      </w:tblGrid>
      <w:tr w14:paraId="4BFD0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462E7DF5">
            <w:pPr>
              <w:spacing w:line="360" w:lineRule="auto"/>
              <w:rPr>
                <w:rFonts w:hint="eastAsia" w:ascii="宋体" w:hAnsi="宋体" w:eastAsia="宋体" w:cs="宋体"/>
                <w:bCs/>
                <w:sz w:val="24"/>
                <w:szCs w:val="18"/>
              </w:rPr>
            </w:pPr>
            <w:r>
              <w:rPr>
                <w:rFonts w:hint="eastAsia" w:ascii="宋体" w:hAnsi="宋体" w:eastAsia="宋体" w:cs="宋体"/>
                <w:bCs/>
                <w:sz w:val="24"/>
                <w:szCs w:val="18"/>
              </w:rPr>
              <w:t>序号</w:t>
            </w:r>
          </w:p>
        </w:tc>
        <w:tc>
          <w:tcPr>
            <w:tcW w:w="0" w:type="auto"/>
            <w:noWrap w:val="0"/>
            <w:vAlign w:val="center"/>
          </w:tcPr>
          <w:p w14:paraId="18B0FD5F">
            <w:pPr>
              <w:spacing w:line="360" w:lineRule="auto"/>
              <w:rPr>
                <w:rFonts w:hint="eastAsia" w:ascii="宋体" w:hAnsi="宋体" w:eastAsia="宋体" w:cs="宋体"/>
                <w:bCs/>
                <w:sz w:val="24"/>
                <w:szCs w:val="18"/>
              </w:rPr>
            </w:pPr>
            <w:r>
              <w:rPr>
                <w:rFonts w:hint="eastAsia" w:ascii="宋体" w:hAnsi="宋体" w:eastAsia="宋体" w:cs="宋体"/>
                <w:bCs/>
                <w:sz w:val="24"/>
                <w:szCs w:val="18"/>
              </w:rPr>
              <w:t>货物名称</w:t>
            </w:r>
          </w:p>
        </w:tc>
        <w:tc>
          <w:tcPr>
            <w:tcW w:w="0" w:type="auto"/>
            <w:noWrap w:val="0"/>
            <w:vAlign w:val="center"/>
          </w:tcPr>
          <w:p w14:paraId="23E0025B">
            <w:pPr>
              <w:spacing w:line="360" w:lineRule="auto"/>
              <w:rPr>
                <w:rFonts w:hint="eastAsia" w:ascii="宋体" w:hAnsi="宋体" w:eastAsia="宋体" w:cs="宋体"/>
                <w:bCs/>
                <w:sz w:val="24"/>
                <w:szCs w:val="18"/>
              </w:rPr>
            </w:pPr>
            <w:r>
              <w:rPr>
                <w:rFonts w:hint="eastAsia" w:ascii="宋体" w:hAnsi="宋体" w:eastAsia="宋体" w:cs="宋体"/>
                <w:bCs/>
                <w:sz w:val="24"/>
                <w:szCs w:val="18"/>
              </w:rPr>
              <w:t>技术参数及要求</w:t>
            </w:r>
          </w:p>
        </w:tc>
        <w:tc>
          <w:tcPr>
            <w:tcW w:w="0" w:type="auto"/>
            <w:noWrap w:val="0"/>
            <w:vAlign w:val="center"/>
          </w:tcPr>
          <w:p w14:paraId="6134CBAD">
            <w:pPr>
              <w:spacing w:line="360" w:lineRule="auto"/>
              <w:rPr>
                <w:rFonts w:hint="eastAsia" w:ascii="宋体" w:hAnsi="宋体" w:eastAsia="宋体" w:cs="宋体"/>
                <w:bCs/>
                <w:sz w:val="24"/>
                <w:szCs w:val="18"/>
              </w:rPr>
            </w:pPr>
            <w:r>
              <w:rPr>
                <w:rFonts w:hint="eastAsia" w:ascii="宋体" w:hAnsi="宋体" w:eastAsia="宋体" w:cs="宋体"/>
                <w:bCs/>
                <w:sz w:val="24"/>
                <w:szCs w:val="18"/>
              </w:rPr>
              <w:t>数量</w:t>
            </w:r>
          </w:p>
        </w:tc>
        <w:tc>
          <w:tcPr>
            <w:tcW w:w="0" w:type="auto"/>
            <w:noWrap w:val="0"/>
            <w:vAlign w:val="center"/>
          </w:tcPr>
          <w:p w14:paraId="329964A9">
            <w:pPr>
              <w:spacing w:line="360" w:lineRule="auto"/>
              <w:rPr>
                <w:rFonts w:hint="eastAsia" w:ascii="宋体" w:hAnsi="宋体" w:eastAsia="宋体" w:cs="宋体"/>
                <w:bCs/>
                <w:sz w:val="24"/>
                <w:szCs w:val="18"/>
              </w:rPr>
            </w:pPr>
            <w:r>
              <w:rPr>
                <w:rFonts w:hint="eastAsia" w:ascii="宋体" w:hAnsi="宋体" w:eastAsia="宋体" w:cs="宋体"/>
                <w:bCs/>
                <w:sz w:val="24"/>
                <w:szCs w:val="18"/>
              </w:rPr>
              <w:t>备注</w:t>
            </w:r>
          </w:p>
        </w:tc>
      </w:tr>
      <w:tr w14:paraId="229A0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0" w:type="auto"/>
            <w:noWrap w:val="0"/>
            <w:vAlign w:val="center"/>
          </w:tcPr>
          <w:p w14:paraId="00095052">
            <w:pPr>
              <w:spacing w:line="360" w:lineRule="auto"/>
              <w:rPr>
                <w:rFonts w:hint="eastAsia" w:ascii="宋体" w:hAnsi="宋体" w:eastAsia="宋体" w:cs="宋体"/>
                <w:sz w:val="24"/>
                <w:szCs w:val="18"/>
              </w:rPr>
            </w:pPr>
            <w:r>
              <w:rPr>
                <w:rFonts w:hint="eastAsia" w:ascii="宋体" w:hAnsi="宋体" w:eastAsia="宋体" w:cs="宋体"/>
                <w:sz w:val="24"/>
                <w:szCs w:val="18"/>
              </w:rPr>
              <w:t>1</w:t>
            </w:r>
          </w:p>
        </w:tc>
        <w:tc>
          <w:tcPr>
            <w:tcW w:w="0" w:type="auto"/>
            <w:noWrap w:val="0"/>
            <w:vAlign w:val="center"/>
          </w:tcPr>
          <w:p w14:paraId="5F10F151">
            <w:pPr>
              <w:spacing w:line="360" w:lineRule="auto"/>
              <w:rPr>
                <w:rFonts w:hint="eastAsia" w:ascii="宋体" w:hAnsi="宋体" w:eastAsia="宋体" w:cs="宋体"/>
                <w:bCs/>
                <w:sz w:val="24"/>
                <w:szCs w:val="18"/>
              </w:rPr>
            </w:pPr>
            <w:r>
              <w:rPr>
                <w:rFonts w:hint="eastAsia" w:ascii="宋体" w:hAnsi="宋体" w:eastAsia="宋体" w:cs="宋体"/>
                <w:sz w:val="24"/>
                <w:szCs w:val="24"/>
              </w:rPr>
              <w:t>综合类图书</w:t>
            </w:r>
          </w:p>
        </w:tc>
        <w:tc>
          <w:tcPr>
            <w:tcW w:w="0" w:type="auto"/>
            <w:noWrap w:val="0"/>
            <w:vAlign w:val="top"/>
          </w:tcPr>
          <w:p w14:paraId="47CC3B50">
            <w:pPr>
              <w:spacing w:line="360" w:lineRule="auto"/>
              <w:rPr>
                <w:rFonts w:hint="eastAsia" w:ascii="宋体" w:hAnsi="宋体" w:eastAsia="宋体" w:cs="宋体"/>
                <w:sz w:val="24"/>
              </w:rPr>
            </w:pPr>
            <w:r>
              <w:rPr>
                <w:rFonts w:hint="eastAsia" w:ascii="宋体" w:hAnsi="宋体" w:eastAsia="宋体" w:cs="宋体"/>
                <w:sz w:val="24"/>
              </w:rPr>
              <w:t>一、技术要求</w:t>
            </w:r>
          </w:p>
          <w:p w14:paraId="3AEFA0EA">
            <w:pPr>
              <w:pStyle w:val="6"/>
              <w:spacing w:line="360" w:lineRule="auto"/>
              <w:rPr>
                <w:rFonts w:hint="eastAsia" w:ascii="宋体" w:hAnsi="宋体" w:eastAsia="宋体" w:cs="宋体"/>
                <w:szCs w:val="24"/>
              </w:rPr>
            </w:pPr>
            <w:r>
              <w:rPr>
                <w:rFonts w:hint="eastAsia" w:ascii="宋体" w:hAnsi="宋体" w:eastAsia="宋体" w:cs="宋体"/>
                <w:szCs w:val="24"/>
              </w:rPr>
              <w:t>1、货物需求：</w:t>
            </w:r>
          </w:p>
          <w:p w14:paraId="7ADFA0DF">
            <w:pPr>
              <w:pStyle w:val="6"/>
              <w:spacing w:line="360" w:lineRule="auto"/>
              <w:rPr>
                <w:rFonts w:hint="eastAsia" w:ascii="宋体" w:hAnsi="宋体" w:eastAsia="宋体" w:cs="宋体"/>
                <w:szCs w:val="24"/>
              </w:rPr>
            </w:pPr>
            <w:r>
              <w:rPr>
                <w:rFonts w:hint="eastAsia" w:ascii="宋体" w:hAnsi="宋体" w:eastAsia="宋体" w:cs="宋体"/>
                <w:szCs w:val="24"/>
              </w:rPr>
              <w:t>本次采购以最新出版自然科学中文纸质图书为主，社科科学类中文纸质图书为辅，兼顾近年来出版的、经馆藏查重后的、适合本校教学科研需求的、满足学校“十四五”发展规划中“建设高水平职业技能大学目标”的中文纸质类图书，以及教师学生推荐采购的中文纸质图书，涉及学校相关专业大类，分类详见《中图法》，附件齐全。复本1-2。</w:t>
            </w:r>
          </w:p>
          <w:p w14:paraId="35DF0C87">
            <w:pPr>
              <w:pStyle w:val="6"/>
              <w:spacing w:line="360" w:lineRule="auto"/>
              <w:rPr>
                <w:rFonts w:hint="eastAsia" w:ascii="宋体" w:hAnsi="宋体" w:eastAsia="宋体" w:cs="宋体"/>
                <w:szCs w:val="24"/>
              </w:rPr>
            </w:pPr>
            <w:r>
              <w:rPr>
                <w:rFonts w:hint="eastAsia" w:ascii="宋体" w:hAnsi="宋体" w:eastAsia="宋体" w:cs="宋体"/>
                <w:szCs w:val="24"/>
              </w:rPr>
              <w:t>2、图书加工需求：</w:t>
            </w:r>
          </w:p>
          <w:p w14:paraId="5105B2F3">
            <w:pPr>
              <w:pStyle w:val="6"/>
              <w:spacing w:line="360" w:lineRule="auto"/>
              <w:rPr>
                <w:rFonts w:hint="eastAsia" w:ascii="宋体" w:hAnsi="宋体" w:eastAsia="宋体" w:cs="宋体"/>
                <w:szCs w:val="24"/>
              </w:rPr>
            </w:pPr>
            <w:r>
              <w:rPr>
                <w:rFonts w:hint="eastAsia" w:ascii="宋体" w:hAnsi="宋体" w:eastAsia="宋体" w:cs="宋体"/>
                <w:szCs w:val="24"/>
              </w:rPr>
              <w:t>（1）每本书加盖馆藏章（每本书三个，位置：题名页中间、右侧面切口处中间、最后一页中间）、粘贴条形码（每本书两个，位置：题名页右上角、最后一页左上角，尺寸为4.5cm*1.5cm）、书标两个（每本书两个，位置：书脊下方、提名页左上角，尺寸为3.8cm*3.1cm，同时</w:t>
            </w:r>
            <w:r>
              <w:rPr>
                <w:rFonts w:hint="eastAsia" w:ascii="宋体" w:hAnsi="宋体" w:eastAsia="宋体" w:cs="宋体"/>
              </w:rPr>
              <w:t>包括分类号、种次号，册数应与比选人吻合</w:t>
            </w:r>
            <w:r>
              <w:rPr>
                <w:rFonts w:hint="eastAsia" w:ascii="宋体" w:hAnsi="宋体" w:eastAsia="宋体" w:cs="宋体"/>
                <w:szCs w:val="24"/>
              </w:rPr>
              <w:t>）、不干胶保护膜两个（附加在书标上）；</w:t>
            </w:r>
          </w:p>
          <w:p w14:paraId="36486D14">
            <w:pPr>
              <w:pStyle w:val="6"/>
              <w:spacing w:line="360" w:lineRule="auto"/>
              <w:rPr>
                <w:rFonts w:hint="eastAsia" w:ascii="宋体" w:hAnsi="宋体" w:eastAsia="宋体" w:cs="宋体"/>
                <w:szCs w:val="24"/>
              </w:rPr>
            </w:pPr>
            <w:r>
              <w:rPr>
                <w:rFonts w:hint="eastAsia" w:ascii="宋体" w:hAnsi="宋体" w:eastAsia="宋体" w:cs="宋体"/>
                <w:szCs w:val="24"/>
              </w:rPr>
              <w:t>（2）图书加工需要查重、分类、标引、著录、粘贴标签（加附膜）、上架 、摆放；</w:t>
            </w:r>
          </w:p>
          <w:p w14:paraId="6B6336D9">
            <w:pPr>
              <w:pStyle w:val="6"/>
              <w:spacing w:line="360" w:lineRule="auto"/>
              <w:rPr>
                <w:rFonts w:hint="eastAsia" w:ascii="宋体" w:hAnsi="宋体" w:eastAsia="宋体" w:cs="宋体"/>
                <w:szCs w:val="24"/>
              </w:rPr>
            </w:pPr>
            <w:r>
              <w:rPr>
                <w:rFonts w:hint="eastAsia" w:ascii="宋体" w:hAnsi="宋体" w:eastAsia="宋体" w:cs="宋体"/>
                <w:szCs w:val="24"/>
              </w:rPr>
              <w:t>3、加贴RFID电子芯片（每本书一个，位置在书末20页左右），中选人可自配芯片，需与比选人自助借还系统（远望谷）能无缝对接，其技术参数要求如下：</w:t>
            </w:r>
          </w:p>
          <w:p w14:paraId="21EFF70C">
            <w:pPr>
              <w:pStyle w:val="6"/>
              <w:spacing w:line="360" w:lineRule="auto"/>
              <w:rPr>
                <w:rFonts w:hint="eastAsia" w:ascii="宋体" w:hAnsi="宋体" w:eastAsia="宋体" w:cs="宋体"/>
                <w:szCs w:val="24"/>
              </w:rPr>
            </w:pPr>
            <w:r>
              <w:rPr>
                <w:rFonts w:hint="eastAsia" w:ascii="宋体" w:hAnsi="宋体" w:eastAsia="宋体" w:cs="宋体"/>
                <w:szCs w:val="24"/>
              </w:rPr>
              <w:t>（1）标签中有存储器，存储在其中的信息可重复读写；</w:t>
            </w:r>
          </w:p>
          <w:p w14:paraId="08E414DD">
            <w:pPr>
              <w:pStyle w:val="6"/>
              <w:spacing w:line="360" w:lineRule="auto"/>
              <w:rPr>
                <w:rFonts w:hint="eastAsia" w:ascii="宋体" w:hAnsi="宋体" w:eastAsia="宋体" w:cs="宋体"/>
                <w:szCs w:val="24"/>
              </w:rPr>
            </w:pPr>
            <w:r>
              <w:rPr>
                <w:rFonts w:hint="eastAsia" w:ascii="宋体" w:hAnsi="宋体" w:eastAsia="宋体" w:cs="宋体"/>
                <w:szCs w:val="24"/>
              </w:rPr>
              <w:t>（2）标签可以非接触式的读取和写入；</w:t>
            </w:r>
          </w:p>
          <w:p w14:paraId="159C75EC">
            <w:pPr>
              <w:pStyle w:val="6"/>
              <w:spacing w:line="360" w:lineRule="auto"/>
              <w:rPr>
                <w:rFonts w:hint="eastAsia" w:ascii="宋体" w:hAnsi="宋体" w:eastAsia="宋体" w:cs="宋体"/>
                <w:szCs w:val="24"/>
              </w:rPr>
            </w:pPr>
            <w:r>
              <w:rPr>
                <w:rFonts w:hint="eastAsia" w:ascii="宋体" w:hAnsi="宋体" w:eastAsia="宋体" w:cs="宋体"/>
                <w:szCs w:val="24"/>
              </w:rPr>
              <w:t>（3）标签具有一定的抗冲突性，能保证多个标签的同时可靠识别；</w:t>
            </w:r>
          </w:p>
          <w:p w14:paraId="431D22B9">
            <w:pPr>
              <w:pStyle w:val="6"/>
              <w:spacing w:line="360" w:lineRule="auto"/>
              <w:rPr>
                <w:rFonts w:hint="eastAsia" w:ascii="宋体" w:hAnsi="宋体" w:eastAsia="宋体" w:cs="宋体"/>
                <w:szCs w:val="24"/>
              </w:rPr>
            </w:pPr>
            <w:r>
              <w:rPr>
                <w:rFonts w:hint="eastAsia" w:ascii="宋体" w:hAnsi="宋体" w:eastAsia="宋体" w:cs="宋体"/>
                <w:szCs w:val="24"/>
              </w:rPr>
              <w:t>（4）标签具有较高的安全性，防止储存在其中的信息资料被泄露；</w:t>
            </w:r>
          </w:p>
          <w:p w14:paraId="5D917FB6">
            <w:pPr>
              <w:pStyle w:val="6"/>
              <w:spacing w:line="360" w:lineRule="auto"/>
              <w:rPr>
                <w:rFonts w:hint="eastAsia" w:ascii="宋体" w:hAnsi="宋体" w:eastAsia="宋体" w:cs="宋体"/>
                <w:szCs w:val="24"/>
              </w:rPr>
            </w:pPr>
            <w:r>
              <w:rPr>
                <w:rFonts w:hint="eastAsia" w:ascii="宋体" w:hAnsi="宋体" w:eastAsia="宋体" w:cs="宋体"/>
                <w:szCs w:val="24"/>
              </w:rPr>
              <w:t>（5）用户可自定义数据格式和内容，具有良好的数据延展性；</w:t>
            </w:r>
          </w:p>
          <w:p w14:paraId="24FAC603">
            <w:pPr>
              <w:pStyle w:val="6"/>
              <w:spacing w:line="360" w:lineRule="auto"/>
              <w:rPr>
                <w:rFonts w:hint="eastAsia" w:ascii="宋体" w:hAnsi="宋体" w:eastAsia="宋体" w:cs="宋体"/>
                <w:szCs w:val="24"/>
              </w:rPr>
            </w:pPr>
            <w:r>
              <w:rPr>
                <w:rFonts w:hint="eastAsia" w:ascii="宋体" w:hAnsi="宋体" w:eastAsia="宋体" w:cs="宋体"/>
                <w:szCs w:val="24"/>
              </w:rPr>
              <w:t>（6）具有不可改写的唯一序列号（UID）供识别和加密；</w:t>
            </w:r>
          </w:p>
          <w:p w14:paraId="425C81FD">
            <w:pPr>
              <w:pStyle w:val="6"/>
              <w:spacing w:line="360" w:lineRule="auto"/>
              <w:rPr>
                <w:rFonts w:hint="eastAsia" w:ascii="宋体" w:hAnsi="宋体" w:eastAsia="宋体" w:cs="宋体"/>
                <w:szCs w:val="24"/>
              </w:rPr>
            </w:pPr>
            <w:r>
              <w:rPr>
                <w:rFonts w:hint="eastAsia" w:ascii="宋体" w:hAnsi="宋体" w:eastAsia="宋体" w:cs="宋体"/>
                <w:szCs w:val="24"/>
              </w:rPr>
              <w:t>（7）具备防冲突功能；</w:t>
            </w:r>
          </w:p>
          <w:p w14:paraId="09F1397E">
            <w:pPr>
              <w:pStyle w:val="6"/>
              <w:spacing w:line="360" w:lineRule="auto"/>
              <w:rPr>
                <w:rFonts w:hint="eastAsia" w:ascii="宋体" w:hAnsi="宋体" w:eastAsia="宋体" w:cs="宋体"/>
                <w:szCs w:val="24"/>
              </w:rPr>
            </w:pPr>
            <w:r>
              <w:rPr>
                <w:rFonts w:hint="eastAsia" w:ascii="宋体" w:hAnsi="宋体" w:eastAsia="宋体" w:cs="宋体"/>
                <w:szCs w:val="24"/>
              </w:rPr>
              <w:t>（8）标签采用AFI位或EAS作为防盗的安全标志方法,标志位可由用户自由修改；</w:t>
            </w:r>
          </w:p>
          <w:p w14:paraId="772A22B8">
            <w:pPr>
              <w:pStyle w:val="6"/>
              <w:spacing w:line="360" w:lineRule="auto"/>
              <w:rPr>
                <w:rFonts w:hint="eastAsia" w:ascii="宋体" w:hAnsi="宋体" w:eastAsia="宋体" w:cs="宋体"/>
                <w:szCs w:val="24"/>
              </w:rPr>
            </w:pPr>
            <w:r>
              <w:rPr>
                <w:rFonts w:hint="eastAsia" w:ascii="宋体" w:hAnsi="宋体" w:eastAsia="宋体" w:cs="宋体"/>
                <w:szCs w:val="24"/>
              </w:rPr>
              <w:t>（9）标签能够兼容所有UHF读写设备；</w:t>
            </w:r>
          </w:p>
          <w:p w14:paraId="597E6517">
            <w:pPr>
              <w:pStyle w:val="6"/>
              <w:spacing w:line="360" w:lineRule="auto"/>
              <w:rPr>
                <w:rFonts w:hint="eastAsia" w:ascii="宋体" w:hAnsi="宋体" w:eastAsia="宋体" w:cs="宋体"/>
                <w:szCs w:val="24"/>
              </w:rPr>
            </w:pPr>
            <w:r>
              <w:rPr>
                <w:rFonts w:hint="eastAsia" w:ascii="宋体" w:hAnsi="宋体" w:eastAsia="宋体" w:cs="宋体"/>
                <w:szCs w:val="24"/>
              </w:rPr>
              <w:t>（10）工作频率：860~925MHz；</w:t>
            </w:r>
          </w:p>
          <w:p w14:paraId="3197A1C9">
            <w:pPr>
              <w:pStyle w:val="6"/>
              <w:spacing w:line="360" w:lineRule="auto"/>
              <w:rPr>
                <w:rFonts w:hint="eastAsia" w:ascii="宋体" w:hAnsi="宋体" w:eastAsia="宋体" w:cs="宋体"/>
                <w:szCs w:val="24"/>
              </w:rPr>
            </w:pPr>
            <w:r>
              <w:rPr>
                <w:rFonts w:hint="eastAsia" w:ascii="宋体" w:hAnsi="宋体" w:eastAsia="宋体" w:cs="宋体"/>
                <w:szCs w:val="24"/>
              </w:rPr>
              <w:t>（11）标签读取灵敏度：≥ -18.0dbm；耐压: ≦5N/m㎡；抗弯曲能力: ≧φ20mm；环境温度范围：-30℃～70℃</w:t>
            </w:r>
          </w:p>
          <w:p w14:paraId="589229B8">
            <w:pPr>
              <w:pStyle w:val="6"/>
              <w:spacing w:line="360" w:lineRule="auto"/>
              <w:rPr>
                <w:rFonts w:hint="eastAsia" w:ascii="宋体" w:hAnsi="宋体" w:eastAsia="宋体" w:cs="宋体"/>
                <w:szCs w:val="24"/>
              </w:rPr>
            </w:pPr>
            <w:r>
              <w:rPr>
                <w:rFonts w:hint="eastAsia" w:ascii="宋体" w:hAnsi="宋体" w:eastAsia="宋体" w:cs="宋体"/>
                <w:szCs w:val="24"/>
              </w:rPr>
              <w:t>（12）标签内用户数据区容量应不小于512二进制位（bits）；</w:t>
            </w:r>
          </w:p>
          <w:p w14:paraId="1D7B710E">
            <w:pPr>
              <w:pStyle w:val="6"/>
              <w:spacing w:line="360" w:lineRule="auto"/>
              <w:rPr>
                <w:rFonts w:hint="eastAsia" w:ascii="宋体" w:hAnsi="宋体" w:eastAsia="宋体" w:cs="宋体"/>
                <w:szCs w:val="24"/>
              </w:rPr>
            </w:pPr>
            <w:r>
              <w:rPr>
                <w:rFonts w:hint="eastAsia" w:ascii="宋体" w:hAnsi="宋体" w:eastAsia="宋体" w:cs="宋体"/>
                <w:szCs w:val="24"/>
              </w:rPr>
              <w:t>（13）有效读写距离：读取距离：0m～10m（与读写器相关）、写入距离：0m～8m（与读写器相关）</w:t>
            </w:r>
          </w:p>
          <w:p w14:paraId="42527FDA">
            <w:pPr>
              <w:pStyle w:val="6"/>
              <w:spacing w:line="360" w:lineRule="auto"/>
              <w:rPr>
                <w:rFonts w:hint="eastAsia" w:ascii="宋体" w:hAnsi="宋体" w:eastAsia="宋体" w:cs="宋体"/>
                <w:szCs w:val="24"/>
              </w:rPr>
            </w:pPr>
            <w:r>
              <w:rPr>
                <w:rFonts w:hint="eastAsia" w:ascii="宋体" w:hAnsi="宋体" w:eastAsia="宋体" w:cs="宋体"/>
                <w:szCs w:val="24"/>
              </w:rPr>
              <w:t>（14）防冲突性：允许工作区间内多个标签的可靠识读；</w:t>
            </w:r>
          </w:p>
          <w:p w14:paraId="4AAD3F3C">
            <w:pPr>
              <w:pStyle w:val="6"/>
              <w:spacing w:line="360" w:lineRule="auto"/>
              <w:rPr>
                <w:rFonts w:hint="eastAsia" w:ascii="宋体" w:hAnsi="宋体" w:eastAsia="宋体" w:cs="宋体"/>
                <w:szCs w:val="24"/>
              </w:rPr>
            </w:pPr>
            <w:r>
              <w:rPr>
                <w:rFonts w:hint="eastAsia" w:ascii="宋体" w:hAnsi="宋体" w:eastAsia="宋体" w:cs="宋体"/>
                <w:szCs w:val="24"/>
              </w:rPr>
              <w:t>（15）标签必须使用中性粘胶，不损坏图书纸张等介质, 持粘性：≥2300（gf/200mm）；</w:t>
            </w:r>
          </w:p>
          <w:p w14:paraId="0D2F6E09">
            <w:pPr>
              <w:pStyle w:val="6"/>
              <w:spacing w:line="360" w:lineRule="auto"/>
              <w:rPr>
                <w:rFonts w:hint="eastAsia" w:ascii="宋体" w:hAnsi="宋体" w:eastAsia="宋体" w:cs="宋体"/>
                <w:szCs w:val="24"/>
              </w:rPr>
            </w:pPr>
            <w:r>
              <w:rPr>
                <w:rFonts w:hint="eastAsia" w:ascii="宋体" w:hAnsi="宋体" w:eastAsia="宋体" w:cs="宋体"/>
                <w:szCs w:val="24"/>
              </w:rPr>
              <w:t>（16）需符合标准：EPC Cen2/ISO18000-6C；</w:t>
            </w:r>
          </w:p>
          <w:p w14:paraId="05F89EA0">
            <w:pPr>
              <w:pStyle w:val="6"/>
              <w:spacing w:line="360" w:lineRule="auto"/>
              <w:rPr>
                <w:rFonts w:hint="eastAsia" w:ascii="宋体" w:hAnsi="宋体" w:eastAsia="宋体" w:cs="宋体"/>
                <w:szCs w:val="24"/>
              </w:rPr>
            </w:pPr>
            <w:r>
              <w:rPr>
                <w:rFonts w:hint="eastAsia" w:ascii="宋体" w:hAnsi="宋体" w:eastAsia="宋体" w:cs="宋体"/>
                <w:szCs w:val="24"/>
              </w:rPr>
              <w:t>（17）两头加长设计，长度≤15mm，宽度≤5mm，两头加长设计，使其能贴到书脊的最里侧；</w:t>
            </w:r>
          </w:p>
          <w:p w14:paraId="283DA461">
            <w:pPr>
              <w:pStyle w:val="6"/>
              <w:spacing w:line="360" w:lineRule="auto"/>
              <w:rPr>
                <w:rFonts w:hint="eastAsia" w:ascii="宋体" w:hAnsi="宋体" w:eastAsia="宋体" w:cs="宋体"/>
                <w:szCs w:val="24"/>
              </w:rPr>
            </w:pPr>
            <w:r>
              <w:rPr>
                <w:rFonts w:hint="eastAsia" w:ascii="宋体" w:hAnsi="宋体" w:eastAsia="宋体" w:cs="宋体"/>
                <w:szCs w:val="24"/>
              </w:rPr>
              <w:t>（18）标签采用白色的隐蔽纸，将芯片包裹在内，即使贴到书中也很难发现标签，隐蔽性更好；</w:t>
            </w:r>
          </w:p>
          <w:p w14:paraId="3967DB1D">
            <w:pPr>
              <w:pStyle w:val="6"/>
              <w:spacing w:line="360" w:lineRule="auto"/>
              <w:rPr>
                <w:rFonts w:hint="eastAsia" w:ascii="宋体" w:hAnsi="宋体" w:eastAsia="宋体" w:cs="宋体"/>
                <w:szCs w:val="24"/>
              </w:rPr>
            </w:pPr>
            <w:r>
              <w:rPr>
                <w:rFonts w:hint="eastAsia" w:ascii="宋体" w:hAnsi="宋体" w:eastAsia="宋体" w:cs="宋体"/>
                <w:szCs w:val="24"/>
              </w:rPr>
              <w:t>（19）标签采用防静电处理膜，贴在书本上后，能有效避免书本内纸张摩擦所产生的静电对芯片的影响，保证标签性能优越。</w:t>
            </w:r>
          </w:p>
          <w:p w14:paraId="66BA7FA9">
            <w:pPr>
              <w:spacing w:line="360" w:lineRule="auto"/>
              <w:rPr>
                <w:rFonts w:hint="eastAsia" w:ascii="宋体" w:hAnsi="宋体" w:eastAsia="宋体" w:cs="宋体"/>
                <w:sz w:val="24"/>
                <w:szCs w:val="24"/>
              </w:rPr>
            </w:pPr>
            <w:r>
              <w:rPr>
                <w:rFonts w:hint="eastAsia" w:ascii="宋体" w:hAnsi="宋体" w:eastAsia="宋体" w:cs="宋体"/>
                <w:sz w:val="24"/>
                <w:szCs w:val="24"/>
              </w:rPr>
              <w:t>（20）保质期内对因质量问题不能正常使用的标签提供原厂免费更换。</w:t>
            </w:r>
          </w:p>
          <w:p w14:paraId="6D442E4C">
            <w:pPr>
              <w:spacing w:line="360" w:lineRule="auto"/>
              <w:rPr>
                <w:rFonts w:hint="eastAsia" w:ascii="宋体" w:hAnsi="宋体" w:eastAsia="宋体" w:cs="宋体"/>
                <w:sz w:val="24"/>
              </w:rPr>
            </w:pPr>
            <w:r>
              <w:rPr>
                <w:rFonts w:hint="eastAsia" w:ascii="宋体" w:hAnsi="宋体" w:eastAsia="宋体" w:cs="宋体"/>
                <w:sz w:val="24"/>
                <w:szCs w:val="24"/>
              </w:rPr>
              <w:t>3.</w:t>
            </w:r>
            <w:r>
              <w:rPr>
                <w:rFonts w:hint="eastAsia" w:ascii="宋体" w:hAnsi="宋体" w:eastAsia="宋体" w:cs="宋体"/>
                <w:sz w:val="24"/>
              </w:rPr>
              <w:t>中选方式约定：</w:t>
            </w:r>
          </w:p>
          <w:p w14:paraId="6212BE91">
            <w:pPr>
              <w:spacing w:line="360" w:lineRule="auto"/>
              <w:rPr>
                <w:rFonts w:hint="eastAsia" w:ascii="宋体" w:hAnsi="宋体" w:eastAsia="宋体" w:cs="宋体"/>
                <w:sz w:val="24"/>
              </w:rPr>
            </w:pPr>
            <w:r>
              <w:rPr>
                <w:rFonts w:hint="eastAsia" w:ascii="宋体" w:hAnsi="宋体" w:eastAsia="宋体" w:cs="宋体"/>
                <w:sz w:val="24"/>
              </w:rPr>
              <w:t>评审小组依据比选文件对参选人的参选文件进行综合评审，依据综合评审得分由高到低，确定中选人。</w:t>
            </w:r>
          </w:p>
          <w:p w14:paraId="778EEC32">
            <w:pPr>
              <w:autoSpaceDE w:val="0"/>
              <w:autoSpaceDN w:val="0"/>
              <w:adjustRightInd w:val="0"/>
              <w:spacing w:line="360" w:lineRule="auto"/>
              <w:rPr>
                <w:rFonts w:hint="eastAsia" w:ascii="宋体" w:hAnsi="宋体" w:eastAsia="宋体" w:cs="宋体"/>
                <w:sz w:val="24"/>
              </w:rPr>
            </w:pPr>
            <w:r>
              <w:rPr>
                <w:rFonts w:hint="eastAsia" w:ascii="宋体" w:hAnsi="宋体" w:eastAsia="宋体" w:cs="宋体"/>
                <w:sz w:val="24"/>
              </w:rPr>
              <w:t>比选人保留根据中选人履约情况调配额度的权利。</w:t>
            </w:r>
          </w:p>
          <w:p w14:paraId="202585EB">
            <w:pPr>
              <w:spacing w:line="360" w:lineRule="auto"/>
              <w:rPr>
                <w:rFonts w:hint="eastAsia" w:ascii="宋体" w:hAnsi="宋体" w:eastAsia="宋体" w:cs="宋体"/>
                <w:sz w:val="24"/>
              </w:rPr>
            </w:pPr>
            <w:r>
              <w:rPr>
                <w:rFonts w:hint="eastAsia" w:ascii="宋体" w:hAnsi="宋体" w:eastAsia="宋体" w:cs="宋体"/>
                <w:sz w:val="24"/>
                <w:szCs w:val="24"/>
              </w:rPr>
              <w:t>4、</w:t>
            </w:r>
            <w:r>
              <w:rPr>
                <w:rFonts w:hint="eastAsia" w:ascii="宋体" w:hAnsi="宋体" w:eastAsia="宋体" w:cs="宋体"/>
                <w:sz w:val="24"/>
              </w:rPr>
              <w:t>出版社要求：</w:t>
            </w:r>
          </w:p>
          <w:p w14:paraId="5F9AF660">
            <w:pPr>
              <w:spacing w:line="360" w:lineRule="auto"/>
              <w:rPr>
                <w:rFonts w:hint="eastAsia" w:ascii="宋体" w:hAnsi="宋体" w:eastAsia="宋体" w:cs="宋体"/>
                <w:sz w:val="24"/>
              </w:rPr>
            </w:pPr>
            <w:r>
              <w:rPr>
                <w:rFonts w:hint="eastAsia" w:ascii="宋体" w:hAnsi="宋体" w:eastAsia="宋体" w:cs="宋体"/>
                <w:sz w:val="24"/>
              </w:rPr>
              <w:t>参选人提供与下列50家重点出版社签订的有效供货合同文本（</w:t>
            </w:r>
            <w:r>
              <w:rPr>
                <w:rFonts w:hint="eastAsia" w:ascii="宋体" w:hAnsi="宋体" w:eastAsia="宋体" w:cs="宋体"/>
                <w:b/>
                <w:bCs/>
                <w:sz w:val="24"/>
              </w:rPr>
              <w:t>本项为详细审查内容，不做</w:t>
            </w:r>
            <w:r>
              <w:rPr>
                <w:rFonts w:hint="eastAsia" w:ascii="宋体" w:hAnsi="宋体" w:eastAsia="宋体" w:cs="宋体"/>
                <w:b/>
                <w:bCs/>
                <w:sz w:val="24"/>
                <w:lang w:val="en-US" w:eastAsia="zh-CN"/>
              </w:rPr>
              <w:t>初审</w:t>
            </w:r>
            <w:r>
              <w:rPr>
                <w:rFonts w:hint="eastAsia" w:ascii="宋体" w:hAnsi="宋体" w:eastAsia="宋体" w:cs="宋体"/>
                <w:b/>
                <w:bCs/>
                <w:sz w:val="24"/>
              </w:rPr>
              <w:t>指标，具体详见评分细则</w:t>
            </w:r>
            <w:r>
              <w:rPr>
                <w:rFonts w:hint="eastAsia" w:ascii="宋体" w:hAnsi="宋体" w:eastAsia="宋体" w:cs="宋体"/>
                <w:sz w:val="24"/>
              </w:rPr>
              <w:t>），签订者须为本项目参选人：</w:t>
            </w:r>
          </w:p>
          <w:p w14:paraId="52584A56">
            <w:pPr>
              <w:autoSpaceDE w:val="0"/>
              <w:autoSpaceDN w:val="0"/>
              <w:adjustRightInd w:val="0"/>
              <w:spacing w:line="360" w:lineRule="auto"/>
              <w:rPr>
                <w:rFonts w:hint="eastAsia" w:ascii="宋体" w:hAnsi="宋体" w:eastAsia="宋体" w:cs="宋体"/>
                <w:sz w:val="24"/>
                <w:szCs w:val="24"/>
              </w:rPr>
            </w:pPr>
            <w:r>
              <w:rPr>
                <w:rFonts w:hint="eastAsia" w:ascii="宋体" w:hAnsi="宋体" w:eastAsia="宋体" w:cs="宋体"/>
                <w:sz w:val="24"/>
                <w:szCs w:val="24"/>
              </w:rPr>
              <w:t>（1）中国铁道出版社、(2)中国电力出版社、(3)中国建筑工业出版社、(4)机械工业出版社、(5)电子工业出版社、(6)高等教育出版社、(7)人民教育出版社、(8)人民出版社、(9)科学出版社、(10)知识产权出版社、(11)教育科学出版社、(12)中国经济出版社、(13)经济科学出版社、(14)人民邮电出版社、(15)化学工业出版社、(16)中信出版社、(17) 中国水利水电出版社、(18)国防工业出版社、(19)外语教学与研究出版社、(20)人民文学出版社、(21)中国大百科全书出版社、(22)中华书局、(23)中央编译出版社、(24)中国社会科学出版社、(25)社会科学文献出版社、(26)商务印书馆、(27)生活·读书·新知三联书店、(28)作家出版社、(29)上海科学技术出版社、(30)中信出版社、(31)上海人民出版社、(32)中国纺织出版社、(33)北京大学出版社、(34)清华大学出版社、(35)中国人民大学出版社、(36)复旦大学出版社、(37)浙江大学出版社、(38)西安交通大学出版社、(39)上海交通大学出版社、(40)天津大学出版社、(41)南京大学出版社、(42)南开大学出版社、(43)北京师范大学出版社、(44)武汉大学出版社、(45)重庆大学出版社、(46)中国政法大学出版社、(47)西北工业大学出版社、(48)陕西师范大学出版社、(49)华中科技大学出版社、(50)东南大学出版社。</w:t>
            </w:r>
          </w:p>
          <w:p w14:paraId="0BBCC5F4">
            <w:pPr>
              <w:autoSpaceDE w:val="0"/>
              <w:autoSpaceDN w:val="0"/>
              <w:adjustRightInd w:val="0"/>
              <w:spacing w:line="360" w:lineRule="auto"/>
              <w:rPr>
                <w:rFonts w:hint="eastAsia" w:ascii="宋体" w:hAnsi="宋体" w:eastAsia="宋体" w:cs="宋体"/>
                <w:sz w:val="24"/>
                <w:szCs w:val="24"/>
              </w:rPr>
            </w:pPr>
            <w:r>
              <w:rPr>
                <w:rFonts w:hint="eastAsia" w:ascii="宋体" w:hAnsi="宋体" w:eastAsia="宋体" w:cs="宋体"/>
                <w:sz w:val="24"/>
                <w:szCs w:val="24"/>
              </w:rPr>
              <w:t>5、编目要求：</w:t>
            </w:r>
          </w:p>
          <w:p w14:paraId="75D6F94B">
            <w:pPr>
              <w:autoSpaceDE w:val="0"/>
              <w:autoSpaceDN w:val="0"/>
              <w:adjustRightInd w:val="0"/>
              <w:spacing w:line="360" w:lineRule="auto"/>
              <w:rPr>
                <w:rFonts w:hint="eastAsia" w:ascii="宋体" w:hAnsi="宋体" w:eastAsia="宋体" w:cs="宋体"/>
                <w:sz w:val="24"/>
                <w:szCs w:val="24"/>
              </w:rPr>
            </w:pPr>
            <w:r>
              <w:rPr>
                <w:rFonts w:hint="eastAsia" w:ascii="宋体" w:hAnsi="宋体" w:eastAsia="宋体" w:cs="宋体"/>
                <w:sz w:val="24"/>
                <w:szCs w:val="24"/>
              </w:rPr>
              <w:t>中选人根据比选人需要向比选人提供符合以下要求的CNMARC编目数据</w:t>
            </w:r>
          </w:p>
          <w:p w14:paraId="0C115C58">
            <w:pPr>
              <w:autoSpaceDE w:val="0"/>
              <w:autoSpaceDN w:val="0"/>
              <w:adjustRightInd w:val="0"/>
              <w:spacing w:line="360" w:lineRule="auto"/>
              <w:rPr>
                <w:rFonts w:hint="eastAsia" w:ascii="宋体" w:hAnsi="宋体" w:eastAsia="宋体" w:cs="宋体"/>
                <w:sz w:val="24"/>
                <w:szCs w:val="24"/>
              </w:rPr>
            </w:pPr>
            <w:r>
              <w:rPr>
                <w:rFonts w:hint="eastAsia" w:ascii="宋体" w:hAnsi="宋体" w:eastAsia="宋体" w:cs="宋体"/>
                <w:sz w:val="24"/>
                <w:szCs w:val="24"/>
              </w:rPr>
              <w:t>（1）使用《中国图书馆分类法》（第五版）准确类分图书。</w:t>
            </w:r>
          </w:p>
          <w:p w14:paraId="43683C0C">
            <w:pPr>
              <w:autoSpaceDE w:val="0"/>
              <w:autoSpaceDN w:val="0"/>
              <w:adjustRightInd w:val="0"/>
              <w:spacing w:line="360" w:lineRule="auto"/>
              <w:rPr>
                <w:rFonts w:hint="eastAsia" w:ascii="宋体" w:hAnsi="宋体" w:eastAsia="宋体" w:cs="宋体"/>
                <w:sz w:val="24"/>
                <w:szCs w:val="24"/>
              </w:rPr>
            </w:pPr>
            <w:r>
              <w:rPr>
                <w:rFonts w:hint="eastAsia" w:ascii="宋体" w:hAnsi="宋体" w:eastAsia="宋体" w:cs="宋体"/>
                <w:sz w:val="24"/>
                <w:szCs w:val="24"/>
              </w:rPr>
              <w:t>（2）遵循国际标准书目著录（ISBD）和中国文献著录国家标准的著录原则。</w:t>
            </w:r>
          </w:p>
          <w:p w14:paraId="0B7DEE00">
            <w:pPr>
              <w:autoSpaceDE w:val="0"/>
              <w:autoSpaceDN w:val="0"/>
              <w:adjustRightInd w:val="0"/>
              <w:spacing w:line="360" w:lineRule="auto"/>
              <w:rPr>
                <w:rFonts w:hint="eastAsia" w:ascii="宋体" w:hAnsi="宋体" w:eastAsia="宋体" w:cs="宋体"/>
                <w:sz w:val="24"/>
                <w:szCs w:val="24"/>
              </w:rPr>
            </w:pPr>
            <w:r>
              <w:rPr>
                <w:rFonts w:hint="eastAsia" w:ascii="宋体" w:hAnsi="宋体" w:eastAsia="宋体" w:cs="宋体"/>
                <w:sz w:val="24"/>
                <w:szCs w:val="24"/>
              </w:rPr>
              <w:t>（3）CNMARC格式与CALIS联合编目数据库的格式保持一致。</w:t>
            </w:r>
          </w:p>
          <w:p w14:paraId="1C5EAE56">
            <w:pPr>
              <w:autoSpaceDE w:val="0"/>
              <w:autoSpaceDN w:val="0"/>
              <w:adjustRightInd w:val="0"/>
              <w:spacing w:line="360" w:lineRule="auto"/>
              <w:rPr>
                <w:rFonts w:hint="eastAsia" w:ascii="宋体" w:hAnsi="宋体" w:eastAsia="宋体" w:cs="宋体"/>
                <w:sz w:val="24"/>
                <w:szCs w:val="24"/>
              </w:rPr>
            </w:pPr>
            <w:r>
              <w:rPr>
                <w:rFonts w:hint="eastAsia" w:ascii="宋体" w:hAnsi="宋体" w:eastAsia="宋体" w:cs="宋体"/>
                <w:sz w:val="24"/>
                <w:szCs w:val="24"/>
              </w:rPr>
              <w:t>（4）遵循主题分类标引原则，使用《中国分类主题词表》进行文献分类标引。</w:t>
            </w:r>
          </w:p>
          <w:p w14:paraId="6F8692F7">
            <w:pPr>
              <w:autoSpaceDE w:val="0"/>
              <w:autoSpaceDN w:val="0"/>
              <w:adjustRightInd w:val="0"/>
              <w:spacing w:line="360" w:lineRule="auto"/>
              <w:rPr>
                <w:rFonts w:hint="eastAsia" w:ascii="宋体" w:hAnsi="宋体" w:eastAsia="宋体" w:cs="宋体"/>
                <w:sz w:val="24"/>
                <w:szCs w:val="24"/>
              </w:rPr>
            </w:pPr>
            <w:r>
              <w:rPr>
                <w:rFonts w:hint="eastAsia" w:ascii="宋体" w:hAnsi="宋体" w:eastAsia="宋体" w:cs="宋体"/>
                <w:sz w:val="24"/>
                <w:szCs w:val="24"/>
              </w:rPr>
              <w:t>（5）编目数据须与对应图书同时到达，并能正确导入比选人业务管理系统（成蹊管理系统）。</w:t>
            </w:r>
          </w:p>
          <w:p w14:paraId="038B56CC">
            <w:pPr>
              <w:autoSpaceDE w:val="0"/>
              <w:autoSpaceDN w:val="0"/>
              <w:adjustRightInd w:val="0"/>
              <w:spacing w:line="360" w:lineRule="auto"/>
              <w:rPr>
                <w:rFonts w:hint="eastAsia" w:ascii="宋体" w:hAnsi="宋体" w:eastAsia="宋体" w:cs="宋体"/>
                <w:sz w:val="24"/>
                <w:szCs w:val="24"/>
              </w:rPr>
            </w:pPr>
            <w:r>
              <w:rPr>
                <w:rFonts w:hint="eastAsia" w:ascii="宋体" w:hAnsi="宋体" w:eastAsia="宋体" w:cs="宋体"/>
                <w:sz w:val="24"/>
                <w:szCs w:val="24"/>
              </w:rPr>
              <w:t>如不能提供合格的编目数据，须按CALIS联机编目系统下载数据的收费标准按实际供书品种支付比选人编目数据费，即比选人下载CALIS编目数据费用由中选人承担。</w:t>
            </w:r>
          </w:p>
          <w:p w14:paraId="0071F083">
            <w:pPr>
              <w:spacing w:line="360" w:lineRule="auto"/>
              <w:rPr>
                <w:rFonts w:hint="eastAsia" w:ascii="宋体" w:hAnsi="宋体" w:eastAsia="宋体" w:cs="宋体"/>
                <w:sz w:val="24"/>
                <w:szCs w:val="24"/>
              </w:rPr>
            </w:pPr>
            <w:r>
              <w:rPr>
                <w:rFonts w:hint="eastAsia" w:ascii="宋体" w:hAnsi="宋体" w:eastAsia="宋体" w:cs="宋体"/>
                <w:sz w:val="24"/>
                <w:szCs w:val="24"/>
              </w:rPr>
              <w:t>二、其他要求：</w:t>
            </w:r>
          </w:p>
          <w:p w14:paraId="47C4F488">
            <w:pPr>
              <w:spacing w:line="360" w:lineRule="auto"/>
              <w:rPr>
                <w:rFonts w:hint="eastAsia" w:ascii="宋体" w:hAnsi="宋体" w:eastAsia="宋体" w:cs="宋体"/>
                <w:sz w:val="24"/>
              </w:rPr>
            </w:pPr>
            <w:r>
              <w:rPr>
                <w:rFonts w:hint="eastAsia" w:ascii="宋体" w:hAnsi="宋体" w:eastAsia="宋体" w:cs="宋体"/>
                <w:sz w:val="24"/>
                <w:szCs w:val="24"/>
              </w:rPr>
              <w:t>1、</w:t>
            </w:r>
            <w:r>
              <w:rPr>
                <w:rFonts w:hint="eastAsia" w:ascii="宋体" w:hAnsi="宋体" w:eastAsia="宋体" w:cs="宋体"/>
                <w:bCs/>
                <w:sz w:val="24"/>
              </w:rPr>
              <w:t>本项目采购以书目报订为主，</w:t>
            </w:r>
            <w:r>
              <w:rPr>
                <w:rFonts w:hint="eastAsia" w:ascii="宋体" w:hAnsi="宋体" w:eastAsia="宋体" w:cs="宋体"/>
                <w:sz w:val="24"/>
              </w:rPr>
              <w:t>中选人应具备为中文图书网上采选、储运、调配、退换及结算的能力，有提供中文图书MARC编目数据的能力。</w:t>
            </w:r>
          </w:p>
          <w:p w14:paraId="7402DD8A">
            <w:pPr>
              <w:spacing w:line="360" w:lineRule="auto"/>
              <w:rPr>
                <w:rFonts w:hint="eastAsia" w:ascii="宋体" w:hAnsi="宋体" w:eastAsia="宋体" w:cs="宋体"/>
                <w:sz w:val="24"/>
              </w:rPr>
            </w:pPr>
            <w:r>
              <w:rPr>
                <w:rFonts w:hint="eastAsia" w:ascii="宋体" w:hAnsi="宋体" w:eastAsia="宋体" w:cs="宋体"/>
                <w:sz w:val="24"/>
              </w:rPr>
              <w:t>2、书目报订主要参考能全面客观反映全国已出版书目信息的采访书目，包括新闻出版署评定的优秀出版社、一级出版社的新书目、新华书店《科技新书目》和《社科新书目》、采购方认定的重点出版社（见出版社名录）以及各类权威推荐图书和获奖图书目录等。</w:t>
            </w:r>
          </w:p>
          <w:p w14:paraId="308D0579">
            <w:pPr>
              <w:pStyle w:val="6"/>
              <w:spacing w:line="360" w:lineRule="auto"/>
              <w:rPr>
                <w:rFonts w:hint="eastAsia" w:ascii="宋体" w:hAnsi="宋体" w:eastAsia="宋体" w:cs="宋体"/>
              </w:rPr>
            </w:pPr>
            <w:r>
              <w:rPr>
                <w:rFonts w:hint="eastAsia" w:ascii="宋体" w:hAnsi="宋体" w:eastAsia="宋体" w:cs="宋体"/>
              </w:rPr>
              <w:t>3、中选人所提供书目</w:t>
            </w:r>
            <w:r>
              <w:rPr>
                <w:rFonts w:hint="eastAsia" w:ascii="宋体" w:hAnsi="宋体" w:eastAsia="宋体" w:cs="宋体"/>
                <w:szCs w:val="24"/>
              </w:rPr>
              <w:t>需适合本校教学科研需求，满足学校“十四五”发展规划中“建设高水平职业技能大学目标”新书目录以及近年出版的与馆藏查重后的优秀出版目录，</w:t>
            </w:r>
            <w:r>
              <w:rPr>
                <w:rFonts w:hint="eastAsia" w:ascii="宋体" w:hAnsi="宋体" w:eastAsia="宋体" w:cs="宋体"/>
              </w:rPr>
              <w:t>目录分类</w:t>
            </w:r>
            <w:r>
              <w:rPr>
                <w:rFonts w:hint="eastAsia" w:ascii="宋体" w:hAnsi="宋体" w:eastAsia="宋体" w:cs="宋体"/>
                <w:szCs w:val="24"/>
              </w:rPr>
              <w:t>涉及学校相关专业，</w:t>
            </w:r>
            <w:r>
              <w:rPr>
                <w:rFonts w:hint="eastAsia" w:ascii="宋体" w:hAnsi="宋体" w:eastAsia="宋体" w:cs="宋体"/>
              </w:rPr>
              <w:t>所含之书应适合本校师生阅读，具有馆藏价值。中文图书的采购书目应包括以下字段：中图分类号、书名、著者、出版社、出版时间、ISBN、定价、开本、分类号、内容简介和读者对象等，若是丛书，应提供丛书名。免费提供所订图书标准的CNMARC编目数据。</w:t>
            </w:r>
          </w:p>
          <w:p w14:paraId="094B1CE5">
            <w:pPr>
              <w:spacing w:line="360" w:lineRule="auto"/>
              <w:rPr>
                <w:rFonts w:hint="eastAsia" w:ascii="宋体" w:hAnsi="宋体" w:eastAsia="宋体" w:cs="宋体"/>
                <w:sz w:val="24"/>
              </w:rPr>
            </w:pPr>
            <w:r>
              <w:rPr>
                <w:rFonts w:hint="eastAsia" w:ascii="宋体" w:hAnsi="宋体" w:eastAsia="宋体" w:cs="宋体"/>
                <w:sz w:val="24"/>
              </w:rPr>
              <w:t>4、中选人应建立比选人图书馆预订图书工作库，收到图书订单后应立刻回复确认收到，并对每批订单及时查重报订，不得人为延误报订，对比选人图书馆订单中出现的重复订购信息，中选人须在获得比选人图书馆确认后方可报订。</w:t>
            </w:r>
          </w:p>
          <w:p w14:paraId="051E217E">
            <w:pPr>
              <w:spacing w:line="360" w:lineRule="auto"/>
              <w:rPr>
                <w:rFonts w:hint="eastAsia" w:ascii="宋体" w:hAnsi="宋体" w:eastAsia="宋体" w:cs="宋体"/>
                <w:sz w:val="24"/>
              </w:rPr>
            </w:pPr>
            <w:r>
              <w:rPr>
                <w:rFonts w:hint="eastAsia" w:ascii="宋体" w:hAnsi="宋体" w:eastAsia="宋体" w:cs="宋体"/>
                <w:sz w:val="24"/>
              </w:rPr>
              <w:t>5、中选人须在收到比选人的图书订单和采购数据后15天内反馈无法采购图书清单及其真实原因，经确认，若情况属实，比选人将及时追加相应码洋的订单；若是中选人因成本、利润等原因进行选择性报订，故意不提供比选人所订购之书，比选人可直接在网上购买或向出版社报订，若能买到，则比选人将按照图书码洋的五倍金额对中选人进行违约金处理，并记入中选人信誉档案。中选人不得更换比选人报订的图书订单和采购数据，不得搭配非比选人订购的图书。</w:t>
            </w:r>
          </w:p>
          <w:p w14:paraId="09B33B3C">
            <w:pPr>
              <w:spacing w:line="360" w:lineRule="auto"/>
              <w:rPr>
                <w:rFonts w:hint="eastAsia" w:ascii="宋体" w:hAnsi="宋体" w:eastAsia="宋体" w:cs="宋体"/>
                <w:sz w:val="24"/>
              </w:rPr>
            </w:pPr>
            <w:r>
              <w:rPr>
                <w:rFonts w:hint="eastAsia" w:ascii="宋体" w:hAnsi="宋体" w:eastAsia="宋体" w:cs="宋体"/>
                <w:sz w:val="24"/>
              </w:rPr>
              <w:t>6、中选人应在书目报订后2个月内供书结束，不得以任何理由拖延供书，逾期没有完成供书，则每逾期一天成交供应商向比选人缴纳500元的违约金。书目报订到书率不得低于90%，每少1%扣罚1000元。在发送图书之前，应预先联系比选人商定具体时间，以便比选人准备接货。发送图书的包装应满足防湿和防破要求，保证图书安全运输到馆，图书在到达比选人所在地前发生的不可预见的风险均由中选人负责。</w:t>
            </w:r>
          </w:p>
          <w:p w14:paraId="2847AA8B">
            <w:pPr>
              <w:spacing w:line="360" w:lineRule="auto"/>
              <w:rPr>
                <w:rFonts w:hint="eastAsia" w:ascii="宋体" w:hAnsi="宋体" w:eastAsia="宋体" w:cs="宋体"/>
                <w:sz w:val="24"/>
              </w:rPr>
            </w:pPr>
            <w:r>
              <w:rPr>
                <w:rFonts w:hint="eastAsia" w:ascii="宋体" w:hAnsi="宋体" w:eastAsia="宋体" w:cs="宋体"/>
                <w:sz w:val="24"/>
              </w:rPr>
              <w:t>7、中选人应具有良好的服务能力，根据图书馆需求及时派人到馆协助处理拆包验收、退货、结账等事务。</w:t>
            </w:r>
            <w:r>
              <w:rPr>
                <w:rFonts w:hint="eastAsia" w:ascii="宋体" w:hAnsi="宋体" w:eastAsia="宋体" w:cs="宋体"/>
                <w:sz w:val="24"/>
                <w:szCs w:val="18"/>
              </w:rPr>
              <w:t>必须确保整体通过比选人及有关主管部门验收。</w:t>
            </w:r>
          </w:p>
          <w:p w14:paraId="2CDDE00A">
            <w:pPr>
              <w:spacing w:line="360" w:lineRule="auto"/>
              <w:rPr>
                <w:rFonts w:hint="eastAsia" w:ascii="宋体" w:hAnsi="宋体" w:eastAsia="宋体" w:cs="宋体"/>
                <w:sz w:val="24"/>
              </w:rPr>
            </w:pPr>
            <w:r>
              <w:rPr>
                <w:rFonts w:hint="eastAsia" w:ascii="宋体" w:hAnsi="宋体" w:eastAsia="宋体" w:cs="宋体"/>
                <w:sz w:val="24"/>
              </w:rPr>
              <w:t>8、中选人应根据验收要求，提供图书验收打印清单一式两份，随包清单一份；图书验收单上要反映本次采购图书的种类和总册数、图书的码洋及实洋、图书的采购日期、ISBN、出版社、书名、价格、单册等；同一种图书必须放在同一包内，每包图书的种册数、金额必须与对应的清单相符，且新书发货差错率应低于3‰。</w:t>
            </w:r>
          </w:p>
          <w:p w14:paraId="0F4F5F8B">
            <w:pPr>
              <w:spacing w:line="360" w:lineRule="auto"/>
              <w:rPr>
                <w:rFonts w:hint="eastAsia" w:ascii="宋体" w:hAnsi="宋体" w:eastAsia="宋体" w:cs="宋体"/>
                <w:sz w:val="24"/>
              </w:rPr>
            </w:pPr>
            <w:r>
              <w:rPr>
                <w:rFonts w:hint="eastAsia" w:ascii="宋体" w:hAnsi="宋体" w:eastAsia="宋体" w:cs="宋体"/>
                <w:sz w:val="24"/>
              </w:rPr>
              <w:t>9、中选人应保证所供图书均为正版，违者将按图书标价的十倍赔付，并承担一切法律责任和经济责任，比选人不承担因此产生的任何责任。若发现缺页、破损、错装、倒装或印刷不清等质量问题的图书，以及随书附件（光盘、软盘、磁带等）丢失、破损等，一律无条件退换。非订购图书、重复订购图书、与馆藏重复图书一经查实，应无条件免费赠送给比选人。实际配书册数超过报订复本数，一经查实，超过册数应无条件免费赠送给比选人。成套图书，若比选人采购时漏订，中选人有义务告知比选人，并由比选人决定是否补齐，否则视为免费赠送。</w:t>
            </w:r>
          </w:p>
          <w:p w14:paraId="618A6881">
            <w:pPr>
              <w:spacing w:line="360" w:lineRule="auto"/>
              <w:outlineLvl w:val="1"/>
              <w:rPr>
                <w:rFonts w:hint="eastAsia" w:ascii="宋体" w:hAnsi="宋体" w:eastAsia="宋体" w:cs="宋体"/>
                <w:sz w:val="24"/>
                <w:szCs w:val="18"/>
              </w:rPr>
            </w:pPr>
            <w:r>
              <w:rPr>
                <w:rFonts w:hint="eastAsia" w:ascii="宋体" w:hAnsi="宋体" w:eastAsia="宋体" w:cs="宋体"/>
                <w:sz w:val="24"/>
              </w:rPr>
              <w:t>10、中选人应在合同生效后 60天内完成全部图书供货，须雇佣专业加工人员（</w:t>
            </w:r>
            <w:r>
              <w:rPr>
                <w:rFonts w:hint="eastAsia" w:ascii="宋体" w:hAnsi="宋体" w:eastAsia="宋体" w:cs="宋体"/>
                <w:bCs/>
                <w:sz w:val="24"/>
              </w:rPr>
              <w:t>合同签订后服务前向比选人提供证书核实</w:t>
            </w:r>
            <w:r>
              <w:rPr>
                <w:rFonts w:hint="eastAsia" w:ascii="宋体" w:hAnsi="宋体" w:eastAsia="宋体" w:cs="宋体"/>
                <w:sz w:val="24"/>
              </w:rPr>
              <w:t>）到馆现场加工（安徽职业技术学院图书馆，比选人指定地点，加工结束后中选人需将图书搬运图书馆及指定地点，归类到一级类目，并送达到各相应书库上架），加工人员应相对稳定并严格按照比选人提出的加工要求进行加工。</w:t>
            </w:r>
          </w:p>
        </w:tc>
        <w:tc>
          <w:tcPr>
            <w:tcW w:w="0" w:type="auto"/>
            <w:noWrap w:val="0"/>
            <w:vAlign w:val="center"/>
          </w:tcPr>
          <w:p w14:paraId="65687151">
            <w:pPr>
              <w:spacing w:line="360" w:lineRule="auto"/>
              <w:rPr>
                <w:rFonts w:hint="eastAsia" w:ascii="宋体" w:hAnsi="宋体" w:eastAsia="宋体" w:cs="宋体"/>
                <w:bCs/>
                <w:sz w:val="24"/>
                <w:szCs w:val="18"/>
              </w:rPr>
            </w:pPr>
            <w:r>
              <w:rPr>
                <w:rFonts w:hint="eastAsia" w:ascii="宋体" w:hAnsi="宋体" w:eastAsia="宋体" w:cs="宋体"/>
                <w:bCs/>
                <w:sz w:val="24"/>
                <w:szCs w:val="18"/>
              </w:rPr>
              <w:t>1500册左右</w:t>
            </w:r>
          </w:p>
        </w:tc>
        <w:tc>
          <w:tcPr>
            <w:tcW w:w="0" w:type="auto"/>
            <w:noWrap w:val="0"/>
            <w:vAlign w:val="center"/>
          </w:tcPr>
          <w:p w14:paraId="6D546C66">
            <w:pPr>
              <w:spacing w:line="360" w:lineRule="auto"/>
              <w:rPr>
                <w:rFonts w:hint="eastAsia" w:ascii="宋体" w:hAnsi="宋体" w:eastAsia="宋体" w:cs="宋体"/>
                <w:bCs/>
                <w:sz w:val="24"/>
                <w:szCs w:val="18"/>
              </w:rPr>
            </w:pPr>
          </w:p>
        </w:tc>
      </w:tr>
    </w:tbl>
    <w:p w14:paraId="2A4C402B">
      <w:pPr>
        <w:spacing w:line="560" w:lineRule="exact"/>
        <w:rPr>
          <w:rFonts w:hint="eastAsia" w:ascii="宋体" w:hAnsi="宋体" w:cs="宋体"/>
          <w:b/>
          <w:bCs/>
          <w:sz w:val="24"/>
          <w:szCs w:val="24"/>
        </w:rPr>
      </w:pPr>
      <w:r>
        <w:rPr>
          <w:rFonts w:hint="eastAsia" w:ascii="宋体" w:hAnsi="宋体" w:cs="宋体"/>
          <w:b/>
          <w:bCs/>
          <w:sz w:val="24"/>
          <w:szCs w:val="24"/>
        </w:rPr>
        <w:t>三、报价要求</w:t>
      </w:r>
    </w:p>
    <w:p w14:paraId="589F8723">
      <w:pPr>
        <w:spacing w:line="360" w:lineRule="auto"/>
        <w:ind w:firstLine="437"/>
        <w:rPr>
          <w:rFonts w:hint="eastAsia" w:ascii="宋体" w:hAnsi="宋体"/>
          <w:bCs/>
          <w:sz w:val="24"/>
          <w:szCs w:val="18"/>
        </w:rPr>
      </w:pPr>
      <w:r>
        <w:rPr>
          <w:rFonts w:hint="eastAsia" w:ascii="宋体" w:hAnsi="宋体"/>
          <w:bCs/>
          <w:sz w:val="24"/>
          <w:szCs w:val="18"/>
        </w:rPr>
        <w:t>1.参选人参选时须报统一折扣，统一折扣=（所购图书实洋÷所购图书码洋）×100％，</w:t>
      </w:r>
      <w:r>
        <w:rPr>
          <w:rFonts w:hint="eastAsia" w:ascii="宋体" w:hAnsi="宋体"/>
          <w:b/>
          <w:sz w:val="24"/>
          <w:szCs w:val="18"/>
        </w:rPr>
        <w:t>参选人所报统一折扣不得高于100%，否则投标无效。</w:t>
      </w:r>
    </w:p>
    <w:p w14:paraId="68555A2D">
      <w:pPr>
        <w:spacing w:line="360" w:lineRule="auto"/>
        <w:ind w:firstLine="437"/>
        <w:rPr>
          <w:rFonts w:hint="eastAsia" w:ascii="宋体" w:hAnsi="宋体"/>
          <w:bCs/>
          <w:sz w:val="24"/>
          <w:szCs w:val="18"/>
        </w:rPr>
      </w:pPr>
      <w:r>
        <w:rPr>
          <w:rFonts w:hint="eastAsia" w:ascii="宋体" w:hAnsi="宋体"/>
          <w:bCs/>
          <w:sz w:val="24"/>
          <w:szCs w:val="18"/>
        </w:rPr>
        <w:t>2.反对恶意竞标折扣，参选人应以科学、求实、诚信的态度，所参选的报价不得严重偏离目前发行费用和代加工费用的实际水平，更不得低于中文图书的发行成本。评审小组有权对不正常竞标折扣提出质询，若评审小组认为其说明理由不合理，将可能导致其参选无效。</w:t>
      </w:r>
    </w:p>
    <w:p w14:paraId="1800F829">
      <w:pPr>
        <w:spacing w:line="360" w:lineRule="auto"/>
        <w:ind w:firstLine="437"/>
        <w:rPr>
          <w:rFonts w:hint="eastAsia" w:ascii="宋体" w:hAnsi="宋体"/>
          <w:bCs/>
          <w:sz w:val="24"/>
          <w:szCs w:val="18"/>
        </w:rPr>
      </w:pPr>
      <w:r>
        <w:rPr>
          <w:rFonts w:hint="eastAsia" w:ascii="宋体" w:hAnsi="宋体"/>
          <w:bCs/>
          <w:sz w:val="24"/>
          <w:szCs w:val="18"/>
        </w:rPr>
        <w:t xml:space="preserve">3.图书采购实洋包含图书（含相关附件、材料）价款、运输费、装卸费、配送费、加工费、上架费、税费、分类整理及材料费等一切有关费用，比选人不再向中选人另外支付任何费用。 </w:t>
      </w:r>
    </w:p>
    <w:p w14:paraId="5772D1B5">
      <w:pPr>
        <w:spacing w:line="560" w:lineRule="exact"/>
        <w:rPr>
          <w:rFonts w:hint="eastAsia" w:ascii="宋体" w:hAnsi="宋体" w:cs="宋体"/>
          <w:b/>
          <w:bCs/>
          <w:sz w:val="24"/>
          <w:szCs w:val="24"/>
        </w:rPr>
      </w:pPr>
      <w:r>
        <w:rPr>
          <w:rFonts w:hint="eastAsia" w:ascii="宋体" w:hAnsi="宋体" w:cs="宋体"/>
          <w:b/>
          <w:bCs/>
          <w:sz w:val="24"/>
          <w:szCs w:val="24"/>
        </w:rPr>
        <w:t>四、其他要求</w:t>
      </w:r>
    </w:p>
    <w:p w14:paraId="7A19D46A">
      <w:pPr>
        <w:spacing w:line="360" w:lineRule="auto"/>
        <w:ind w:firstLine="480" w:firstLineChars="200"/>
        <w:rPr>
          <w:rFonts w:hint="eastAsia" w:ascii="宋体" w:hAnsi="宋体"/>
          <w:bCs/>
          <w:sz w:val="24"/>
          <w:szCs w:val="18"/>
        </w:rPr>
      </w:pPr>
      <w:r>
        <w:rPr>
          <w:rFonts w:hint="eastAsia" w:ascii="宋体" w:hAnsi="宋体"/>
          <w:bCs/>
          <w:sz w:val="24"/>
          <w:szCs w:val="18"/>
        </w:rPr>
        <w:t>1.中选人须免费运送图书，同时提供与纸质图书书目相符的电子版清单。送货地址：安徽省合肥市新站区文忠路2600号安徽职业技术学院图书馆。应每包都按条形码顺序打印清单1份，并附有总清单两份（清单内容包括：书名、作者、出版社、出版时间、书号、单价、册数、总码洋、总实洋。）送货前需至少提前一天与图书馆接收人员联系，确认送货时间与数量。</w:t>
      </w:r>
    </w:p>
    <w:p w14:paraId="156628E1">
      <w:pPr>
        <w:spacing w:line="360" w:lineRule="auto"/>
        <w:ind w:firstLine="480" w:firstLineChars="200"/>
        <w:rPr>
          <w:rFonts w:hint="eastAsia" w:ascii="宋体" w:hAnsi="宋体"/>
          <w:bCs/>
          <w:sz w:val="24"/>
          <w:szCs w:val="18"/>
        </w:rPr>
      </w:pPr>
      <w:r>
        <w:rPr>
          <w:rFonts w:hint="eastAsia" w:ascii="宋体" w:hAnsi="宋体"/>
          <w:bCs/>
          <w:sz w:val="24"/>
          <w:szCs w:val="18"/>
        </w:rPr>
        <w:t>2.所到的图书的包装应为内层用防潮胶粒纸包装，外层用包装纸。防潮且不易破损。不会出现因运输过程中的不规范装卸造成的图书损坏。</w:t>
      </w:r>
    </w:p>
    <w:p w14:paraId="6BE3D25A">
      <w:pPr>
        <w:spacing w:line="360" w:lineRule="auto"/>
        <w:ind w:firstLine="480" w:firstLineChars="200"/>
        <w:rPr>
          <w:rFonts w:hint="eastAsia" w:ascii="宋体" w:hAnsi="宋体"/>
          <w:bCs/>
          <w:sz w:val="24"/>
          <w:szCs w:val="18"/>
        </w:rPr>
      </w:pPr>
      <w:r>
        <w:rPr>
          <w:rFonts w:hint="eastAsia" w:ascii="宋体" w:hAnsi="宋体"/>
          <w:bCs/>
          <w:sz w:val="24"/>
          <w:szCs w:val="18"/>
        </w:rPr>
        <w:t>3.中选人不得提供盗版书及非法出版物。一旦发现中选人所提供的图书出现盗版或非法出版物，比选人有权没收中选人履约保证金，追究违约责任并记入中选人信誉档案；中选人也不得以特价书充非特价书，一经发现将有权从履约保证金扣除2倍书款并计入中选人信誉档案，由此引起的法律责任和经济纠纷完全由中选人承担。</w:t>
      </w:r>
    </w:p>
    <w:p w14:paraId="17B32D52">
      <w:pPr>
        <w:spacing w:line="360" w:lineRule="auto"/>
        <w:ind w:firstLine="480" w:firstLineChars="200"/>
        <w:rPr>
          <w:rFonts w:hint="eastAsia" w:ascii="宋体" w:hAnsi="宋体"/>
          <w:bCs/>
          <w:sz w:val="24"/>
          <w:szCs w:val="18"/>
        </w:rPr>
      </w:pPr>
      <w:r>
        <w:rPr>
          <w:rFonts w:hint="eastAsia" w:ascii="宋体" w:hAnsi="宋体"/>
          <w:bCs/>
          <w:sz w:val="24"/>
          <w:szCs w:val="18"/>
        </w:rPr>
        <w:t>4.中选人所提供的图书若有缺附件、缺页、散页、图文不清、倒装、污损等印刷和装帧等质量问题，或所供图书一年内出现装订等质量问题，均可根据图书馆需要无条件退换或贬值处理，中选人不能以已加工为理由拒绝，以上情况造成的损失及费用由中选人承担。</w:t>
      </w:r>
    </w:p>
    <w:p w14:paraId="18E6E5DB">
      <w:pPr>
        <w:spacing w:line="360" w:lineRule="auto"/>
        <w:ind w:firstLine="480" w:firstLineChars="200"/>
        <w:rPr>
          <w:rFonts w:hint="eastAsia" w:ascii="宋体" w:hAnsi="宋体"/>
          <w:bCs/>
          <w:sz w:val="24"/>
          <w:szCs w:val="18"/>
        </w:rPr>
      </w:pPr>
      <w:r>
        <w:rPr>
          <w:rFonts w:hint="eastAsia" w:ascii="宋体" w:hAnsi="宋体"/>
          <w:bCs/>
          <w:sz w:val="24"/>
          <w:szCs w:val="18"/>
        </w:rPr>
        <w:t>5.若图书馆误订图书，在未加盖馆藏章、不影响二次销售的情况下，中选人须允许退货。</w:t>
      </w:r>
    </w:p>
    <w:p w14:paraId="78E1278F">
      <w:pPr>
        <w:spacing w:line="360" w:lineRule="auto"/>
        <w:ind w:firstLine="480" w:firstLineChars="200"/>
        <w:rPr>
          <w:rFonts w:hint="eastAsia" w:ascii="宋体" w:hAnsi="宋体"/>
          <w:bCs/>
          <w:sz w:val="24"/>
          <w:szCs w:val="18"/>
        </w:rPr>
      </w:pPr>
      <w:r>
        <w:rPr>
          <w:rFonts w:hint="eastAsia" w:ascii="宋体" w:hAnsi="宋体"/>
          <w:bCs/>
          <w:sz w:val="24"/>
          <w:szCs w:val="18"/>
        </w:rPr>
        <w:t>6.为了保证图书加工质量、加工标准，中选人须提供符合项目要求的加工材料，并按比选人要求统一到图书馆或比选人指定地进行加工。</w:t>
      </w:r>
    </w:p>
    <w:p w14:paraId="0408F18E">
      <w:pPr>
        <w:spacing w:line="360" w:lineRule="auto"/>
        <w:ind w:firstLine="480" w:firstLineChars="200"/>
        <w:rPr>
          <w:rFonts w:hint="eastAsia" w:ascii="宋体" w:hAnsi="宋体"/>
          <w:sz w:val="24"/>
        </w:rPr>
      </w:pPr>
      <w:r>
        <w:rPr>
          <w:rFonts w:hint="eastAsia" w:ascii="宋体" w:hAnsi="宋体"/>
          <w:bCs/>
          <w:sz w:val="24"/>
          <w:szCs w:val="18"/>
        </w:rPr>
        <w:t>7.本项目中选人无论在提供书目数据或是履行合同义务时，必须重视意识形态问题，坚决维护党中央权威，在思想上、政治上、行动上同党中央保持高度一致，所提供书目需符合社会主义核心价值观，符合习近平新时代中国特色社会主义思想。</w:t>
      </w:r>
    </w:p>
    <w:p w14:paraId="16C707F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92F3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宋体" w:cs="@仿宋_GB2312"/>
      <w:kern w:val="2"/>
      <w:sz w:val="21"/>
      <w:lang w:val="en-US" w:eastAsia="zh-CN" w:bidi="ar-SA"/>
    </w:rPr>
  </w:style>
  <w:style w:type="paragraph" w:styleId="2">
    <w:name w:val="heading 3"/>
    <w:basedOn w:val="1"/>
    <w:next w:val="1"/>
    <w:qFormat/>
    <w:uiPriority w:val="9"/>
    <w:pPr>
      <w:keepNext/>
      <w:keepLines/>
      <w:spacing w:before="260" w:after="260" w:line="416" w:lineRule="auto"/>
      <w:outlineLvl w:val="2"/>
    </w:pPr>
    <w:rPr>
      <w:rFonts w:ascii="@仿宋_GB2312" w:hAnsi="@仿宋_GB2312" w:eastAsia="宋体"/>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ascii="@仿宋_GB2312" w:hAnsi="@仿宋_GB2312" w:eastAsia="宋体"/>
      <w:kern w:val="0"/>
      <w:sz w:val="24"/>
    </w:rPr>
  </w:style>
  <w:style w:type="paragraph" w:customStyle="1" w:styleId="6">
    <w:name w:val="Char Char Char Char Char Char Char1 Char"/>
    <w:basedOn w:val="1"/>
    <w:qFormat/>
    <w:uiPriority w:val="0"/>
    <w:rPr>
      <w:rFonts w:ascii="Arial" w:hAnsi="Arial" w:eastAsia="宋体" w:cs="Arial"/>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2025-04-01T01:10:16Z</dcterms:created>
  <dc:creator>王宁</dc:creator>
  <cp:lastModifiedBy>王Sir</cp:lastModifiedBy>
  <dcterms:modified xsi:type="dcterms:W3CDTF">2025-04-01T01:10:46Z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eyJoZGlkIjoiOTQ1ZWY4ZDExNDVmZTdlZmE4MGU5ZTdmYmExYzY2ZDAiLCJ1c2VySWQiOiI0ODIzOTEyNDYifQ==</vt:lpwstr>
  </property>
  <property fmtid="{D5CDD505-2E9C-101B-9397-08002B2CF9AE}" pid="4" name="ICV">
    <vt:lpwstr>6FC0877C6E8A4F6184963E86900B23ED_12</vt:lpwstr>
  </property>
</Properties>
</file>