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3AEA2C">
      <w:pPr>
        <w:spacing w:line="360" w:lineRule="auto"/>
        <w:jc w:val="center"/>
        <w:outlineLvl w:val="1"/>
        <w:rPr>
          <w:rFonts w:hint="eastAsia" w:ascii="宋体" w:hAnsi="宋体" w:cs="宋体"/>
          <w:b/>
          <w:sz w:val="28"/>
        </w:rPr>
      </w:pPr>
      <w:bookmarkStart w:id="0" w:name="_Toc18464"/>
      <w:r>
        <w:rPr>
          <w:rFonts w:hint="eastAsia" w:ascii="宋体" w:hAnsi="宋体" w:cs="宋体"/>
          <w:b/>
          <w:sz w:val="28"/>
        </w:rPr>
        <w:t>第三章  采购需求</w:t>
      </w:r>
      <w:bookmarkEnd w:id="0"/>
    </w:p>
    <w:p w14:paraId="3148756C">
      <w:pPr>
        <w:spacing w:line="360" w:lineRule="auto"/>
        <w:jc w:val="left"/>
        <w:rPr>
          <w:rFonts w:hint="eastAsia" w:ascii="宋体" w:hAnsi="宋体" w:cs="宋体"/>
          <w:b/>
          <w:sz w:val="24"/>
          <w:szCs w:val="24"/>
        </w:rPr>
      </w:pPr>
      <w:r>
        <w:rPr>
          <w:rFonts w:hint="eastAsia" w:ascii="宋体" w:hAnsi="宋体" w:cs="宋体"/>
          <w:b/>
          <w:sz w:val="24"/>
          <w:szCs w:val="24"/>
        </w:rPr>
        <w:t>前注：</w:t>
      </w:r>
    </w:p>
    <w:p w14:paraId="6FF15A5E">
      <w:pPr>
        <w:spacing w:line="360" w:lineRule="auto"/>
        <w:ind w:firstLine="437"/>
        <w:jc w:val="left"/>
        <w:rPr>
          <w:rFonts w:hint="eastAsia" w:ascii="宋体" w:hAnsi="宋体" w:cs="宋体"/>
          <w:sz w:val="24"/>
          <w:szCs w:val="24"/>
        </w:rPr>
      </w:pPr>
      <w:r>
        <w:rPr>
          <w:rFonts w:hint="eastAsia" w:ascii="宋体" w:hAnsi="宋体" w:cs="宋体"/>
          <w:sz w:val="24"/>
          <w:szCs w:val="24"/>
        </w:rPr>
        <w:t>1.本说明中提出的技术方案仅为参考，如无明确限制，参选人可以进行优化，提供满足用户实际需要的更优（或者性能实质上不低于的）技术方案，且此方案须经评审小组评审认可；</w:t>
      </w:r>
    </w:p>
    <w:p w14:paraId="7E418014">
      <w:pPr>
        <w:spacing w:line="360" w:lineRule="auto"/>
        <w:ind w:firstLine="437"/>
        <w:jc w:val="left"/>
        <w:rPr>
          <w:rFonts w:hint="eastAsia" w:ascii="宋体" w:hAnsi="宋体" w:cs="宋体"/>
          <w:sz w:val="24"/>
          <w:szCs w:val="24"/>
        </w:rPr>
      </w:pPr>
      <w:r>
        <w:rPr>
          <w:rFonts w:hint="eastAsia" w:ascii="宋体" w:hAnsi="宋体" w:cs="宋体"/>
          <w:sz w:val="24"/>
          <w:szCs w:val="24"/>
        </w:rPr>
        <w:t>2.为鼓励不同品牌的充分竞争，如某设备的某技术参数或要求属于个别品牌专有，则该技术参数及要求不具有限制性，参选人可对该参数或要求进行适当调整，并应当说明调整的理由，且此调整须经评审小组评审认可；</w:t>
      </w:r>
    </w:p>
    <w:p w14:paraId="01FB55E3">
      <w:pPr>
        <w:spacing w:line="360" w:lineRule="auto"/>
        <w:ind w:firstLine="437"/>
        <w:jc w:val="left"/>
        <w:rPr>
          <w:rFonts w:hint="eastAsia" w:ascii="宋体" w:hAnsi="宋体" w:cs="宋体"/>
          <w:sz w:val="24"/>
          <w:szCs w:val="24"/>
        </w:rPr>
      </w:pPr>
      <w:r>
        <w:rPr>
          <w:rFonts w:hint="eastAsia" w:ascii="宋体" w:hAnsi="宋体" w:cs="宋体"/>
          <w:sz w:val="24"/>
          <w:szCs w:val="24"/>
        </w:rPr>
        <w:t>3.为有助于参选人选择参选产品，项目说明中可能提供了推荐品牌（或型号）、参考品牌（或型号）等，这些品牌（或型号）仅供参考，并无限制性。参选人可以选择性能不低于推荐（或参考）的品牌（或型号）的其他品牌产品，但比选时应当</w:t>
      </w:r>
      <w:r>
        <w:rPr>
          <w:rFonts w:hint="eastAsia" w:ascii="宋体" w:hAnsi="宋体" w:cs="宋体"/>
          <w:sz w:val="24"/>
          <w:szCs w:val="24"/>
          <w:lang w:eastAsia="zh-CN"/>
        </w:rPr>
        <w:t>提供</w:t>
      </w:r>
      <w:r>
        <w:rPr>
          <w:rFonts w:hint="eastAsia" w:ascii="宋体" w:hAnsi="宋体" w:cs="宋体"/>
          <w:sz w:val="24"/>
          <w:szCs w:val="24"/>
        </w:rPr>
        <w:t>有关技术证明资料，未提供的可能导致响应无效；</w:t>
      </w:r>
    </w:p>
    <w:p w14:paraId="7CFF859C">
      <w:pPr>
        <w:spacing w:line="360" w:lineRule="auto"/>
        <w:ind w:firstLine="437"/>
        <w:jc w:val="left"/>
        <w:rPr>
          <w:rFonts w:hint="eastAsia" w:ascii="宋体" w:hAnsi="宋体" w:cs="宋体"/>
          <w:b/>
          <w:sz w:val="24"/>
          <w:szCs w:val="24"/>
        </w:rPr>
      </w:pPr>
      <w:r>
        <w:rPr>
          <w:rFonts w:hint="eastAsia" w:ascii="宋体" w:hAnsi="宋体" w:cs="宋体"/>
          <w:sz w:val="24"/>
          <w:szCs w:val="24"/>
        </w:rPr>
        <w:t>4.下列采购需求中标注进口产品的货物均已履行相关论证手续，经核准采购进口产品，但不限制满足参选文件要求的国内产品参与竞争。未标注进口产品的货物均为拒绝采购进口产品。</w:t>
      </w:r>
      <w:r>
        <w:rPr>
          <w:rFonts w:hint="eastAsia" w:ascii="宋体" w:hAnsi="宋体" w:cs="宋体"/>
          <w:b/>
          <w:sz w:val="24"/>
          <w:szCs w:val="24"/>
        </w:rPr>
        <w:br w:type="page"/>
      </w:r>
      <w:r>
        <w:rPr>
          <w:rFonts w:hint="eastAsia" w:ascii="宋体" w:hAnsi="宋体" w:cs="宋体"/>
          <w:b/>
          <w:sz w:val="24"/>
          <w:szCs w:val="24"/>
        </w:rPr>
        <w:t xml:space="preserve">    一、采购需求前附表</w:t>
      </w:r>
    </w:p>
    <w:tbl>
      <w:tblPr>
        <w:tblStyle w:val="2"/>
        <w:tblW w:w="8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34"/>
        <w:gridCol w:w="5776"/>
      </w:tblGrid>
      <w:tr w14:paraId="233B7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11CD4165">
            <w:pPr>
              <w:jc w:val="center"/>
              <w:rPr>
                <w:rFonts w:hint="eastAsia" w:ascii="宋体" w:hAnsi="宋体" w:cs="宋体"/>
                <w:b/>
                <w:sz w:val="24"/>
              </w:rPr>
            </w:pPr>
            <w:r>
              <w:rPr>
                <w:rFonts w:hint="eastAsia" w:ascii="宋体" w:hAnsi="宋体" w:cs="宋体"/>
                <w:b/>
                <w:sz w:val="24"/>
              </w:rPr>
              <w:t>序号</w:t>
            </w:r>
          </w:p>
        </w:tc>
        <w:tc>
          <w:tcPr>
            <w:tcW w:w="2034" w:type="dxa"/>
            <w:noWrap w:val="0"/>
            <w:vAlign w:val="center"/>
          </w:tcPr>
          <w:p w14:paraId="7542A7D0">
            <w:pPr>
              <w:spacing w:line="360" w:lineRule="auto"/>
              <w:jc w:val="center"/>
              <w:rPr>
                <w:rFonts w:hint="eastAsia" w:ascii="宋体" w:hAnsi="宋体" w:cs="宋体"/>
                <w:b/>
                <w:kern w:val="0"/>
                <w:sz w:val="24"/>
                <w:szCs w:val="28"/>
              </w:rPr>
            </w:pPr>
            <w:r>
              <w:rPr>
                <w:rFonts w:hint="eastAsia" w:ascii="宋体" w:hAnsi="宋体" w:cs="宋体"/>
                <w:b/>
                <w:kern w:val="0"/>
                <w:sz w:val="24"/>
                <w:szCs w:val="28"/>
              </w:rPr>
              <w:t>条款名称</w:t>
            </w:r>
          </w:p>
        </w:tc>
        <w:tc>
          <w:tcPr>
            <w:tcW w:w="5776" w:type="dxa"/>
            <w:noWrap w:val="0"/>
            <w:vAlign w:val="center"/>
          </w:tcPr>
          <w:p w14:paraId="1791BD69">
            <w:pPr>
              <w:spacing w:line="360" w:lineRule="auto"/>
              <w:jc w:val="center"/>
              <w:rPr>
                <w:rFonts w:hint="eastAsia" w:ascii="宋体" w:hAnsi="宋体" w:cs="宋体"/>
                <w:b/>
                <w:kern w:val="0"/>
                <w:sz w:val="24"/>
                <w:szCs w:val="28"/>
              </w:rPr>
            </w:pPr>
            <w:r>
              <w:rPr>
                <w:rFonts w:hint="eastAsia" w:ascii="宋体" w:hAnsi="宋体" w:cs="宋体"/>
                <w:b/>
                <w:kern w:val="0"/>
                <w:sz w:val="24"/>
                <w:szCs w:val="28"/>
              </w:rPr>
              <w:t>内容、说明与要求</w:t>
            </w:r>
          </w:p>
        </w:tc>
      </w:tr>
      <w:tr w14:paraId="19931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69BD0AE7">
            <w:pPr>
              <w:jc w:val="center"/>
              <w:rPr>
                <w:rFonts w:hint="eastAsia" w:ascii="宋体" w:hAnsi="宋体" w:cs="宋体"/>
                <w:bCs/>
                <w:sz w:val="24"/>
              </w:rPr>
            </w:pPr>
            <w:r>
              <w:rPr>
                <w:rFonts w:hint="eastAsia" w:ascii="宋体" w:hAnsi="宋体" w:cs="宋体"/>
                <w:bCs/>
                <w:sz w:val="24"/>
              </w:rPr>
              <w:t>1</w:t>
            </w:r>
          </w:p>
        </w:tc>
        <w:tc>
          <w:tcPr>
            <w:tcW w:w="2034" w:type="dxa"/>
            <w:noWrap w:val="0"/>
            <w:vAlign w:val="center"/>
          </w:tcPr>
          <w:p w14:paraId="6F0516DF">
            <w:pPr>
              <w:spacing w:line="360" w:lineRule="auto"/>
              <w:jc w:val="center"/>
              <w:rPr>
                <w:rFonts w:hint="eastAsia" w:ascii="宋体" w:hAnsi="宋体" w:cs="宋体"/>
                <w:bCs/>
                <w:kern w:val="0"/>
                <w:sz w:val="24"/>
                <w:szCs w:val="28"/>
              </w:rPr>
            </w:pPr>
            <w:r>
              <w:rPr>
                <w:rFonts w:hint="eastAsia" w:ascii="宋体" w:hAnsi="宋体"/>
                <w:bCs/>
                <w:kern w:val="0"/>
                <w:sz w:val="24"/>
                <w:szCs w:val="28"/>
              </w:rPr>
              <w:t>付款方式</w:t>
            </w:r>
          </w:p>
        </w:tc>
        <w:tc>
          <w:tcPr>
            <w:tcW w:w="5776" w:type="dxa"/>
            <w:noWrap w:val="0"/>
            <w:vAlign w:val="center"/>
          </w:tcPr>
          <w:p w14:paraId="4CB48F8C">
            <w:pPr>
              <w:spacing w:line="360" w:lineRule="auto"/>
              <w:jc w:val="left"/>
              <w:rPr>
                <w:rFonts w:hint="eastAsia" w:ascii="宋体" w:hAnsi="宋体" w:cs="宋体"/>
                <w:sz w:val="24"/>
              </w:rPr>
            </w:pPr>
            <w:r>
              <w:rPr>
                <w:rFonts w:hint="eastAsia" w:ascii="宋体" w:hAnsi="宋体" w:cs="宋体"/>
                <w:bCs/>
                <w:kern w:val="0"/>
                <w:sz w:val="24"/>
                <w:szCs w:val="28"/>
              </w:rPr>
              <w:t>项目验收合格后一次性支付合同款项。</w:t>
            </w:r>
          </w:p>
        </w:tc>
      </w:tr>
      <w:tr w14:paraId="72674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5FEDB57C">
            <w:pPr>
              <w:jc w:val="center"/>
              <w:rPr>
                <w:rFonts w:hint="eastAsia" w:ascii="宋体" w:hAnsi="宋体" w:cs="宋体"/>
                <w:bCs/>
                <w:sz w:val="24"/>
              </w:rPr>
            </w:pPr>
            <w:r>
              <w:rPr>
                <w:rFonts w:hint="eastAsia" w:ascii="宋体" w:hAnsi="宋体" w:cs="宋体"/>
                <w:bCs/>
                <w:sz w:val="24"/>
              </w:rPr>
              <w:t>2</w:t>
            </w:r>
          </w:p>
        </w:tc>
        <w:tc>
          <w:tcPr>
            <w:tcW w:w="2034" w:type="dxa"/>
            <w:noWrap w:val="0"/>
            <w:vAlign w:val="center"/>
          </w:tcPr>
          <w:p w14:paraId="52398C84">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供货及安装地点</w:t>
            </w:r>
          </w:p>
        </w:tc>
        <w:tc>
          <w:tcPr>
            <w:tcW w:w="5776" w:type="dxa"/>
            <w:noWrap w:val="0"/>
            <w:vAlign w:val="center"/>
          </w:tcPr>
          <w:p w14:paraId="525802DC">
            <w:pPr>
              <w:spacing w:line="360" w:lineRule="auto"/>
              <w:jc w:val="left"/>
              <w:rPr>
                <w:rFonts w:hint="eastAsia" w:ascii="宋体" w:hAnsi="宋体" w:cs="宋体"/>
                <w:sz w:val="24"/>
              </w:rPr>
            </w:pPr>
            <w:r>
              <w:rPr>
                <w:rFonts w:hint="eastAsia" w:ascii="宋体" w:hAnsi="宋体" w:cs="宋体"/>
                <w:bCs/>
                <w:kern w:val="0"/>
                <w:sz w:val="24"/>
                <w:szCs w:val="28"/>
              </w:rPr>
              <w:t>安徽医科大学，采购人指定地点。</w:t>
            </w:r>
          </w:p>
        </w:tc>
      </w:tr>
      <w:tr w14:paraId="6CE0C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19879083">
            <w:pPr>
              <w:jc w:val="center"/>
              <w:rPr>
                <w:rFonts w:hint="eastAsia" w:ascii="宋体" w:hAnsi="宋体" w:cs="宋体"/>
                <w:bCs/>
                <w:sz w:val="24"/>
              </w:rPr>
            </w:pPr>
            <w:r>
              <w:rPr>
                <w:rFonts w:hint="eastAsia" w:ascii="宋体" w:hAnsi="宋体" w:cs="宋体"/>
                <w:bCs/>
                <w:sz w:val="24"/>
              </w:rPr>
              <w:t>3</w:t>
            </w:r>
          </w:p>
        </w:tc>
        <w:tc>
          <w:tcPr>
            <w:tcW w:w="2034" w:type="dxa"/>
            <w:noWrap w:val="0"/>
            <w:vAlign w:val="center"/>
          </w:tcPr>
          <w:p w14:paraId="43AB67B1">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供货及安装期限</w:t>
            </w:r>
          </w:p>
        </w:tc>
        <w:tc>
          <w:tcPr>
            <w:tcW w:w="5776" w:type="dxa"/>
            <w:noWrap w:val="0"/>
            <w:vAlign w:val="center"/>
          </w:tcPr>
          <w:p w14:paraId="0A44205F">
            <w:pPr>
              <w:spacing w:line="360" w:lineRule="auto"/>
              <w:jc w:val="left"/>
              <w:rPr>
                <w:rFonts w:hint="eastAsia" w:ascii="宋体" w:hAnsi="宋体" w:cs="宋体"/>
                <w:sz w:val="24"/>
              </w:rPr>
            </w:pPr>
            <w:r>
              <w:rPr>
                <w:rFonts w:hint="eastAsia" w:ascii="宋体" w:hAnsi="宋体" w:cs="宋体"/>
                <w:bCs/>
                <w:kern w:val="0"/>
                <w:sz w:val="24"/>
                <w:szCs w:val="28"/>
              </w:rPr>
              <w:t>合同生效后30个日历日内完成供货、安装及调试。</w:t>
            </w:r>
          </w:p>
        </w:tc>
      </w:tr>
      <w:tr w14:paraId="0AE5C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3AD1C2AB">
            <w:pPr>
              <w:jc w:val="center"/>
              <w:rPr>
                <w:rFonts w:hint="eastAsia" w:ascii="宋体" w:hAnsi="宋体" w:cs="宋体"/>
                <w:bCs/>
                <w:sz w:val="24"/>
              </w:rPr>
            </w:pPr>
            <w:r>
              <w:rPr>
                <w:rFonts w:hint="eastAsia" w:ascii="宋体" w:hAnsi="宋体" w:cs="宋体"/>
                <w:bCs/>
                <w:sz w:val="24"/>
              </w:rPr>
              <w:t>4</w:t>
            </w:r>
          </w:p>
        </w:tc>
        <w:tc>
          <w:tcPr>
            <w:tcW w:w="2034" w:type="dxa"/>
            <w:noWrap w:val="0"/>
            <w:vAlign w:val="center"/>
          </w:tcPr>
          <w:p w14:paraId="7B7C7DBB">
            <w:pPr>
              <w:spacing w:line="360" w:lineRule="auto"/>
              <w:jc w:val="center"/>
              <w:rPr>
                <w:rFonts w:hint="eastAsia" w:ascii="宋体" w:hAnsi="宋体" w:cs="宋体"/>
                <w:bCs/>
                <w:kern w:val="0"/>
                <w:sz w:val="24"/>
                <w:szCs w:val="28"/>
              </w:rPr>
            </w:pPr>
            <w:r>
              <w:rPr>
                <w:rFonts w:hint="eastAsia" w:ascii="宋体" w:hAnsi="宋体"/>
                <w:bCs/>
                <w:kern w:val="0"/>
                <w:sz w:val="24"/>
                <w:szCs w:val="28"/>
              </w:rPr>
              <w:t>免费质保期</w:t>
            </w:r>
          </w:p>
        </w:tc>
        <w:tc>
          <w:tcPr>
            <w:tcW w:w="5776" w:type="dxa"/>
            <w:noWrap w:val="0"/>
            <w:vAlign w:val="center"/>
          </w:tcPr>
          <w:p w14:paraId="68F50D55">
            <w:pPr>
              <w:spacing w:line="360" w:lineRule="auto"/>
              <w:jc w:val="left"/>
              <w:rPr>
                <w:rFonts w:hint="default" w:ascii="宋体" w:hAnsi="宋体" w:eastAsia="宋体" w:cs="宋体"/>
                <w:sz w:val="24"/>
                <w:lang w:val="en-US" w:eastAsia="zh-CN"/>
              </w:rPr>
            </w:pPr>
            <w:r>
              <w:rPr>
                <w:rFonts w:hint="eastAsia" w:ascii="宋体" w:hAnsi="宋体"/>
                <w:sz w:val="24"/>
                <w:szCs w:val="24"/>
                <w:lang w:val="en-US" w:eastAsia="zh-CN"/>
              </w:rPr>
              <w:t>自</w:t>
            </w:r>
            <w:r>
              <w:rPr>
                <w:rFonts w:hint="eastAsia" w:ascii="宋体" w:hAnsi="宋体"/>
                <w:sz w:val="24"/>
                <w:szCs w:val="24"/>
              </w:rPr>
              <w:t>验收合格之日起3年</w:t>
            </w:r>
            <w:r>
              <w:rPr>
                <w:rFonts w:hint="eastAsia" w:ascii="宋体" w:hAnsi="宋体" w:cs="宋体"/>
                <w:bCs/>
                <w:kern w:val="0"/>
                <w:sz w:val="24"/>
                <w:szCs w:val="28"/>
              </w:rPr>
              <w:t>。</w:t>
            </w:r>
            <w:r>
              <w:rPr>
                <w:rFonts w:hint="eastAsia" w:ascii="宋体" w:hAnsi="宋体" w:cs="宋体"/>
                <w:b/>
                <w:bCs w:val="0"/>
                <w:kern w:val="0"/>
                <w:sz w:val="24"/>
                <w:szCs w:val="28"/>
                <w:lang w:val="en-US" w:eastAsia="zh-CN"/>
              </w:rPr>
              <w:t>货物需求中另有要求的，以采购需求为准。</w:t>
            </w:r>
          </w:p>
        </w:tc>
      </w:tr>
    </w:tbl>
    <w:p w14:paraId="3E5E368F">
      <w:pPr>
        <w:spacing w:line="360" w:lineRule="auto"/>
        <w:ind w:firstLine="437"/>
        <w:jc w:val="left"/>
        <w:rPr>
          <w:rFonts w:hint="eastAsia" w:ascii="宋体" w:hAnsi="宋体" w:cs="宋体"/>
          <w:b/>
          <w:sz w:val="24"/>
          <w:szCs w:val="24"/>
        </w:rPr>
      </w:pPr>
      <w:r>
        <w:rPr>
          <w:rFonts w:hint="eastAsia" w:ascii="宋体" w:hAnsi="宋体" w:cs="宋体"/>
          <w:b/>
          <w:sz w:val="24"/>
          <w:szCs w:val="24"/>
        </w:rPr>
        <w:t>二、货物需求</w:t>
      </w:r>
    </w:p>
    <w:p w14:paraId="4B392403">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（一）货物需求说明</w:t>
      </w:r>
    </w:p>
    <w:tbl>
      <w:tblPr>
        <w:tblStyle w:val="2"/>
        <w:tblW w:w="87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365"/>
        <w:gridCol w:w="5692"/>
      </w:tblGrid>
      <w:tr w14:paraId="25267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9" w:type="dxa"/>
            <w:noWrap w:val="0"/>
            <w:vAlign w:val="center"/>
          </w:tcPr>
          <w:p w14:paraId="2253E88B">
            <w:pPr>
              <w:spacing w:line="360" w:lineRule="auto"/>
              <w:jc w:val="center"/>
              <w:rPr>
                <w:rFonts w:ascii="宋体" w:hAnsi="宋体" w:eastAsia="宋体" w:cs="宋体"/>
                <w:b/>
                <w:sz w:val="24"/>
                <w:szCs w:val="18"/>
              </w:rPr>
            </w:pPr>
            <w:r>
              <w:rPr>
                <w:rFonts w:hint="eastAsia" w:ascii="宋体" w:hAnsi="宋体" w:eastAsia="宋体" w:cs="宋体"/>
                <w:b/>
                <w:sz w:val="24"/>
                <w:szCs w:val="18"/>
              </w:rPr>
              <w:t>标识重要性</w:t>
            </w:r>
          </w:p>
        </w:tc>
        <w:tc>
          <w:tcPr>
            <w:tcW w:w="1365" w:type="dxa"/>
            <w:noWrap w:val="0"/>
            <w:vAlign w:val="center"/>
          </w:tcPr>
          <w:p w14:paraId="249D6BCC">
            <w:pPr>
              <w:spacing w:line="360" w:lineRule="auto"/>
              <w:jc w:val="center"/>
              <w:rPr>
                <w:rFonts w:ascii="宋体" w:hAnsi="宋体" w:eastAsia="宋体" w:cs="宋体"/>
                <w:b/>
                <w:sz w:val="24"/>
                <w:szCs w:val="18"/>
              </w:rPr>
            </w:pPr>
            <w:r>
              <w:rPr>
                <w:rFonts w:hint="eastAsia" w:ascii="宋体" w:hAnsi="宋体" w:eastAsia="宋体" w:cs="宋体"/>
                <w:b/>
                <w:sz w:val="24"/>
                <w:szCs w:val="18"/>
              </w:rPr>
              <w:t>标识符号</w:t>
            </w:r>
          </w:p>
        </w:tc>
        <w:tc>
          <w:tcPr>
            <w:tcW w:w="5692" w:type="dxa"/>
            <w:noWrap w:val="0"/>
            <w:vAlign w:val="center"/>
          </w:tcPr>
          <w:p w14:paraId="4D8D297C">
            <w:pPr>
              <w:spacing w:line="360" w:lineRule="auto"/>
              <w:jc w:val="center"/>
              <w:rPr>
                <w:rFonts w:ascii="宋体" w:hAnsi="宋体" w:eastAsia="宋体" w:cs="宋体"/>
                <w:b/>
                <w:sz w:val="24"/>
                <w:szCs w:val="18"/>
              </w:rPr>
            </w:pPr>
            <w:r>
              <w:rPr>
                <w:rFonts w:hint="eastAsia" w:ascii="宋体" w:hAnsi="宋体" w:eastAsia="宋体" w:cs="宋体"/>
                <w:b/>
                <w:sz w:val="24"/>
                <w:szCs w:val="18"/>
              </w:rPr>
              <w:t>代表意思</w:t>
            </w:r>
          </w:p>
        </w:tc>
      </w:tr>
      <w:tr w14:paraId="4289F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76502213">
            <w:pPr>
              <w:spacing w:line="360" w:lineRule="auto"/>
              <w:jc w:val="center"/>
              <w:rPr>
                <w:rFonts w:ascii="宋体" w:hAnsi="宋体" w:eastAsia="宋体" w:cs="宋体"/>
                <w:b/>
                <w:bCs/>
                <w:sz w:val="24"/>
                <w:szCs w:val="18"/>
              </w:rPr>
            </w:pPr>
            <w:r>
              <w:rPr>
                <w:rFonts w:hint="eastAsia" w:ascii="宋体" w:hAnsi="宋体" w:eastAsia="宋体" w:cs="宋体"/>
                <w:b/>
                <w:bCs/>
                <w:sz w:val="24"/>
                <w:szCs w:val="18"/>
                <w:lang w:eastAsia="zh-CN"/>
              </w:rPr>
              <w:t>核心</w:t>
            </w:r>
            <w:r>
              <w:rPr>
                <w:rFonts w:hint="eastAsia" w:ascii="宋体" w:hAnsi="宋体" w:eastAsia="宋体" w:cs="宋体"/>
                <w:b/>
                <w:bCs/>
                <w:sz w:val="24"/>
                <w:szCs w:val="18"/>
              </w:rPr>
              <w:t>指标项</w:t>
            </w:r>
          </w:p>
        </w:tc>
        <w:tc>
          <w:tcPr>
            <w:tcW w:w="1365" w:type="dxa"/>
            <w:noWrap w:val="0"/>
            <w:vAlign w:val="center"/>
          </w:tcPr>
          <w:p w14:paraId="43EFB340">
            <w:pPr>
              <w:spacing w:line="360" w:lineRule="auto"/>
              <w:jc w:val="center"/>
              <w:rPr>
                <w:rFonts w:ascii="宋体" w:hAnsi="宋体" w:eastAsia="宋体" w:cs="宋体"/>
                <w:b/>
                <w:bCs/>
                <w:sz w:val="24"/>
                <w:szCs w:val="18"/>
              </w:rPr>
            </w:pPr>
            <w:r>
              <w:rPr>
                <w:rFonts w:hint="eastAsia" w:ascii="宋体" w:hAnsi="宋体"/>
                <w:bCs/>
                <w:sz w:val="24"/>
                <w:szCs w:val="18"/>
              </w:rPr>
              <w:t>★</w:t>
            </w:r>
          </w:p>
        </w:tc>
        <w:tc>
          <w:tcPr>
            <w:tcW w:w="5692" w:type="dxa"/>
            <w:noWrap w:val="0"/>
            <w:vAlign w:val="center"/>
          </w:tcPr>
          <w:p w14:paraId="065D27FF">
            <w:pPr>
              <w:spacing w:line="360" w:lineRule="auto"/>
              <w:jc w:val="left"/>
              <w:rPr>
                <w:rFonts w:ascii="宋体" w:hAnsi="宋体" w:eastAsia="宋体" w:cs="宋体"/>
                <w:b/>
                <w:bCs/>
                <w:sz w:val="24"/>
                <w:szCs w:val="20"/>
              </w:rPr>
            </w:pPr>
            <w:r>
              <w:rPr>
                <w:rFonts w:hint="eastAsia" w:ascii="宋体" w:hAnsi="宋体" w:cs="宋体"/>
                <w:b/>
                <w:bCs/>
                <w:sz w:val="24"/>
                <w:szCs w:val="24"/>
              </w:rPr>
              <w:t>作为评分项，详见“第四章 评标方法和标准”中评分细则。</w:t>
            </w:r>
          </w:p>
        </w:tc>
      </w:tr>
      <w:tr w14:paraId="68521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456BBEB2">
            <w:pPr>
              <w:spacing w:line="360" w:lineRule="auto"/>
              <w:jc w:val="center"/>
              <w:rPr>
                <w:rFonts w:hint="default" w:ascii="宋体" w:hAnsi="宋体" w:eastAsia="宋体" w:cs="宋体"/>
                <w:b/>
                <w:bCs/>
                <w:sz w:val="24"/>
                <w:szCs w:val="18"/>
                <w:lang w:val="en-US" w:eastAsia="zh-CN"/>
              </w:rPr>
            </w:pPr>
            <w:r>
              <w:rPr>
                <w:rFonts w:hint="eastAsia" w:ascii="宋体" w:hAnsi="宋体" w:eastAsia="宋体" w:cs="宋体"/>
                <w:b/>
                <w:bCs/>
                <w:sz w:val="24"/>
                <w:szCs w:val="18"/>
                <w:lang w:val="en-US" w:eastAsia="zh-CN"/>
              </w:rPr>
              <w:t>无标识项</w:t>
            </w:r>
          </w:p>
        </w:tc>
        <w:tc>
          <w:tcPr>
            <w:tcW w:w="1365" w:type="dxa"/>
            <w:noWrap w:val="0"/>
            <w:vAlign w:val="center"/>
          </w:tcPr>
          <w:p w14:paraId="1FBE432E">
            <w:pPr>
              <w:spacing w:line="360" w:lineRule="auto"/>
              <w:jc w:val="center"/>
              <w:rPr>
                <w:rFonts w:hint="eastAsia" w:ascii="仿宋" w:hAnsi="仿宋" w:eastAsia="仿宋" w:cs="仿宋"/>
                <w:b/>
                <w:bCs/>
                <w:color w:val="000000"/>
                <w:kern w:val="0"/>
                <w:sz w:val="24"/>
                <w:lang w:bidi="ar"/>
              </w:rPr>
            </w:pPr>
          </w:p>
        </w:tc>
        <w:tc>
          <w:tcPr>
            <w:tcW w:w="5692" w:type="dxa"/>
            <w:noWrap w:val="0"/>
            <w:vAlign w:val="center"/>
          </w:tcPr>
          <w:p w14:paraId="6C7CC761">
            <w:pPr>
              <w:spacing w:line="360" w:lineRule="auto"/>
              <w:jc w:val="left"/>
              <w:rPr>
                <w:rFonts w:hint="eastAsia" w:ascii="宋体" w:hAnsi="宋体" w:eastAsia="宋体" w:cs="宋体"/>
                <w:b/>
                <w:bCs/>
                <w:sz w:val="24"/>
                <w:szCs w:val="20"/>
              </w:rPr>
            </w:pPr>
            <w:r>
              <w:rPr>
                <w:rFonts w:hint="eastAsia" w:ascii="宋体" w:hAnsi="宋体" w:cs="宋体"/>
                <w:b/>
                <w:bCs/>
                <w:sz w:val="24"/>
                <w:szCs w:val="24"/>
              </w:rPr>
              <w:t>作为实质性条款</w:t>
            </w:r>
            <w:r>
              <w:rPr>
                <w:rFonts w:hint="eastAsia" w:ascii="宋体" w:hAnsi="宋体" w:cs="宋体"/>
                <w:b/>
                <w:bCs/>
                <w:sz w:val="24"/>
                <w:szCs w:val="24"/>
                <w:lang w:eastAsia="zh-CN"/>
              </w:rPr>
              <w:t>，</w:t>
            </w:r>
            <w:r>
              <w:rPr>
                <w:rFonts w:hint="eastAsia" w:ascii="宋体" w:hAnsi="宋体" w:cs="宋体"/>
                <w:b/>
                <w:bCs/>
                <w:sz w:val="24"/>
                <w:szCs w:val="24"/>
              </w:rPr>
              <w:t>任意项</w:t>
            </w:r>
            <w:r>
              <w:rPr>
                <w:rFonts w:hint="eastAsia" w:ascii="宋体" w:hAnsi="宋体" w:eastAsia="宋体" w:cs="宋体"/>
                <w:b/>
                <w:bCs/>
                <w:sz w:val="24"/>
                <w:szCs w:val="20"/>
              </w:rPr>
              <w:t>负偏离或未响应，将导致</w:t>
            </w:r>
            <w:r>
              <w:rPr>
                <w:rFonts w:hint="eastAsia" w:ascii="宋体" w:hAnsi="宋体" w:eastAsia="宋体" w:cs="宋体"/>
                <w:b/>
                <w:bCs/>
                <w:sz w:val="24"/>
                <w:szCs w:val="20"/>
                <w:lang w:val="en-US" w:eastAsia="zh-CN"/>
              </w:rPr>
              <w:t>响应</w:t>
            </w:r>
            <w:r>
              <w:rPr>
                <w:rFonts w:hint="eastAsia" w:ascii="宋体" w:hAnsi="宋体" w:eastAsia="宋体" w:cs="宋体"/>
                <w:b/>
                <w:bCs/>
                <w:sz w:val="24"/>
                <w:szCs w:val="20"/>
              </w:rPr>
              <w:t>无效</w:t>
            </w:r>
          </w:p>
        </w:tc>
      </w:tr>
      <w:tr w14:paraId="56C96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06" w:type="dxa"/>
            <w:gridSpan w:val="3"/>
            <w:noWrap w:val="0"/>
            <w:vAlign w:val="center"/>
          </w:tcPr>
          <w:p w14:paraId="106A1877">
            <w:pPr>
              <w:spacing w:line="360" w:lineRule="auto"/>
              <w:rPr>
                <w:rFonts w:ascii="宋体" w:hAnsi="宋体" w:eastAsia="宋体" w:cs="宋体"/>
                <w:bCs/>
                <w:sz w:val="24"/>
                <w:szCs w:val="20"/>
              </w:rPr>
            </w:pPr>
            <w:r>
              <w:rPr>
                <w:rFonts w:hint="eastAsia" w:ascii="宋体" w:hAnsi="宋体" w:eastAsia="宋体" w:cs="宋体"/>
                <w:b/>
                <w:sz w:val="24"/>
                <w:szCs w:val="20"/>
              </w:rPr>
              <w:t>注：如某项标识中包含多条技术参数或要求，则该项标识所含内容均需满足或优于</w:t>
            </w:r>
            <w:r>
              <w:rPr>
                <w:rFonts w:hint="eastAsia" w:ascii="宋体" w:hAnsi="宋体" w:eastAsia="宋体" w:cs="宋体"/>
                <w:b/>
                <w:sz w:val="24"/>
                <w:szCs w:val="20"/>
                <w:lang w:val="en-US" w:eastAsia="zh-CN"/>
              </w:rPr>
              <w:t>比选</w:t>
            </w:r>
            <w:r>
              <w:rPr>
                <w:rFonts w:hint="eastAsia" w:ascii="宋体" w:hAnsi="宋体" w:eastAsia="宋体" w:cs="宋体"/>
                <w:b/>
                <w:sz w:val="24"/>
                <w:szCs w:val="20"/>
              </w:rPr>
              <w:t>文件要求，否则不予认可。</w:t>
            </w:r>
          </w:p>
        </w:tc>
      </w:tr>
    </w:tbl>
    <w:p w14:paraId="41B91FEF">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（二）货物需求表</w:t>
      </w:r>
    </w:p>
    <w:tbl>
      <w:tblPr>
        <w:tblStyle w:val="2"/>
        <w:tblW w:w="50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7"/>
        <w:gridCol w:w="1308"/>
        <w:gridCol w:w="5459"/>
        <w:gridCol w:w="1186"/>
      </w:tblGrid>
      <w:tr w14:paraId="26A22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noWrap w:val="0"/>
            <w:vAlign w:val="center"/>
          </w:tcPr>
          <w:p w14:paraId="5B33814F">
            <w:pPr>
              <w:spacing w:line="360" w:lineRule="auto"/>
              <w:jc w:val="center"/>
              <w:rPr>
                <w:rFonts w:ascii="宋体" w:hAnsi="宋体"/>
                <w:b/>
                <w:bCs w:val="0"/>
                <w:sz w:val="24"/>
                <w:szCs w:val="18"/>
              </w:rPr>
            </w:pPr>
            <w:r>
              <w:rPr>
                <w:rFonts w:hint="eastAsia" w:ascii="宋体" w:hAnsi="宋体"/>
                <w:b/>
                <w:bCs w:val="0"/>
                <w:sz w:val="24"/>
                <w:szCs w:val="18"/>
              </w:rPr>
              <w:t>序号</w:t>
            </w:r>
          </w:p>
        </w:tc>
        <w:tc>
          <w:tcPr>
            <w:tcW w:w="755" w:type="pct"/>
            <w:noWrap w:val="0"/>
            <w:vAlign w:val="center"/>
          </w:tcPr>
          <w:p w14:paraId="12108E71">
            <w:pPr>
              <w:spacing w:line="360" w:lineRule="auto"/>
              <w:jc w:val="center"/>
              <w:rPr>
                <w:rFonts w:ascii="宋体" w:hAnsi="宋体"/>
                <w:b/>
                <w:bCs w:val="0"/>
                <w:sz w:val="24"/>
                <w:szCs w:val="18"/>
              </w:rPr>
            </w:pPr>
            <w:r>
              <w:rPr>
                <w:rFonts w:hint="eastAsia" w:ascii="宋体" w:hAnsi="宋体"/>
                <w:b/>
                <w:bCs w:val="0"/>
                <w:sz w:val="24"/>
                <w:szCs w:val="18"/>
              </w:rPr>
              <w:t>货物名称</w:t>
            </w:r>
          </w:p>
        </w:tc>
        <w:tc>
          <w:tcPr>
            <w:tcW w:w="3151" w:type="pct"/>
            <w:noWrap w:val="0"/>
            <w:vAlign w:val="center"/>
          </w:tcPr>
          <w:p w14:paraId="7F629CAE">
            <w:pPr>
              <w:spacing w:line="360" w:lineRule="auto"/>
              <w:jc w:val="center"/>
              <w:rPr>
                <w:rFonts w:hint="eastAsia" w:ascii="宋体" w:hAnsi="宋体"/>
                <w:b/>
                <w:bCs w:val="0"/>
                <w:sz w:val="24"/>
                <w:szCs w:val="18"/>
              </w:rPr>
            </w:pPr>
            <w:r>
              <w:rPr>
                <w:rFonts w:hint="eastAsia" w:ascii="宋体" w:hAnsi="宋体"/>
                <w:b/>
                <w:bCs w:val="0"/>
                <w:sz w:val="24"/>
                <w:szCs w:val="18"/>
              </w:rPr>
              <w:t>技术参数及要求</w:t>
            </w:r>
          </w:p>
        </w:tc>
        <w:tc>
          <w:tcPr>
            <w:tcW w:w="684" w:type="pct"/>
            <w:noWrap w:val="0"/>
            <w:vAlign w:val="center"/>
          </w:tcPr>
          <w:p w14:paraId="7A9ADE5E">
            <w:pPr>
              <w:spacing w:line="360" w:lineRule="auto"/>
              <w:jc w:val="center"/>
              <w:rPr>
                <w:rFonts w:ascii="宋体" w:hAnsi="宋体"/>
                <w:b/>
                <w:bCs w:val="0"/>
                <w:sz w:val="24"/>
                <w:szCs w:val="18"/>
              </w:rPr>
            </w:pPr>
            <w:r>
              <w:rPr>
                <w:rFonts w:hint="eastAsia" w:ascii="宋体" w:hAnsi="宋体"/>
                <w:b/>
                <w:bCs w:val="0"/>
                <w:sz w:val="24"/>
                <w:szCs w:val="18"/>
              </w:rPr>
              <w:t>数量（单位）</w:t>
            </w:r>
          </w:p>
        </w:tc>
      </w:tr>
      <w:tr w14:paraId="62900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noWrap w:val="0"/>
            <w:vAlign w:val="center"/>
          </w:tcPr>
          <w:p w14:paraId="21EE097E">
            <w:pPr>
              <w:spacing w:line="360" w:lineRule="auto"/>
              <w:jc w:val="center"/>
              <w:rPr>
                <w:rFonts w:ascii="宋体" w:hAnsi="宋体"/>
                <w:sz w:val="24"/>
                <w:szCs w:val="18"/>
              </w:rPr>
            </w:pPr>
            <w:r>
              <w:rPr>
                <w:rFonts w:hint="eastAsia" w:ascii="宋体" w:hAnsi="宋体"/>
                <w:sz w:val="24"/>
                <w:szCs w:val="18"/>
              </w:rPr>
              <w:t>1</w:t>
            </w:r>
          </w:p>
        </w:tc>
        <w:tc>
          <w:tcPr>
            <w:tcW w:w="755" w:type="pct"/>
            <w:noWrap w:val="0"/>
            <w:vAlign w:val="center"/>
          </w:tcPr>
          <w:p w14:paraId="29F0EBEB">
            <w:pPr>
              <w:spacing w:line="360" w:lineRule="auto"/>
              <w:jc w:val="center"/>
              <w:rPr>
                <w:rFonts w:ascii="宋体" w:hAnsi="宋体"/>
                <w:bCs/>
                <w:sz w:val="24"/>
                <w:szCs w:val="18"/>
              </w:rPr>
            </w:pPr>
            <w:r>
              <w:rPr>
                <w:rFonts w:hint="eastAsia" w:ascii="宋体" w:hAnsi="宋体" w:eastAsia="宋体" w:cs="宋体"/>
                <w:bCs/>
                <w:color w:val="auto"/>
                <w:sz w:val="24"/>
                <w:szCs w:val="24"/>
                <w:highlight w:val="none"/>
              </w:rPr>
              <w:t>▲</w:t>
            </w:r>
            <w:r>
              <w:rPr>
                <w:rFonts w:hint="eastAsia" w:ascii="宋体" w:hAnsi="宋体"/>
                <w:bCs/>
                <w:sz w:val="24"/>
                <w:szCs w:val="18"/>
              </w:rPr>
              <w:t>防火墙</w:t>
            </w:r>
          </w:p>
        </w:tc>
        <w:tc>
          <w:tcPr>
            <w:tcW w:w="3151" w:type="pct"/>
            <w:noWrap w:val="0"/>
            <w:vAlign w:val="top"/>
          </w:tcPr>
          <w:p w14:paraId="44DC6082">
            <w:pPr>
              <w:spacing w:line="360" w:lineRule="auto"/>
              <w:rPr>
                <w:rFonts w:hint="eastAsia" w:ascii="宋体" w:hAnsi="宋体"/>
                <w:bCs/>
                <w:sz w:val="24"/>
                <w:szCs w:val="18"/>
              </w:rPr>
            </w:pPr>
            <w:r>
              <w:rPr>
                <w:rFonts w:hint="eastAsia" w:ascii="宋体" w:hAnsi="宋体"/>
                <w:bCs/>
                <w:sz w:val="24"/>
                <w:szCs w:val="18"/>
              </w:rPr>
              <w:t>1.1U机架式，千兆电接口≥16，千兆Combo接口≥4</w:t>
            </w:r>
            <w:r>
              <w:rPr>
                <w:rFonts w:hint="eastAsia" w:ascii="宋体" w:hAnsi="宋体"/>
                <w:bCs/>
                <w:sz w:val="24"/>
                <w:szCs w:val="18"/>
                <w:lang w:eastAsia="zh-CN"/>
              </w:rPr>
              <w:t>，</w:t>
            </w:r>
            <w:r>
              <w:rPr>
                <w:rFonts w:hint="eastAsia" w:ascii="宋体" w:hAnsi="宋体"/>
                <w:bCs/>
                <w:sz w:val="24"/>
                <w:szCs w:val="18"/>
              </w:rPr>
              <w:t>千兆光接口≥4，万兆光接口≥6，配置不少于6个万兆多模光模块，4个千兆单模光模块，端口扩展槽≥2，冗余电源，硬盘≥1TB。网络吞吐率≥25Gbps；并发连接≥350W；</w:t>
            </w:r>
          </w:p>
          <w:p w14:paraId="20BCEA33">
            <w:pPr>
              <w:spacing w:line="360" w:lineRule="auto"/>
              <w:rPr>
                <w:rFonts w:hint="eastAsia" w:ascii="宋体" w:hAnsi="宋体"/>
                <w:bCs/>
                <w:sz w:val="24"/>
                <w:szCs w:val="18"/>
              </w:rPr>
            </w:pPr>
            <w:r>
              <w:rPr>
                <w:rFonts w:hint="eastAsia" w:ascii="宋体" w:hAnsi="宋体"/>
                <w:bCs/>
                <w:sz w:val="24"/>
                <w:szCs w:val="18"/>
              </w:rPr>
              <w:t>2.实现路由模式、透明（网桥）模式、混合模式；</w:t>
            </w:r>
          </w:p>
          <w:p w14:paraId="10374BCA">
            <w:pPr>
              <w:spacing w:line="360" w:lineRule="auto"/>
              <w:rPr>
                <w:rFonts w:hint="eastAsia" w:ascii="宋体" w:hAnsi="宋体"/>
                <w:bCs/>
                <w:sz w:val="24"/>
                <w:szCs w:val="18"/>
              </w:rPr>
            </w:pPr>
            <w:r>
              <w:rPr>
                <w:rFonts w:hint="eastAsia" w:ascii="宋体" w:hAnsi="宋体"/>
                <w:bCs/>
                <w:sz w:val="24"/>
                <w:szCs w:val="18"/>
              </w:rPr>
              <w:t>3.支持静态路由、策略路由、RIP、OSPF、BGP、IS-IS等路由协议。</w:t>
            </w:r>
          </w:p>
          <w:p w14:paraId="5AF3090B">
            <w:pPr>
              <w:spacing w:line="360" w:lineRule="auto"/>
              <w:rPr>
                <w:rFonts w:hint="eastAsia" w:ascii="宋体" w:hAnsi="宋体"/>
                <w:bCs/>
                <w:sz w:val="24"/>
                <w:szCs w:val="18"/>
              </w:rPr>
            </w:pPr>
            <w:r>
              <w:rPr>
                <w:rFonts w:hint="eastAsia" w:ascii="宋体" w:hAnsi="宋体"/>
                <w:bCs/>
                <w:sz w:val="24"/>
                <w:szCs w:val="18"/>
              </w:rPr>
              <w:t>★4.支持一对一、多对一、多对多等多种形式的NAT，支持DNS、FTP、H.323、RTSP、ILS、PPTP、SIP、SQLNET、MGCP、RSH、ICMP差错报文、TFTP、RTSP、SCTP、XDMCP、NBT、SCCP、HTTP等多种NAT ALG功能。</w:t>
            </w:r>
            <w:r>
              <w:rPr>
                <w:rFonts w:hint="eastAsia" w:ascii="宋体" w:hAnsi="宋体"/>
                <w:b/>
                <w:bCs w:val="0"/>
                <w:sz w:val="24"/>
                <w:szCs w:val="18"/>
              </w:rPr>
              <w:t>（</w:t>
            </w:r>
            <w:r>
              <w:rPr>
                <w:rFonts w:hint="eastAsia" w:ascii="宋体" w:hAnsi="宋体"/>
                <w:b/>
                <w:bCs w:val="0"/>
                <w:sz w:val="24"/>
                <w:szCs w:val="18"/>
                <w:lang w:eastAsia="zh-CN"/>
              </w:rPr>
              <w:t>响应文件中</w:t>
            </w:r>
            <w:r>
              <w:rPr>
                <w:rFonts w:hint="eastAsia" w:ascii="宋体" w:hAnsi="宋体"/>
                <w:b/>
                <w:bCs w:val="0"/>
                <w:sz w:val="24"/>
                <w:szCs w:val="18"/>
              </w:rPr>
              <w:t>提供</w:t>
            </w:r>
            <w:r>
              <w:rPr>
                <w:rFonts w:hint="eastAsia" w:ascii="宋体" w:hAnsi="宋体"/>
                <w:b/>
                <w:bCs w:val="0"/>
                <w:sz w:val="24"/>
                <w:szCs w:val="18"/>
                <w:lang w:eastAsia="zh-CN"/>
              </w:rPr>
              <w:t>产品</w:t>
            </w:r>
            <w:r>
              <w:rPr>
                <w:rFonts w:hint="eastAsia" w:ascii="宋体" w:hAnsi="宋体"/>
                <w:b/>
                <w:bCs w:val="0"/>
                <w:sz w:val="24"/>
                <w:szCs w:val="18"/>
              </w:rPr>
              <w:t>功能截图</w:t>
            </w:r>
            <w:r>
              <w:rPr>
                <w:rFonts w:hint="eastAsia" w:ascii="宋体" w:hAnsi="宋体"/>
                <w:b/>
                <w:bCs w:val="0"/>
                <w:sz w:val="24"/>
                <w:szCs w:val="18"/>
                <w:lang w:eastAsia="zh-CN"/>
              </w:rPr>
              <w:t>证明</w:t>
            </w:r>
            <w:r>
              <w:rPr>
                <w:rFonts w:hint="eastAsia" w:ascii="宋体" w:hAnsi="宋体"/>
                <w:b/>
                <w:bCs w:val="0"/>
                <w:sz w:val="24"/>
                <w:szCs w:val="18"/>
              </w:rPr>
              <w:t>）</w:t>
            </w:r>
          </w:p>
          <w:p w14:paraId="1689A7E7">
            <w:pPr>
              <w:spacing w:line="360" w:lineRule="auto"/>
              <w:rPr>
                <w:rFonts w:hint="eastAsia" w:ascii="宋体" w:hAnsi="宋体"/>
                <w:bCs/>
                <w:sz w:val="24"/>
                <w:szCs w:val="18"/>
              </w:rPr>
            </w:pPr>
            <w:r>
              <w:rPr>
                <w:rFonts w:hint="eastAsia" w:ascii="宋体" w:hAnsi="宋体"/>
                <w:bCs/>
                <w:sz w:val="24"/>
                <w:szCs w:val="18"/>
              </w:rPr>
              <w:t>★5.支持策略风险调优，能够根据现有风险情况进行总体安全评分，显示内容包括：安全策略名称、类型、风险级别、总流量、应用、流量、风险类型、状态、调优处理内容展示，提供自动批量优化功能，便于用户更好的管理安全策略。</w:t>
            </w:r>
            <w:r>
              <w:rPr>
                <w:rFonts w:hint="eastAsia" w:ascii="宋体" w:hAnsi="宋体"/>
                <w:b/>
                <w:bCs w:val="0"/>
                <w:sz w:val="24"/>
                <w:szCs w:val="18"/>
              </w:rPr>
              <w:t>（</w:t>
            </w:r>
            <w:r>
              <w:rPr>
                <w:rFonts w:hint="eastAsia" w:ascii="宋体" w:hAnsi="宋体"/>
                <w:b/>
                <w:bCs w:val="0"/>
                <w:sz w:val="24"/>
                <w:szCs w:val="18"/>
                <w:lang w:eastAsia="zh-CN"/>
              </w:rPr>
              <w:t>响应文件中</w:t>
            </w:r>
            <w:r>
              <w:rPr>
                <w:rFonts w:hint="eastAsia" w:ascii="宋体" w:hAnsi="宋体"/>
                <w:b/>
                <w:bCs w:val="0"/>
                <w:sz w:val="24"/>
                <w:szCs w:val="18"/>
              </w:rPr>
              <w:t>提供</w:t>
            </w:r>
            <w:r>
              <w:rPr>
                <w:rFonts w:hint="eastAsia" w:ascii="宋体" w:hAnsi="宋体"/>
                <w:b/>
                <w:bCs w:val="0"/>
                <w:sz w:val="24"/>
                <w:szCs w:val="18"/>
                <w:lang w:eastAsia="zh-CN"/>
              </w:rPr>
              <w:t>产品</w:t>
            </w:r>
            <w:r>
              <w:rPr>
                <w:rFonts w:hint="eastAsia" w:ascii="宋体" w:hAnsi="宋体"/>
                <w:b/>
                <w:bCs w:val="0"/>
                <w:sz w:val="24"/>
                <w:szCs w:val="18"/>
              </w:rPr>
              <w:t>功能截图</w:t>
            </w:r>
            <w:r>
              <w:rPr>
                <w:rFonts w:hint="eastAsia" w:ascii="宋体" w:hAnsi="宋体"/>
                <w:b/>
                <w:bCs w:val="0"/>
                <w:sz w:val="24"/>
                <w:szCs w:val="18"/>
                <w:lang w:eastAsia="zh-CN"/>
              </w:rPr>
              <w:t>证明</w:t>
            </w:r>
            <w:r>
              <w:rPr>
                <w:rFonts w:hint="eastAsia" w:ascii="宋体" w:hAnsi="宋体"/>
                <w:b/>
                <w:bCs w:val="0"/>
                <w:sz w:val="24"/>
                <w:szCs w:val="18"/>
              </w:rPr>
              <w:t>）</w:t>
            </w:r>
          </w:p>
          <w:p w14:paraId="17BB1DC0">
            <w:pPr>
              <w:spacing w:line="360" w:lineRule="auto"/>
              <w:rPr>
                <w:rFonts w:hint="eastAsia" w:ascii="宋体" w:hAnsi="宋体"/>
                <w:bCs/>
                <w:sz w:val="24"/>
                <w:szCs w:val="18"/>
              </w:rPr>
            </w:pPr>
            <w:r>
              <w:rPr>
                <w:rFonts w:hint="eastAsia" w:ascii="宋体" w:hAnsi="宋体"/>
                <w:bCs/>
                <w:sz w:val="24"/>
                <w:szCs w:val="18"/>
              </w:rPr>
              <w:t>6.支持数据防泄露，对传输的文件和内容进行识别过滤，对内容与身份证号、信用卡号、银行卡号、手机号等类型进行匹配；</w:t>
            </w:r>
          </w:p>
          <w:p w14:paraId="4FB17341">
            <w:pPr>
              <w:spacing w:line="360" w:lineRule="auto"/>
              <w:rPr>
                <w:rFonts w:hint="eastAsia" w:ascii="宋体" w:hAnsi="宋体"/>
                <w:bCs/>
                <w:sz w:val="24"/>
                <w:szCs w:val="18"/>
              </w:rPr>
            </w:pPr>
            <w:r>
              <w:rPr>
                <w:rFonts w:hint="eastAsia" w:ascii="宋体" w:hAnsi="宋体"/>
                <w:bCs/>
                <w:sz w:val="24"/>
                <w:szCs w:val="18"/>
              </w:rPr>
              <w:t>★7.支持不解密的方式实现HTTPS URL过滤，并能够根据缺省动作设定：允许、丢弃、重置、重定向、黑名单等多种选择，提供白名单模式，可开启内嵌白名单功能。</w:t>
            </w:r>
            <w:r>
              <w:rPr>
                <w:rFonts w:hint="eastAsia" w:ascii="宋体" w:hAnsi="宋体"/>
                <w:b/>
                <w:bCs w:val="0"/>
                <w:sz w:val="24"/>
                <w:szCs w:val="18"/>
              </w:rPr>
              <w:t>（</w:t>
            </w:r>
            <w:r>
              <w:rPr>
                <w:rFonts w:hint="eastAsia" w:ascii="宋体" w:hAnsi="宋体"/>
                <w:b/>
                <w:bCs w:val="0"/>
                <w:sz w:val="24"/>
                <w:szCs w:val="18"/>
                <w:lang w:eastAsia="zh-CN"/>
              </w:rPr>
              <w:t>响应文件中</w:t>
            </w:r>
            <w:r>
              <w:rPr>
                <w:rFonts w:hint="eastAsia" w:ascii="宋体" w:hAnsi="宋体"/>
                <w:b/>
                <w:bCs w:val="0"/>
                <w:sz w:val="24"/>
                <w:szCs w:val="18"/>
              </w:rPr>
              <w:t>提供</w:t>
            </w:r>
            <w:r>
              <w:rPr>
                <w:rFonts w:hint="eastAsia" w:ascii="宋体" w:hAnsi="宋体"/>
                <w:b/>
                <w:bCs w:val="0"/>
                <w:sz w:val="24"/>
                <w:szCs w:val="18"/>
                <w:lang w:eastAsia="zh-CN"/>
              </w:rPr>
              <w:t>产品</w:t>
            </w:r>
            <w:r>
              <w:rPr>
                <w:rFonts w:hint="eastAsia" w:ascii="宋体" w:hAnsi="宋体"/>
                <w:b/>
                <w:bCs w:val="0"/>
                <w:sz w:val="24"/>
                <w:szCs w:val="18"/>
              </w:rPr>
              <w:t>功能截图</w:t>
            </w:r>
            <w:r>
              <w:rPr>
                <w:rFonts w:hint="eastAsia" w:ascii="宋体" w:hAnsi="宋体"/>
                <w:b/>
                <w:bCs w:val="0"/>
                <w:sz w:val="24"/>
                <w:szCs w:val="18"/>
                <w:lang w:eastAsia="zh-CN"/>
              </w:rPr>
              <w:t>证明</w:t>
            </w:r>
            <w:r>
              <w:rPr>
                <w:rFonts w:hint="eastAsia" w:ascii="宋体" w:hAnsi="宋体"/>
                <w:b/>
                <w:bCs w:val="0"/>
                <w:sz w:val="24"/>
                <w:szCs w:val="18"/>
              </w:rPr>
              <w:t>）</w:t>
            </w:r>
          </w:p>
          <w:p w14:paraId="110A2EEF">
            <w:pPr>
              <w:spacing w:line="360" w:lineRule="auto"/>
              <w:rPr>
                <w:rFonts w:hint="eastAsia" w:ascii="宋体" w:hAnsi="宋体"/>
                <w:bCs/>
                <w:sz w:val="24"/>
                <w:szCs w:val="18"/>
              </w:rPr>
            </w:pPr>
            <w:r>
              <w:rPr>
                <w:rFonts w:hint="eastAsia" w:ascii="宋体" w:hAnsi="宋体"/>
                <w:bCs/>
                <w:sz w:val="24"/>
                <w:szCs w:val="18"/>
              </w:rPr>
              <w:t>★8.支持报文示踪功能，支持真实流量、导入报文、构造报文等方式，用于分析和追踪设备中各个安全业务模块，通过查看报文示踪记录的详细信息，有利于管理员对网络故障的快速排查和定位。</w:t>
            </w:r>
            <w:r>
              <w:rPr>
                <w:rFonts w:hint="eastAsia" w:ascii="宋体" w:hAnsi="宋体"/>
                <w:b/>
                <w:bCs w:val="0"/>
                <w:sz w:val="24"/>
                <w:szCs w:val="18"/>
              </w:rPr>
              <w:t>（</w:t>
            </w:r>
            <w:r>
              <w:rPr>
                <w:rFonts w:hint="eastAsia" w:ascii="宋体" w:hAnsi="宋体"/>
                <w:b/>
                <w:bCs w:val="0"/>
                <w:sz w:val="24"/>
                <w:szCs w:val="18"/>
                <w:lang w:eastAsia="zh-CN"/>
              </w:rPr>
              <w:t>响应文件中</w:t>
            </w:r>
            <w:r>
              <w:rPr>
                <w:rFonts w:hint="eastAsia" w:ascii="宋体" w:hAnsi="宋体"/>
                <w:b/>
                <w:bCs w:val="0"/>
                <w:sz w:val="24"/>
                <w:szCs w:val="18"/>
              </w:rPr>
              <w:t>提供</w:t>
            </w:r>
            <w:r>
              <w:rPr>
                <w:rFonts w:hint="eastAsia" w:ascii="宋体" w:hAnsi="宋体"/>
                <w:b/>
                <w:bCs w:val="0"/>
                <w:sz w:val="24"/>
                <w:szCs w:val="18"/>
                <w:lang w:eastAsia="zh-CN"/>
              </w:rPr>
              <w:t>产品</w:t>
            </w:r>
            <w:r>
              <w:rPr>
                <w:rFonts w:hint="eastAsia" w:ascii="宋体" w:hAnsi="宋体"/>
                <w:b/>
                <w:bCs w:val="0"/>
                <w:sz w:val="24"/>
                <w:szCs w:val="18"/>
              </w:rPr>
              <w:t>功能截图</w:t>
            </w:r>
            <w:r>
              <w:rPr>
                <w:rFonts w:hint="eastAsia" w:ascii="宋体" w:hAnsi="宋体"/>
                <w:b/>
                <w:bCs w:val="0"/>
                <w:sz w:val="24"/>
                <w:szCs w:val="18"/>
                <w:lang w:eastAsia="zh-CN"/>
              </w:rPr>
              <w:t>证明</w:t>
            </w:r>
            <w:r>
              <w:rPr>
                <w:rFonts w:hint="eastAsia" w:ascii="宋体" w:hAnsi="宋体"/>
                <w:b/>
                <w:bCs w:val="0"/>
                <w:sz w:val="24"/>
                <w:szCs w:val="18"/>
              </w:rPr>
              <w:t>）</w:t>
            </w:r>
          </w:p>
          <w:p w14:paraId="296D2CB1">
            <w:pPr>
              <w:spacing w:line="360" w:lineRule="auto"/>
              <w:rPr>
                <w:rFonts w:hint="eastAsia" w:ascii="宋体" w:hAnsi="宋体"/>
                <w:bCs/>
                <w:sz w:val="24"/>
                <w:szCs w:val="18"/>
              </w:rPr>
            </w:pPr>
            <w:r>
              <w:rPr>
                <w:rFonts w:hint="eastAsia" w:ascii="宋体" w:hAnsi="宋体"/>
                <w:bCs/>
                <w:sz w:val="24"/>
                <w:szCs w:val="18"/>
              </w:rPr>
              <w:t>9.实现对黑客攻击、蠕虫/病毒、木马、恶意代码、间谍软件/广告软件等攻击的防御，实现缓冲区溢出、SQL注入、IDS/IPS逃逸等攻击的防御，实现攻击特征库的分类。IPS发现攻击后抓取报文，并支持通过WEB下载对应抓包文件，供客户进行分析；</w:t>
            </w:r>
          </w:p>
          <w:p w14:paraId="38AA04A7">
            <w:pPr>
              <w:spacing w:line="360" w:lineRule="auto"/>
              <w:rPr>
                <w:rFonts w:hint="eastAsia" w:ascii="宋体" w:hAnsi="宋体"/>
                <w:bCs/>
                <w:sz w:val="24"/>
                <w:szCs w:val="18"/>
              </w:rPr>
            </w:pPr>
            <w:r>
              <w:rPr>
                <w:rFonts w:hint="eastAsia" w:ascii="宋体" w:hAnsi="宋体"/>
                <w:bCs/>
                <w:sz w:val="24"/>
                <w:szCs w:val="18"/>
              </w:rPr>
              <w:t>10.可基于病毒特征进行检测，实现病毒库手动和自动升级，实现病毒日志和报表；</w:t>
            </w:r>
          </w:p>
          <w:p w14:paraId="6DE65F1E">
            <w:pPr>
              <w:spacing w:line="360" w:lineRule="auto"/>
              <w:rPr>
                <w:rFonts w:hint="eastAsia" w:ascii="宋体" w:hAnsi="宋体"/>
                <w:bCs/>
                <w:sz w:val="24"/>
                <w:szCs w:val="18"/>
              </w:rPr>
            </w:pPr>
            <w:r>
              <w:rPr>
                <w:rFonts w:hint="eastAsia" w:ascii="宋体" w:hAnsi="宋体"/>
                <w:bCs/>
                <w:sz w:val="24"/>
                <w:szCs w:val="18"/>
              </w:rPr>
              <w:t>★11.支持主备、主主、镜像多种方式部署，能够对备份会话表项、备份HTTP协议、备份DNS协议、备份AFT端口块表项、配置信息一致性检查、自动同步配置信息多项功能进行选择，保证整个网络的可靠稳定。</w:t>
            </w:r>
            <w:r>
              <w:rPr>
                <w:rFonts w:hint="eastAsia" w:ascii="宋体" w:hAnsi="宋体"/>
                <w:b/>
                <w:bCs w:val="0"/>
                <w:sz w:val="24"/>
                <w:szCs w:val="18"/>
              </w:rPr>
              <w:t>（</w:t>
            </w:r>
            <w:r>
              <w:rPr>
                <w:rFonts w:hint="eastAsia" w:ascii="宋体" w:hAnsi="宋体"/>
                <w:b/>
                <w:bCs w:val="0"/>
                <w:sz w:val="24"/>
                <w:szCs w:val="18"/>
                <w:lang w:eastAsia="zh-CN"/>
              </w:rPr>
              <w:t>响应文件中</w:t>
            </w:r>
            <w:r>
              <w:rPr>
                <w:rFonts w:hint="eastAsia" w:ascii="宋体" w:hAnsi="宋体"/>
                <w:b/>
                <w:bCs w:val="0"/>
                <w:sz w:val="24"/>
                <w:szCs w:val="18"/>
              </w:rPr>
              <w:t>提供</w:t>
            </w:r>
            <w:r>
              <w:rPr>
                <w:rFonts w:hint="eastAsia" w:ascii="宋体" w:hAnsi="宋体"/>
                <w:b/>
                <w:bCs w:val="0"/>
                <w:sz w:val="24"/>
                <w:szCs w:val="18"/>
                <w:lang w:eastAsia="zh-CN"/>
              </w:rPr>
              <w:t>产品</w:t>
            </w:r>
            <w:r>
              <w:rPr>
                <w:rFonts w:hint="eastAsia" w:ascii="宋体" w:hAnsi="宋体"/>
                <w:b/>
                <w:bCs w:val="0"/>
                <w:sz w:val="24"/>
                <w:szCs w:val="18"/>
              </w:rPr>
              <w:t>功能截图</w:t>
            </w:r>
            <w:r>
              <w:rPr>
                <w:rFonts w:hint="eastAsia" w:ascii="宋体" w:hAnsi="宋体"/>
                <w:b/>
                <w:bCs w:val="0"/>
                <w:sz w:val="24"/>
                <w:szCs w:val="18"/>
                <w:lang w:eastAsia="zh-CN"/>
              </w:rPr>
              <w:t>证明</w:t>
            </w:r>
            <w:r>
              <w:rPr>
                <w:rFonts w:hint="eastAsia" w:ascii="宋体" w:hAnsi="宋体"/>
                <w:b/>
                <w:bCs w:val="0"/>
                <w:sz w:val="24"/>
                <w:szCs w:val="18"/>
              </w:rPr>
              <w:t>）</w:t>
            </w:r>
          </w:p>
          <w:p w14:paraId="4E0F0CC1">
            <w:pPr>
              <w:spacing w:line="360" w:lineRule="auto"/>
              <w:rPr>
                <w:rFonts w:hint="eastAsia" w:ascii="宋体" w:hAnsi="宋体"/>
                <w:bCs/>
                <w:sz w:val="24"/>
                <w:szCs w:val="18"/>
              </w:rPr>
            </w:pPr>
            <w:r>
              <w:rPr>
                <w:rFonts w:hint="eastAsia" w:ascii="宋体" w:hAnsi="宋体"/>
                <w:bCs/>
                <w:sz w:val="24"/>
                <w:szCs w:val="18"/>
              </w:rPr>
              <w:t>12.支持基于文件协议、邮件协议（SMTP/POP3/iMAP</w:t>
            </w:r>
            <w:r>
              <w:rPr>
                <w:rFonts w:hint="eastAsia" w:ascii="宋体" w:hAnsi="宋体"/>
                <w:bCs/>
                <w:sz w:val="24"/>
                <w:szCs w:val="18"/>
                <w:lang w:eastAsia="zh-CN"/>
              </w:rPr>
              <w:t>）</w:t>
            </w:r>
            <w:r>
              <w:rPr>
                <w:rFonts w:hint="eastAsia" w:ascii="宋体" w:hAnsi="宋体"/>
                <w:bCs/>
                <w:sz w:val="24"/>
                <w:szCs w:val="18"/>
              </w:rPr>
              <w:t>、共享协议（NFS/SMB）的病毒功能；</w:t>
            </w:r>
          </w:p>
          <w:p w14:paraId="3879D2D0">
            <w:pPr>
              <w:spacing w:line="360" w:lineRule="auto"/>
              <w:rPr>
                <w:rFonts w:hint="eastAsia" w:ascii="宋体" w:hAnsi="宋体"/>
                <w:bCs/>
                <w:sz w:val="24"/>
                <w:szCs w:val="18"/>
              </w:rPr>
            </w:pPr>
            <w:r>
              <w:rPr>
                <w:rFonts w:hint="eastAsia" w:ascii="宋体" w:hAnsi="宋体"/>
                <w:bCs/>
                <w:sz w:val="24"/>
                <w:szCs w:val="18"/>
              </w:rPr>
              <w:t>13.应具有公安部计算机信息系统安全产品质量监督检验中心颁发的网络安全专用产品安全检测证书，证书等级为增强级；</w:t>
            </w:r>
          </w:p>
          <w:p w14:paraId="52FD22C2">
            <w:pPr>
              <w:spacing w:line="360" w:lineRule="auto"/>
              <w:rPr>
                <w:rFonts w:hint="eastAsia" w:ascii="宋体" w:hAnsi="宋体"/>
                <w:bCs/>
                <w:sz w:val="24"/>
                <w:szCs w:val="18"/>
              </w:rPr>
            </w:pPr>
            <w:r>
              <w:rPr>
                <w:rFonts w:hint="eastAsia" w:ascii="宋体" w:hAnsi="宋体"/>
                <w:bCs/>
                <w:sz w:val="24"/>
                <w:szCs w:val="18"/>
              </w:rPr>
              <w:t>14.具有中华人民共和国国家版权局颁发的计算机软件著作权登记证书；</w:t>
            </w:r>
          </w:p>
          <w:p w14:paraId="6EF05CF8">
            <w:pPr>
              <w:spacing w:line="360" w:lineRule="auto"/>
              <w:rPr>
                <w:rFonts w:hint="eastAsia" w:ascii="宋体" w:hAnsi="宋体"/>
                <w:bCs/>
                <w:sz w:val="24"/>
                <w:szCs w:val="18"/>
              </w:rPr>
            </w:pPr>
            <w:r>
              <w:rPr>
                <w:rFonts w:hint="eastAsia" w:ascii="宋体" w:hAnsi="宋体"/>
                <w:bCs/>
                <w:sz w:val="24"/>
                <w:szCs w:val="18"/>
              </w:rPr>
              <w:t>15.国家网络与信息系统安全产品质量监督检验中心颁发的《信息技术产品安全测试证书》（第二代防火墙）。</w:t>
            </w:r>
          </w:p>
          <w:p w14:paraId="1A5B4E5A">
            <w:pPr>
              <w:spacing w:line="360" w:lineRule="auto"/>
              <w:rPr>
                <w:rFonts w:ascii="宋体" w:hAnsi="宋体"/>
                <w:bCs/>
                <w:sz w:val="24"/>
                <w:szCs w:val="18"/>
              </w:rPr>
            </w:pPr>
            <w:r>
              <w:rPr>
                <w:rFonts w:hint="eastAsia" w:ascii="宋体" w:hAnsi="宋体"/>
                <w:b/>
                <w:bCs w:val="0"/>
                <w:sz w:val="24"/>
                <w:szCs w:val="18"/>
              </w:rPr>
              <w:t>16.供应商须承诺成交后提供原厂针对本项目的授权函和三年原厂质保函</w:t>
            </w:r>
            <w:r>
              <w:rPr>
                <w:rFonts w:hint="eastAsia" w:ascii="宋体" w:hAnsi="宋体"/>
                <w:b/>
                <w:bCs w:val="0"/>
                <w:sz w:val="24"/>
                <w:szCs w:val="18"/>
                <w:lang w:eastAsia="zh-CN"/>
              </w:rPr>
              <w:t>，</w:t>
            </w:r>
            <w:r>
              <w:rPr>
                <w:rFonts w:hint="eastAsia" w:ascii="宋体" w:hAnsi="宋体"/>
                <w:b/>
                <w:bCs w:val="0"/>
                <w:sz w:val="24"/>
                <w:szCs w:val="18"/>
                <w:lang w:val="en-US" w:eastAsia="zh-CN"/>
              </w:rPr>
              <w:t>参选文件中须提供承诺函，格式自拟</w:t>
            </w:r>
            <w:r>
              <w:rPr>
                <w:rFonts w:hint="eastAsia" w:ascii="宋体" w:hAnsi="宋体"/>
                <w:b/>
                <w:bCs w:val="0"/>
                <w:sz w:val="24"/>
                <w:szCs w:val="18"/>
              </w:rPr>
              <w:t>。</w:t>
            </w:r>
          </w:p>
        </w:tc>
        <w:tc>
          <w:tcPr>
            <w:tcW w:w="684" w:type="pct"/>
            <w:noWrap w:val="0"/>
            <w:vAlign w:val="center"/>
          </w:tcPr>
          <w:p w14:paraId="33A7E18C">
            <w:pPr>
              <w:spacing w:line="360" w:lineRule="auto"/>
              <w:jc w:val="center"/>
              <w:rPr>
                <w:rFonts w:ascii="宋体" w:hAnsi="宋体"/>
                <w:bCs/>
                <w:sz w:val="24"/>
                <w:szCs w:val="18"/>
              </w:rPr>
            </w:pPr>
            <w:r>
              <w:rPr>
                <w:rFonts w:hint="eastAsia" w:ascii="宋体" w:hAnsi="宋体"/>
                <w:bCs/>
                <w:sz w:val="24"/>
                <w:szCs w:val="18"/>
              </w:rPr>
              <w:t>1台</w:t>
            </w:r>
          </w:p>
        </w:tc>
      </w:tr>
      <w:tr w14:paraId="5CC32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noWrap w:val="0"/>
            <w:vAlign w:val="center"/>
          </w:tcPr>
          <w:p w14:paraId="1744FE97">
            <w:pPr>
              <w:spacing w:line="360" w:lineRule="auto"/>
              <w:jc w:val="center"/>
              <w:rPr>
                <w:rFonts w:ascii="宋体" w:hAnsi="宋体"/>
                <w:sz w:val="24"/>
                <w:szCs w:val="18"/>
              </w:rPr>
            </w:pPr>
            <w:r>
              <w:rPr>
                <w:rFonts w:hint="eastAsia" w:ascii="宋体" w:hAnsi="宋体"/>
                <w:sz w:val="24"/>
                <w:szCs w:val="18"/>
              </w:rPr>
              <w:t>2</w:t>
            </w:r>
          </w:p>
        </w:tc>
        <w:tc>
          <w:tcPr>
            <w:tcW w:w="755" w:type="pct"/>
            <w:noWrap w:val="0"/>
            <w:vAlign w:val="center"/>
          </w:tcPr>
          <w:p w14:paraId="31A7FDB0">
            <w:pPr>
              <w:spacing w:line="360" w:lineRule="auto"/>
              <w:jc w:val="left"/>
              <w:rPr>
                <w:rFonts w:ascii="宋体" w:hAnsi="宋体"/>
                <w:bCs/>
                <w:sz w:val="24"/>
                <w:szCs w:val="18"/>
              </w:rPr>
            </w:pPr>
            <w:r>
              <w:rPr>
                <w:rFonts w:hint="eastAsia" w:ascii="宋体" w:hAnsi="宋体" w:eastAsia="宋体" w:cs="宋体"/>
                <w:bCs/>
                <w:color w:val="auto"/>
                <w:sz w:val="24"/>
                <w:szCs w:val="24"/>
                <w:highlight w:val="none"/>
              </w:rPr>
              <w:t>▲</w:t>
            </w:r>
            <w:r>
              <w:rPr>
                <w:rFonts w:hint="eastAsia" w:ascii="宋体" w:hAnsi="宋体"/>
                <w:bCs/>
                <w:sz w:val="24"/>
                <w:szCs w:val="18"/>
              </w:rPr>
              <w:t>备份一体机</w:t>
            </w:r>
          </w:p>
        </w:tc>
        <w:tc>
          <w:tcPr>
            <w:tcW w:w="3151" w:type="pct"/>
            <w:noWrap w:val="0"/>
            <w:vAlign w:val="top"/>
          </w:tcPr>
          <w:p w14:paraId="36716500">
            <w:pPr>
              <w:spacing w:line="360" w:lineRule="auto"/>
              <w:rPr>
                <w:rFonts w:hint="eastAsia" w:ascii="宋体" w:hAnsi="宋体"/>
                <w:sz w:val="24"/>
              </w:rPr>
            </w:pPr>
            <w:r>
              <w:rPr>
                <w:rFonts w:hint="eastAsia" w:ascii="宋体" w:hAnsi="宋体"/>
                <w:sz w:val="24"/>
              </w:rPr>
              <w:t>一、性能参数：</w:t>
            </w:r>
          </w:p>
          <w:p w14:paraId="2C64E3DD">
            <w:pPr>
              <w:spacing w:line="360" w:lineRule="auto"/>
              <w:rPr>
                <w:rFonts w:hint="eastAsia" w:ascii="宋体" w:hAnsi="宋体"/>
                <w:sz w:val="24"/>
              </w:rPr>
            </w:pPr>
            <w:r>
              <w:rPr>
                <w:rFonts w:hint="eastAsia" w:ascii="宋体" w:hAnsi="宋体"/>
                <w:sz w:val="24"/>
              </w:rPr>
              <w:t>标准2U设备，CPU≥1颗Intel Xeon 4310 2.1GHz（12C），内存≥2*32GB，系统盘≥2*240GB SATA SSD，数据盘≥6*4T，标配盘位数≥12，冗余电源，接口至少包含2千兆电口+4万兆光口，</w:t>
            </w:r>
            <w:r>
              <w:rPr>
                <w:rFonts w:hint="eastAsia" w:ascii="宋体" w:hAnsi="宋体"/>
                <w:sz w:val="24"/>
                <w:lang w:val="en-US" w:eastAsia="zh-CN"/>
              </w:rPr>
              <w:t>须</w:t>
            </w:r>
            <w:r>
              <w:rPr>
                <w:rFonts w:hint="eastAsia" w:ascii="宋体" w:hAnsi="宋体"/>
                <w:sz w:val="24"/>
              </w:rPr>
              <w:t>提供3年硬件质保及软件升级服务。</w:t>
            </w:r>
          </w:p>
          <w:p w14:paraId="544B91E3">
            <w:pPr>
              <w:spacing w:line="360" w:lineRule="auto"/>
              <w:rPr>
                <w:rFonts w:hint="eastAsia" w:ascii="宋体" w:hAnsi="宋体"/>
                <w:sz w:val="24"/>
              </w:rPr>
            </w:pPr>
            <w:r>
              <w:rPr>
                <w:rFonts w:hint="eastAsia" w:ascii="宋体" w:hAnsi="宋体"/>
                <w:sz w:val="24"/>
              </w:rPr>
              <w:t>二、功能参数：</w:t>
            </w:r>
          </w:p>
          <w:p w14:paraId="5BD1694C">
            <w:pPr>
              <w:spacing w:line="360" w:lineRule="auto"/>
              <w:rPr>
                <w:rFonts w:hint="eastAsia" w:ascii="宋体" w:hAnsi="宋体"/>
                <w:sz w:val="24"/>
              </w:rPr>
            </w:pPr>
            <w:r>
              <w:rPr>
                <w:rFonts w:hint="eastAsia" w:ascii="宋体" w:hAnsi="宋体"/>
                <w:sz w:val="24"/>
              </w:rPr>
              <w:t>1.配置</w:t>
            </w:r>
            <w:r>
              <w:rPr>
                <w:rFonts w:hint="eastAsia" w:ascii="宋体" w:hAnsi="宋体"/>
                <w:sz w:val="24"/>
                <w:highlight w:val="none"/>
                <w:lang w:val="en-US" w:eastAsia="zh-CN"/>
              </w:rPr>
              <w:t>不小于</w:t>
            </w:r>
            <w:r>
              <w:rPr>
                <w:rFonts w:hint="eastAsia" w:ascii="宋体" w:hAnsi="宋体"/>
                <w:sz w:val="24"/>
              </w:rPr>
              <w:t>24TB备份容量授权，提供基于磁盘数据块复制技术的整机备份，无需了解主机业务系统类型、部署方法、业务系统间的数据交互机制、数据结构/逻辑关系和数据库的品牌/版本。</w:t>
            </w:r>
          </w:p>
          <w:p w14:paraId="4D8EE3D8">
            <w:pPr>
              <w:spacing w:line="360" w:lineRule="auto"/>
              <w:rPr>
                <w:rFonts w:hint="eastAsia" w:ascii="宋体" w:hAnsi="宋体"/>
                <w:sz w:val="24"/>
              </w:rPr>
            </w:pPr>
            <w:r>
              <w:rPr>
                <w:rFonts w:hint="eastAsia" w:ascii="宋体" w:hAnsi="宋体"/>
                <w:sz w:val="24"/>
              </w:rPr>
              <w:t>2.对X86架构下的物理机、虚拟机、超融合、私有云和公有云提供统一的将主机的操作系统、应用系统、数据库和数据/文件作为一个整体的一致性备份保护。</w:t>
            </w:r>
          </w:p>
          <w:p w14:paraId="2D13373D">
            <w:pPr>
              <w:spacing w:line="360" w:lineRule="auto"/>
              <w:rPr>
                <w:rFonts w:hint="eastAsia" w:ascii="宋体" w:hAnsi="宋体"/>
                <w:sz w:val="24"/>
              </w:rPr>
            </w:pPr>
            <w:r>
              <w:rPr>
                <w:rFonts w:hint="eastAsia" w:ascii="宋体" w:hAnsi="宋体"/>
                <w:sz w:val="24"/>
              </w:rPr>
              <w:t>★3.支持对X86下的物理主机、虚拟化主机、超融合主机、云主机提供CDP持续数据保护，实时备份磁盘任意时刻的状态，备份时间粒度最小可达秒级实现RPO趋近于0。</w:t>
            </w:r>
            <w:r>
              <w:rPr>
                <w:rFonts w:hint="eastAsia" w:ascii="宋体" w:hAnsi="宋体"/>
                <w:b/>
                <w:bCs w:val="0"/>
                <w:sz w:val="24"/>
                <w:szCs w:val="18"/>
              </w:rPr>
              <w:t>（</w:t>
            </w:r>
            <w:r>
              <w:rPr>
                <w:rFonts w:hint="eastAsia" w:ascii="宋体" w:hAnsi="宋体"/>
                <w:b/>
                <w:bCs w:val="0"/>
                <w:sz w:val="24"/>
                <w:szCs w:val="18"/>
                <w:lang w:eastAsia="zh-CN"/>
              </w:rPr>
              <w:t>响应文件中</w:t>
            </w:r>
            <w:r>
              <w:rPr>
                <w:rFonts w:hint="eastAsia" w:ascii="宋体" w:hAnsi="宋体"/>
                <w:b/>
                <w:bCs w:val="0"/>
                <w:sz w:val="24"/>
                <w:szCs w:val="18"/>
              </w:rPr>
              <w:t>提供</w:t>
            </w:r>
            <w:r>
              <w:rPr>
                <w:rFonts w:hint="eastAsia" w:ascii="宋体" w:hAnsi="宋体"/>
                <w:b/>
                <w:bCs w:val="0"/>
                <w:sz w:val="24"/>
                <w:szCs w:val="18"/>
                <w:lang w:eastAsia="zh-CN"/>
              </w:rPr>
              <w:t>产品</w:t>
            </w:r>
            <w:r>
              <w:rPr>
                <w:rFonts w:hint="eastAsia" w:ascii="宋体" w:hAnsi="宋体"/>
                <w:b/>
                <w:bCs w:val="0"/>
                <w:sz w:val="24"/>
                <w:szCs w:val="18"/>
              </w:rPr>
              <w:t>功能截图</w:t>
            </w:r>
            <w:r>
              <w:rPr>
                <w:rFonts w:hint="eastAsia" w:ascii="宋体" w:hAnsi="宋体"/>
                <w:b/>
                <w:bCs w:val="0"/>
                <w:sz w:val="24"/>
                <w:szCs w:val="18"/>
                <w:lang w:eastAsia="zh-CN"/>
              </w:rPr>
              <w:t>证明</w:t>
            </w:r>
            <w:r>
              <w:rPr>
                <w:rFonts w:hint="eastAsia" w:ascii="宋体" w:hAnsi="宋体"/>
                <w:b/>
                <w:bCs w:val="0"/>
                <w:sz w:val="24"/>
                <w:szCs w:val="18"/>
              </w:rPr>
              <w:t>）</w:t>
            </w:r>
          </w:p>
          <w:p w14:paraId="4A6535F7">
            <w:pPr>
              <w:spacing w:line="360" w:lineRule="auto"/>
              <w:rPr>
                <w:rFonts w:hint="eastAsia" w:ascii="宋体" w:hAnsi="宋体" w:eastAsia="宋体"/>
                <w:sz w:val="24"/>
                <w:lang w:eastAsia="zh-CN"/>
              </w:rPr>
            </w:pPr>
            <w:r>
              <w:rPr>
                <w:rFonts w:hint="eastAsia" w:ascii="宋体" w:hAnsi="宋体"/>
                <w:sz w:val="24"/>
              </w:rPr>
              <w:t>4.支持基于Openstack、Kvm、Vmware、Hyper-V虚拟化平台主机定时备份保护功能，无需在虚拟机中安装任何客户端代理</w:t>
            </w:r>
            <w:r>
              <w:rPr>
                <w:rFonts w:hint="eastAsia" w:ascii="宋体" w:hAnsi="宋体"/>
                <w:sz w:val="24"/>
                <w:lang w:eastAsia="zh-CN"/>
              </w:rPr>
              <w:t>；</w:t>
            </w:r>
            <w:r>
              <w:rPr>
                <w:rFonts w:hint="eastAsia" w:ascii="宋体" w:hAnsi="宋体"/>
                <w:sz w:val="24"/>
              </w:rPr>
              <w:t>支持自动发现新增、变更的虚拟机，无需人工干预，可自动将新增、变更的虚拟机纳入到备份作业中，按照既有保护策略进行保护，无需人工干预</w:t>
            </w:r>
            <w:r>
              <w:rPr>
                <w:rFonts w:hint="eastAsia" w:ascii="宋体" w:hAnsi="宋体"/>
                <w:sz w:val="24"/>
                <w:lang w:eastAsia="zh-CN"/>
              </w:rPr>
              <w:t>；</w:t>
            </w:r>
          </w:p>
          <w:p w14:paraId="02B2BFBE">
            <w:pPr>
              <w:spacing w:line="360" w:lineRule="auto"/>
              <w:rPr>
                <w:rFonts w:hint="eastAsia" w:ascii="宋体" w:hAnsi="宋体"/>
                <w:sz w:val="24"/>
              </w:rPr>
            </w:pPr>
            <w:r>
              <w:rPr>
                <w:rFonts w:hint="eastAsia" w:ascii="宋体" w:hAnsi="宋体"/>
                <w:sz w:val="24"/>
              </w:rPr>
              <w:t>5.可将选定的备份点加载为CIFS文件共享和网络共享路径可直接在WEB浏览器中直接URL访问，管理员可快速确认需被验证的备份点文件是否是符合预期，备份点是否可用、可靠；</w:t>
            </w:r>
          </w:p>
          <w:p w14:paraId="3E2EEF1F">
            <w:pPr>
              <w:spacing w:line="360" w:lineRule="auto"/>
              <w:rPr>
                <w:rFonts w:hint="eastAsia" w:ascii="宋体" w:hAnsi="宋体"/>
                <w:sz w:val="24"/>
              </w:rPr>
            </w:pPr>
            <w:r>
              <w:rPr>
                <w:rFonts w:hint="eastAsia" w:ascii="宋体" w:hAnsi="宋体"/>
                <w:sz w:val="24"/>
              </w:rPr>
              <w:t>★6.可同时启动多个虚拟机对集群业务系统、Oracle RAC等共享存储的集群数据库和应用提供快速整机虚拟化验证；支持Oracle、SQL Server和MySQL等主流数据库的在线备份，支持完全备份、增量备份、日志备份，提供多种不同的备份策略。备份过程中无须任何脚本，无须通过命令行方式，采用全图形化方式进行数据库备份或恢复作业</w:t>
            </w:r>
            <w:r>
              <w:rPr>
                <w:rFonts w:hint="eastAsia" w:ascii="宋体" w:hAnsi="宋体"/>
                <w:b/>
                <w:bCs w:val="0"/>
                <w:sz w:val="24"/>
                <w:szCs w:val="18"/>
              </w:rPr>
              <w:t>（</w:t>
            </w:r>
            <w:r>
              <w:rPr>
                <w:rFonts w:hint="eastAsia" w:ascii="宋体" w:hAnsi="宋体"/>
                <w:b/>
                <w:bCs w:val="0"/>
                <w:sz w:val="24"/>
                <w:szCs w:val="18"/>
                <w:lang w:eastAsia="zh-CN"/>
              </w:rPr>
              <w:t>响应文件中</w:t>
            </w:r>
            <w:r>
              <w:rPr>
                <w:rFonts w:hint="eastAsia" w:ascii="宋体" w:hAnsi="宋体"/>
                <w:b/>
                <w:bCs w:val="0"/>
                <w:sz w:val="24"/>
                <w:szCs w:val="18"/>
              </w:rPr>
              <w:t>提供</w:t>
            </w:r>
            <w:r>
              <w:rPr>
                <w:rFonts w:hint="eastAsia" w:ascii="宋体" w:hAnsi="宋体"/>
                <w:b/>
                <w:bCs w:val="0"/>
                <w:sz w:val="24"/>
                <w:szCs w:val="18"/>
                <w:lang w:eastAsia="zh-CN"/>
              </w:rPr>
              <w:t>产品</w:t>
            </w:r>
            <w:r>
              <w:rPr>
                <w:rFonts w:hint="eastAsia" w:ascii="宋体" w:hAnsi="宋体"/>
                <w:b/>
                <w:bCs w:val="0"/>
                <w:sz w:val="24"/>
                <w:szCs w:val="18"/>
              </w:rPr>
              <w:t>功能截图</w:t>
            </w:r>
            <w:r>
              <w:rPr>
                <w:rFonts w:hint="eastAsia" w:ascii="宋体" w:hAnsi="宋体"/>
                <w:b/>
                <w:bCs w:val="0"/>
                <w:sz w:val="24"/>
                <w:szCs w:val="18"/>
                <w:lang w:eastAsia="zh-CN"/>
              </w:rPr>
              <w:t>证明</w:t>
            </w:r>
            <w:r>
              <w:rPr>
                <w:rFonts w:hint="eastAsia" w:ascii="宋体" w:hAnsi="宋体"/>
                <w:b/>
                <w:bCs w:val="0"/>
                <w:sz w:val="24"/>
                <w:szCs w:val="18"/>
              </w:rPr>
              <w:t>）</w:t>
            </w:r>
            <w:r>
              <w:rPr>
                <w:rFonts w:hint="eastAsia" w:ascii="宋体" w:hAnsi="宋体"/>
                <w:sz w:val="24"/>
              </w:rPr>
              <w:t>；</w:t>
            </w:r>
          </w:p>
          <w:p w14:paraId="0DDAFDEE">
            <w:pPr>
              <w:spacing w:line="360" w:lineRule="auto"/>
              <w:rPr>
                <w:rFonts w:hint="eastAsia" w:ascii="宋体" w:hAnsi="宋体"/>
                <w:sz w:val="24"/>
              </w:rPr>
            </w:pPr>
            <w:r>
              <w:rPr>
                <w:rFonts w:hint="eastAsia" w:ascii="宋体" w:hAnsi="宋体"/>
                <w:sz w:val="24"/>
              </w:rPr>
              <w:t>7.用户日常运维过程中丢失单个文件/文件夹，备份系统支持将任意时间的备份点加载为网络共享路径或在WEB浏览器中直接URL访问的方式，管理员可轻松找到该文件并复制出来；</w:t>
            </w:r>
          </w:p>
          <w:p w14:paraId="25BC3865">
            <w:pPr>
              <w:spacing w:line="360" w:lineRule="auto"/>
              <w:rPr>
                <w:rFonts w:hint="eastAsia" w:ascii="宋体" w:hAnsi="宋体"/>
                <w:sz w:val="24"/>
              </w:rPr>
            </w:pPr>
            <w:r>
              <w:rPr>
                <w:rFonts w:hint="eastAsia" w:ascii="宋体" w:hAnsi="宋体"/>
                <w:sz w:val="24"/>
              </w:rPr>
              <w:t>8.当数据库系统出现任意灾难时，备份系统可通过自启验证系统，对备份的数据库系统进行验证，对任意一条数据的一致性、可靠性、可用性验证成功后，再进行整机恢复</w:t>
            </w:r>
          </w:p>
          <w:p w14:paraId="745D474B">
            <w:pPr>
              <w:spacing w:line="360" w:lineRule="auto"/>
              <w:rPr>
                <w:rFonts w:hint="eastAsia" w:ascii="宋体" w:hAnsi="宋体"/>
                <w:sz w:val="24"/>
              </w:rPr>
            </w:pPr>
            <w:r>
              <w:rPr>
                <w:rFonts w:hint="eastAsia" w:ascii="宋体" w:hAnsi="宋体"/>
                <w:sz w:val="24"/>
              </w:rPr>
              <w:t>9.支持分权管理：支持对备份系统的用户的分级管理，如：系统管理员、普通用户等不同的角色，并且可以</w:t>
            </w:r>
            <w:r>
              <w:rPr>
                <w:rFonts w:hint="eastAsia" w:ascii="宋体" w:hAnsi="宋体"/>
                <w:sz w:val="24"/>
                <w:lang w:eastAsia="zh-CN"/>
              </w:rPr>
              <w:t>记录</w:t>
            </w:r>
            <w:r>
              <w:rPr>
                <w:rFonts w:hint="eastAsia" w:ascii="宋体" w:hAnsi="宋体"/>
                <w:sz w:val="24"/>
              </w:rPr>
              <w:t>所有的用户的操作情况。</w:t>
            </w:r>
          </w:p>
          <w:p w14:paraId="4F536A06">
            <w:pPr>
              <w:spacing w:line="360" w:lineRule="auto"/>
              <w:rPr>
                <w:rFonts w:hint="eastAsia" w:ascii="宋体" w:hAnsi="宋体"/>
                <w:sz w:val="24"/>
              </w:rPr>
            </w:pPr>
            <w:r>
              <w:rPr>
                <w:rFonts w:hint="eastAsia" w:ascii="宋体" w:hAnsi="宋体"/>
                <w:sz w:val="24"/>
              </w:rPr>
              <w:t>10.支持以邮件、企业微信告警的方式，针对于备份存储系统的软件故障、存储空间、备份任务、操作状态等信息及时通知管理员。</w:t>
            </w:r>
          </w:p>
          <w:p w14:paraId="49250955">
            <w:pPr>
              <w:spacing w:line="360" w:lineRule="auto"/>
              <w:rPr>
                <w:rFonts w:hint="eastAsia" w:ascii="宋体" w:hAnsi="宋体"/>
                <w:sz w:val="24"/>
              </w:rPr>
            </w:pPr>
            <w:r>
              <w:rPr>
                <w:rFonts w:hint="eastAsia" w:ascii="宋体" w:hAnsi="宋体"/>
                <w:sz w:val="24"/>
              </w:rPr>
              <w:t>11.支持批量备份中应用关联的虚拟机备份的数据时间点一致（并行快照），同时需要支持批量备份中多个非关联性虚拟机串行快照，降低对生产存储空间占用和性能影响（串行快照）；</w:t>
            </w:r>
            <w:r>
              <w:rPr>
                <w:rFonts w:hint="eastAsia" w:ascii="宋体" w:hAnsi="宋体"/>
                <w:b/>
                <w:bCs w:val="0"/>
                <w:sz w:val="24"/>
                <w:szCs w:val="18"/>
              </w:rPr>
              <w:t>（</w:t>
            </w:r>
            <w:r>
              <w:rPr>
                <w:rFonts w:hint="eastAsia" w:ascii="宋体" w:hAnsi="宋体"/>
                <w:b/>
                <w:bCs w:val="0"/>
                <w:sz w:val="24"/>
                <w:szCs w:val="18"/>
                <w:lang w:eastAsia="zh-CN"/>
              </w:rPr>
              <w:t>响应文件中</w:t>
            </w:r>
            <w:r>
              <w:rPr>
                <w:rFonts w:hint="eastAsia" w:ascii="宋体" w:hAnsi="宋体"/>
                <w:b/>
                <w:bCs w:val="0"/>
                <w:sz w:val="24"/>
                <w:szCs w:val="18"/>
              </w:rPr>
              <w:t>提供</w:t>
            </w:r>
            <w:r>
              <w:rPr>
                <w:rFonts w:hint="eastAsia" w:ascii="宋体" w:hAnsi="宋体"/>
                <w:b/>
                <w:bCs w:val="0"/>
                <w:sz w:val="24"/>
                <w:szCs w:val="18"/>
                <w:lang w:eastAsia="zh-CN"/>
              </w:rPr>
              <w:t>产品</w:t>
            </w:r>
            <w:r>
              <w:rPr>
                <w:rFonts w:hint="eastAsia" w:ascii="宋体" w:hAnsi="宋体"/>
                <w:b/>
                <w:bCs w:val="0"/>
                <w:sz w:val="24"/>
                <w:szCs w:val="18"/>
              </w:rPr>
              <w:t>功能截图</w:t>
            </w:r>
            <w:r>
              <w:rPr>
                <w:rFonts w:hint="eastAsia" w:ascii="宋体" w:hAnsi="宋体"/>
                <w:b/>
                <w:bCs w:val="0"/>
                <w:sz w:val="24"/>
                <w:szCs w:val="18"/>
                <w:lang w:eastAsia="zh-CN"/>
              </w:rPr>
              <w:t>证明</w:t>
            </w:r>
            <w:r>
              <w:rPr>
                <w:rFonts w:hint="eastAsia" w:ascii="宋体" w:hAnsi="宋体"/>
                <w:b/>
                <w:bCs w:val="0"/>
                <w:sz w:val="24"/>
                <w:szCs w:val="18"/>
              </w:rPr>
              <w:t>）</w:t>
            </w:r>
          </w:p>
          <w:p w14:paraId="7C686DB7">
            <w:pPr>
              <w:spacing w:line="360" w:lineRule="auto"/>
              <w:rPr>
                <w:rFonts w:hint="eastAsia" w:ascii="宋体" w:hAnsi="宋体"/>
                <w:sz w:val="24"/>
              </w:rPr>
            </w:pPr>
            <w:r>
              <w:rPr>
                <w:rFonts w:hint="eastAsia" w:ascii="宋体" w:hAnsi="宋体"/>
                <w:sz w:val="24"/>
              </w:rPr>
              <w:t>★12.支持VMware vSphere、Microsoft Hyper-V、Citrix Xenserver、RedHat RHV/Ovirt、Sangfor HCI等虚拟化平台内虚拟机任意备份数据点的瞬时恢复，支持最快在15秒内恢复虚拟机并将其运行起来，且恢复时间与虚拟机存储容量无关；</w:t>
            </w:r>
            <w:r>
              <w:rPr>
                <w:rFonts w:hint="eastAsia" w:ascii="宋体" w:hAnsi="宋体"/>
                <w:b/>
                <w:bCs w:val="0"/>
                <w:sz w:val="24"/>
                <w:szCs w:val="18"/>
              </w:rPr>
              <w:t>（</w:t>
            </w:r>
            <w:r>
              <w:rPr>
                <w:rFonts w:hint="eastAsia" w:ascii="宋体" w:hAnsi="宋体"/>
                <w:b/>
                <w:bCs w:val="0"/>
                <w:sz w:val="24"/>
                <w:szCs w:val="18"/>
                <w:lang w:eastAsia="zh-CN"/>
              </w:rPr>
              <w:t>响应文件中</w:t>
            </w:r>
            <w:r>
              <w:rPr>
                <w:rFonts w:hint="eastAsia" w:ascii="宋体" w:hAnsi="宋体"/>
                <w:b/>
                <w:bCs w:val="0"/>
                <w:sz w:val="24"/>
                <w:szCs w:val="18"/>
              </w:rPr>
              <w:t>提供</w:t>
            </w:r>
            <w:r>
              <w:rPr>
                <w:rFonts w:hint="eastAsia" w:ascii="宋体" w:hAnsi="宋体"/>
                <w:b/>
                <w:bCs w:val="0"/>
                <w:sz w:val="24"/>
                <w:szCs w:val="18"/>
                <w:lang w:eastAsia="zh-CN"/>
              </w:rPr>
              <w:t>产品</w:t>
            </w:r>
            <w:r>
              <w:rPr>
                <w:rFonts w:hint="eastAsia" w:ascii="宋体" w:hAnsi="宋体"/>
                <w:b/>
                <w:bCs w:val="0"/>
                <w:sz w:val="24"/>
                <w:szCs w:val="18"/>
              </w:rPr>
              <w:t>功能截图</w:t>
            </w:r>
            <w:r>
              <w:rPr>
                <w:rFonts w:hint="eastAsia" w:ascii="宋体" w:hAnsi="宋体"/>
                <w:b/>
                <w:bCs w:val="0"/>
                <w:sz w:val="24"/>
                <w:szCs w:val="18"/>
                <w:lang w:eastAsia="zh-CN"/>
              </w:rPr>
              <w:t>证明</w:t>
            </w:r>
            <w:r>
              <w:rPr>
                <w:rFonts w:hint="eastAsia" w:ascii="宋体" w:hAnsi="宋体"/>
                <w:b/>
                <w:bCs w:val="0"/>
                <w:sz w:val="24"/>
                <w:szCs w:val="18"/>
              </w:rPr>
              <w:t>）</w:t>
            </w:r>
          </w:p>
          <w:p w14:paraId="1A38C124">
            <w:pPr>
              <w:spacing w:line="360" w:lineRule="auto"/>
              <w:rPr>
                <w:rFonts w:hint="eastAsia" w:ascii="宋体" w:hAnsi="宋体"/>
                <w:sz w:val="24"/>
              </w:rPr>
            </w:pPr>
            <w:r>
              <w:rPr>
                <w:rFonts w:hint="eastAsia" w:ascii="宋体" w:hAnsi="宋体"/>
                <w:sz w:val="24"/>
              </w:rPr>
              <w:t>★13.支持备份任务线程数量配置，提高备份效率，且支持备份任务限速策略，支持永久限速或按时间策略限速，控制备份速率；</w:t>
            </w:r>
            <w:r>
              <w:rPr>
                <w:rFonts w:hint="eastAsia" w:ascii="宋体" w:hAnsi="宋体"/>
                <w:b/>
                <w:bCs w:val="0"/>
                <w:sz w:val="24"/>
                <w:szCs w:val="18"/>
              </w:rPr>
              <w:t>（</w:t>
            </w:r>
            <w:r>
              <w:rPr>
                <w:rFonts w:hint="eastAsia" w:ascii="宋体" w:hAnsi="宋体"/>
                <w:b/>
                <w:bCs w:val="0"/>
                <w:sz w:val="24"/>
                <w:szCs w:val="18"/>
                <w:lang w:eastAsia="zh-CN"/>
              </w:rPr>
              <w:t>响应文件中</w:t>
            </w:r>
            <w:r>
              <w:rPr>
                <w:rFonts w:hint="eastAsia" w:ascii="宋体" w:hAnsi="宋体"/>
                <w:b/>
                <w:bCs w:val="0"/>
                <w:sz w:val="24"/>
                <w:szCs w:val="18"/>
              </w:rPr>
              <w:t>提供</w:t>
            </w:r>
            <w:r>
              <w:rPr>
                <w:rFonts w:hint="eastAsia" w:ascii="宋体" w:hAnsi="宋体"/>
                <w:b/>
                <w:bCs w:val="0"/>
                <w:sz w:val="24"/>
                <w:szCs w:val="18"/>
                <w:lang w:eastAsia="zh-CN"/>
              </w:rPr>
              <w:t>产品</w:t>
            </w:r>
            <w:r>
              <w:rPr>
                <w:rFonts w:hint="eastAsia" w:ascii="宋体" w:hAnsi="宋体"/>
                <w:b/>
                <w:bCs w:val="0"/>
                <w:sz w:val="24"/>
                <w:szCs w:val="18"/>
              </w:rPr>
              <w:t>功能截图</w:t>
            </w:r>
            <w:r>
              <w:rPr>
                <w:rFonts w:hint="eastAsia" w:ascii="宋体" w:hAnsi="宋体"/>
                <w:b/>
                <w:bCs w:val="0"/>
                <w:sz w:val="24"/>
                <w:szCs w:val="18"/>
                <w:lang w:eastAsia="zh-CN"/>
              </w:rPr>
              <w:t>证明</w:t>
            </w:r>
            <w:r>
              <w:rPr>
                <w:rFonts w:hint="eastAsia" w:ascii="宋体" w:hAnsi="宋体"/>
                <w:b/>
                <w:bCs w:val="0"/>
                <w:sz w:val="24"/>
                <w:szCs w:val="18"/>
              </w:rPr>
              <w:t>）</w:t>
            </w:r>
          </w:p>
          <w:p w14:paraId="052EB0B6">
            <w:pPr>
              <w:spacing w:line="360" w:lineRule="auto"/>
              <w:rPr>
                <w:rFonts w:hint="eastAsia" w:ascii="宋体" w:hAnsi="宋体"/>
                <w:sz w:val="24"/>
              </w:rPr>
            </w:pPr>
            <w:r>
              <w:rPr>
                <w:rFonts w:hint="eastAsia" w:ascii="宋体" w:hAnsi="宋体"/>
                <w:sz w:val="24"/>
              </w:rPr>
              <w:t>★14.支持虚拟机瞬时恢复在线迁移功能，可将瞬时恢复的虚拟机从备份系统在线迁移到生产存储，迁移完成后数据不丢失；</w:t>
            </w:r>
            <w:r>
              <w:rPr>
                <w:rFonts w:hint="eastAsia" w:ascii="宋体" w:hAnsi="宋体"/>
                <w:b/>
                <w:bCs w:val="0"/>
                <w:sz w:val="24"/>
                <w:szCs w:val="18"/>
              </w:rPr>
              <w:t>（</w:t>
            </w:r>
            <w:r>
              <w:rPr>
                <w:rFonts w:hint="eastAsia" w:ascii="宋体" w:hAnsi="宋体"/>
                <w:b/>
                <w:bCs w:val="0"/>
                <w:sz w:val="24"/>
                <w:szCs w:val="18"/>
                <w:lang w:eastAsia="zh-CN"/>
              </w:rPr>
              <w:t>响应文件中</w:t>
            </w:r>
            <w:r>
              <w:rPr>
                <w:rFonts w:hint="eastAsia" w:ascii="宋体" w:hAnsi="宋体"/>
                <w:b/>
                <w:bCs w:val="0"/>
                <w:sz w:val="24"/>
                <w:szCs w:val="18"/>
              </w:rPr>
              <w:t>提供</w:t>
            </w:r>
            <w:r>
              <w:rPr>
                <w:rFonts w:hint="eastAsia" w:ascii="宋体" w:hAnsi="宋体"/>
                <w:b/>
                <w:bCs w:val="0"/>
                <w:sz w:val="24"/>
                <w:szCs w:val="18"/>
                <w:lang w:eastAsia="zh-CN"/>
              </w:rPr>
              <w:t>产品</w:t>
            </w:r>
            <w:r>
              <w:rPr>
                <w:rFonts w:hint="eastAsia" w:ascii="宋体" w:hAnsi="宋体"/>
                <w:b/>
                <w:bCs w:val="0"/>
                <w:sz w:val="24"/>
                <w:szCs w:val="18"/>
              </w:rPr>
              <w:t>功能截图</w:t>
            </w:r>
            <w:r>
              <w:rPr>
                <w:rFonts w:hint="eastAsia" w:ascii="宋体" w:hAnsi="宋体"/>
                <w:b/>
                <w:bCs w:val="0"/>
                <w:sz w:val="24"/>
                <w:szCs w:val="18"/>
                <w:lang w:eastAsia="zh-CN"/>
              </w:rPr>
              <w:t>证明</w:t>
            </w:r>
            <w:r>
              <w:rPr>
                <w:rFonts w:hint="eastAsia" w:ascii="宋体" w:hAnsi="宋体"/>
                <w:b/>
                <w:bCs w:val="0"/>
                <w:sz w:val="24"/>
                <w:szCs w:val="18"/>
              </w:rPr>
              <w:t>）</w:t>
            </w:r>
          </w:p>
          <w:p w14:paraId="02F471BB">
            <w:pPr>
              <w:spacing w:line="360" w:lineRule="auto"/>
              <w:rPr>
                <w:rFonts w:hint="eastAsia" w:ascii="宋体" w:hAnsi="宋体"/>
                <w:sz w:val="24"/>
              </w:rPr>
            </w:pPr>
            <w:r>
              <w:rPr>
                <w:rFonts w:hint="eastAsia" w:ascii="宋体" w:hAnsi="宋体"/>
                <w:sz w:val="24"/>
              </w:rPr>
              <w:t>15.支持一键检测功能，支持用户自行检测系统健康状态，检测包括CPU、内存、硬盘、网口等硬件故障、告警等问题，同时支持检测各类存储服务是否正常启动。针对问题能够提出解决推荐办法</w:t>
            </w:r>
            <w:r>
              <w:rPr>
                <w:rFonts w:hint="eastAsia" w:ascii="宋体" w:hAnsi="宋体"/>
                <w:b/>
                <w:bCs w:val="0"/>
                <w:sz w:val="24"/>
                <w:szCs w:val="18"/>
              </w:rPr>
              <w:t>（</w:t>
            </w:r>
            <w:r>
              <w:rPr>
                <w:rFonts w:hint="eastAsia" w:ascii="宋体" w:hAnsi="宋体"/>
                <w:b/>
                <w:bCs w:val="0"/>
                <w:sz w:val="24"/>
                <w:szCs w:val="18"/>
                <w:lang w:eastAsia="zh-CN"/>
              </w:rPr>
              <w:t>响应文件中</w:t>
            </w:r>
            <w:r>
              <w:rPr>
                <w:rFonts w:hint="eastAsia" w:ascii="宋体" w:hAnsi="宋体"/>
                <w:b/>
                <w:bCs w:val="0"/>
                <w:sz w:val="24"/>
                <w:szCs w:val="18"/>
              </w:rPr>
              <w:t>提供</w:t>
            </w:r>
            <w:r>
              <w:rPr>
                <w:rFonts w:hint="eastAsia" w:ascii="宋体" w:hAnsi="宋体"/>
                <w:b/>
                <w:bCs w:val="0"/>
                <w:sz w:val="24"/>
                <w:szCs w:val="18"/>
                <w:lang w:eastAsia="zh-CN"/>
              </w:rPr>
              <w:t>产品</w:t>
            </w:r>
            <w:r>
              <w:rPr>
                <w:rFonts w:hint="eastAsia" w:ascii="宋体" w:hAnsi="宋体"/>
                <w:b/>
                <w:bCs w:val="0"/>
                <w:sz w:val="24"/>
                <w:szCs w:val="18"/>
              </w:rPr>
              <w:t>功能截图</w:t>
            </w:r>
            <w:r>
              <w:rPr>
                <w:rFonts w:hint="eastAsia" w:ascii="宋体" w:hAnsi="宋体"/>
                <w:b/>
                <w:bCs w:val="0"/>
                <w:sz w:val="24"/>
                <w:szCs w:val="18"/>
                <w:lang w:eastAsia="zh-CN"/>
              </w:rPr>
              <w:t>证明</w:t>
            </w:r>
            <w:r>
              <w:rPr>
                <w:rFonts w:hint="eastAsia" w:ascii="宋体" w:hAnsi="宋体"/>
                <w:b/>
                <w:bCs w:val="0"/>
                <w:sz w:val="24"/>
                <w:szCs w:val="18"/>
              </w:rPr>
              <w:t>）</w:t>
            </w:r>
            <w:r>
              <w:rPr>
                <w:rFonts w:hint="eastAsia" w:ascii="宋体" w:hAnsi="宋体"/>
                <w:sz w:val="24"/>
              </w:rPr>
              <w:t>。</w:t>
            </w:r>
          </w:p>
        </w:tc>
        <w:tc>
          <w:tcPr>
            <w:tcW w:w="684" w:type="pct"/>
            <w:noWrap w:val="0"/>
            <w:vAlign w:val="center"/>
          </w:tcPr>
          <w:p w14:paraId="224CF927">
            <w:pPr>
              <w:spacing w:line="360" w:lineRule="auto"/>
              <w:jc w:val="center"/>
              <w:rPr>
                <w:rFonts w:ascii="宋体" w:hAnsi="宋体"/>
                <w:bCs/>
                <w:sz w:val="24"/>
                <w:szCs w:val="18"/>
              </w:rPr>
            </w:pPr>
            <w:r>
              <w:rPr>
                <w:rFonts w:hint="eastAsia" w:ascii="宋体" w:hAnsi="宋体"/>
                <w:bCs/>
                <w:sz w:val="24"/>
                <w:szCs w:val="18"/>
              </w:rPr>
              <w:t>1台</w:t>
            </w:r>
          </w:p>
        </w:tc>
      </w:tr>
      <w:tr w14:paraId="5F1AF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408" w:type="pct"/>
            <w:noWrap w:val="0"/>
            <w:vAlign w:val="center"/>
          </w:tcPr>
          <w:p w14:paraId="7ABFCCFB">
            <w:pPr>
              <w:spacing w:line="360" w:lineRule="auto"/>
              <w:jc w:val="center"/>
              <w:rPr>
                <w:rFonts w:ascii="宋体" w:hAnsi="宋体"/>
                <w:sz w:val="24"/>
                <w:szCs w:val="18"/>
              </w:rPr>
            </w:pPr>
            <w:r>
              <w:rPr>
                <w:rFonts w:hint="eastAsia" w:ascii="宋体" w:hAnsi="宋体"/>
                <w:sz w:val="24"/>
                <w:szCs w:val="18"/>
              </w:rPr>
              <w:t>3</w:t>
            </w:r>
          </w:p>
        </w:tc>
        <w:tc>
          <w:tcPr>
            <w:tcW w:w="755" w:type="pct"/>
            <w:noWrap w:val="0"/>
            <w:vAlign w:val="center"/>
          </w:tcPr>
          <w:p w14:paraId="02D54D27">
            <w:pPr>
              <w:spacing w:line="360" w:lineRule="auto"/>
              <w:rPr>
                <w:rFonts w:ascii="宋体" w:hAnsi="宋体"/>
                <w:bCs/>
                <w:sz w:val="24"/>
                <w:szCs w:val="18"/>
              </w:rPr>
            </w:pPr>
            <w:r>
              <w:rPr>
                <w:rFonts w:hint="eastAsia" w:ascii="宋体" w:hAnsi="宋体" w:eastAsia="宋体" w:cs="宋体"/>
                <w:bCs/>
                <w:color w:val="auto"/>
                <w:sz w:val="24"/>
                <w:szCs w:val="24"/>
                <w:highlight w:val="none"/>
              </w:rPr>
              <w:t>▲</w:t>
            </w:r>
            <w:r>
              <w:rPr>
                <w:rFonts w:hint="eastAsia" w:ascii="宋体" w:hAnsi="宋体"/>
                <w:bCs/>
                <w:sz w:val="24"/>
                <w:szCs w:val="18"/>
              </w:rPr>
              <w:t>专线前置服务器</w:t>
            </w:r>
          </w:p>
        </w:tc>
        <w:tc>
          <w:tcPr>
            <w:tcW w:w="3151" w:type="pct"/>
            <w:noWrap w:val="0"/>
            <w:vAlign w:val="top"/>
          </w:tcPr>
          <w:p w14:paraId="512C78F9">
            <w:pPr>
              <w:spacing w:line="360" w:lineRule="auto"/>
              <w:rPr>
                <w:rFonts w:hint="eastAsia" w:ascii="宋体" w:hAnsi="宋体"/>
                <w:sz w:val="24"/>
              </w:rPr>
            </w:pPr>
            <w:r>
              <w:rPr>
                <w:rFonts w:hint="eastAsia" w:ascii="宋体" w:hAnsi="宋体"/>
                <w:sz w:val="24"/>
              </w:rPr>
              <w:t>1. ≥2U机架式服务器，非OEM，自主研发</w:t>
            </w:r>
            <w:r>
              <w:rPr>
                <w:rFonts w:hint="eastAsia" w:ascii="宋体" w:hAnsi="宋体"/>
                <w:sz w:val="24"/>
                <w:lang w:eastAsia="zh-CN"/>
              </w:rPr>
              <w:t>；</w:t>
            </w:r>
          </w:p>
          <w:p w14:paraId="14694485">
            <w:pPr>
              <w:spacing w:line="360" w:lineRule="auto"/>
              <w:rPr>
                <w:rFonts w:hint="eastAsia" w:ascii="宋体" w:hAnsi="宋体"/>
                <w:sz w:val="24"/>
              </w:rPr>
            </w:pPr>
            <w:r>
              <w:rPr>
                <w:rFonts w:hint="eastAsia" w:ascii="宋体" w:hAnsi="宋体"/>
                <w:sz w:val="24"/>
              </w:rPr>
              <w:t>★2.配置1颗</w:t>
            </w:r>
            <w:r>
              <w:rPr>
                <w:rFonts w:hint="eastAsia" w:ascii="宋体" w:hAnsi="宋体"/>
                <w:sz w:val="24"/>
                <w:highlight w:val="none"/>
                <w:lang w:val="en-US" w:eastAsia="zh-CN"/>
              </w:rPr>
              <w:t>不低于</w:t>
            </w:r>
            <w:r>
              <w:rPr>
                <w:rFonts w:hint="eastAsia" w:ascii="宋体" w:hAnsi="宋体"/>
                <w:sz w:val="24"/>
                <w:highlight w:val="none"/>
              </w:rPr>
              <w:t>英特尔至强4310（12核/2.1GHz）</w:t>
            </w:r>
            <w:r>
              <w:rPr>
                <w:rFonts w:hint="eastAsia" w:ascii="宋体" w:hAnsi="宋体"/>
                <w:sz w:val="24"/>
                <w:highlight w:val="none"/>
                <w:lang w:val="en-US" w:eastAsia="zh-CN"/>
              </w:rPr>
              <w:t>的</w:t>
            </w:r>
            <w:r>
              <w:rPr>
                <w:rFonts w:hint="eastAsia" w:ascii="宋体" w:hAnsi="宋体"/>
                <w:sz w:val="24"/>
                <w:highlight w:val="none"/>
              </w:rPr>
              <w:t>处理器，可支持最高</w:t>
            </w:r>
            <w:r>
              <w:rPr>
                <w:rFonts w:hint="eastAsia" w:ascii="宋体" w:hAnsi="宋体"/>
                <w:sz w:val="24"/>
                <w:highlight w:val="none"/>
                <w:lang w:val="en-US" w:eastAsia="zh-CN"/>
              </w:rPr>
              <w:t>不低于</w:t>
            </w:r>
            <w:r>
              <w:rPr>
                <w:rFonts w:hint="eastAsia" w:ascii="宋体" w:hAnsi="宋体"/>
                <w:sz w:val="24"/>
              </w:rPr>
              <w:t>120W处理器；</w:t>
            </w:r>
          </w:p>
          <w:p w14:paraId="0B871015">
            <w:pPr>
              <w:spacing w:line="360" w:lineRule="auto"/>
              <w:rPr>
                <w:rFonts w:hint="eastAsia" w:ascii="宋体" w:hAnsi="宋体"/>
                <w:sz w:val="24"/>
              </w:rPr>
            </w:pPr>
            <w:r>
              <w:rPr>
                <w:rFonts w:hint="eastAsia" w:ascii="宋体" w:hAnsi="宋体"/>
                <w:sz w:val="24"/>
              </w:rPr>
              <w:t>3. 配置≥32GB 3200MHz DDR4内存，支持≥32个内存插槽，支持内存容量不小于3.0TB；</w:t>
            </w:r>
          </w:p>
          <w:p w14:paraId="2BC2D352">
            <w:pPr>
              <w:spacing w:line="360" w:lineRule="auto"/>
              <w:rPr>
                <w:rFonts w:hint="eastAsia" w:ascii="宋体" w:hAnsi="宋体"/>
                <w:sz w:val="24"/>
              </w:rPr>
            </w:pPr>
            <w:r>
              <w:rPr>
                <w:rFonts w:hint="eastAsia" w:ascii="宋体" w:hAnsi="宋体"/>
                <w:sz w:val="24"/>
              </w:rPr>
              <w:t>4.（大盘写法）支持≥16个3.5寸硬盘槽位</w:t>
            </w:r>
            <w:r>
              <w:rPr>
                <w:rFonts w:hint="eastAsia" w:ascii="宋体" w:hAnsi="宋体"/>
                <w:sz w:val="24"/>
                <w:lang w:eastAsia="zh-CN"/>
              </w:rPr>
              <w:t>，</w:t>
            </w:r>
            <w:r>
              <w:rPr>
                <w:rFonts w:hint="eastAsia" w:ascii="宋体" w:hAnsi="宋体"/>
                <w:sz w:val="24"/>
              </w:rPr>
              <w:t xml:space="preserve">配置≥12个3.5寸硬盘槽位， </w:t>
            </w:r>
          </w:p>
          <w:p w14:paraId="66226052">
            <w:pPr>
              <w:spacing w:line="360" w:lineRule="auto"/>
              <w:rPr>
                <w:rFonts w:hint="eastAsia" w:ascii="宋体" w:hAnsi="宋体"/>
                <w:sz w:val="24"/>
              </w:rPr>
            </w:pPr>
            <w:r>
              <w:rPr>
                <w:rFonts w:hint="eastAsia" w:ascii="宋体" w:hAnsi="宋体"/>
                <w:sz w:val="24"/>
              </w:rPr>
              <w:t>5.（小盘写法）支持≥41块硬盘插槽（提供官网链接及截图证明），配置≥8个2.5寸硬盘槽位，本次配置3块1.2TB  10K SAS硬盘；</w:t>
            </w:r>
          </w:p>
          <w:p w14:paraId="2F8338B2">
            <w:pPr>
              <w:spacing w:line="360" w:lineRule="auto"/>
              <w:rPr>
                <w:rFonts w:hint="eastAsia" w:ascii="宋体" w:hAnsi="宋体"/>
                <w:sz w:val="24"/>
              </w:rPr>
            </w:pPr>
            <w:r>
              <w:rPr>
                <w:rFonts w:hint="eastAsia" w:ascii="宋体" w:hAnsi="宋体"/>
                <w:sz w:val="24"/>
              </w:rPr>
              <w:t xml:space="preserve">6.配置≥1个Raid阵列卡，支持RAID0/1/10/5/6/50/60， </w:t>
            </w:r>
          </w:p>
          <w:p w14:paraId="055A00C4">
            <w:pPr>
              <w:spacing w:line="360" w:lineRule="auto"/>
              <w:rPr>
                <w:rFonts w:hint="eastAsia" w:ascii="宋体" w:hAnsi="宋体"/>
                <w:sz w:val="24"/>
              </w:rPr>
            </w:pPr>
            <w:r>
              <w:rPr>
                <w:rFonts w:hint="eastAsia" w:ascii="宋体" w:hAnsi="宋体"/>
                <w:sz w:val="24"/>
              </w:rPr>
              <w:t>7. 配置1个≥550W电源，支持1+1冗余，满配风扇，配置机架式导轨；</w:t>
            </w:r>
          </w:p>
          <w:p w14:paraId="4A5594CD">
            <w:pPr>
              <w:spacing w:line="360" w:lineRule="auto"/>
              <w:rPr>
                <w:rFonts w:hint="eastAsia" w:ascii="宋体" w:hAnsi="宋体"/>
                <w:sz w:val="24"/>
              </w:rPr>
            </w:pPr>
            <w:r>
              <w:rPr>
                <w:rFonts w:hint="eastAsia" w:ascii="宋体" w:hAnsi="宋体"/>
                <w:sz w:val="24"/>
              </w:rPr>
              <w:t>8.支持5-45°C工作温度</w:t>
            </w:r>
            <w:r>
              <w:rPr>
                <w:rFonts w:hint="eastAsia" w:ascii="宋体" w:hAnsi="宋体"/>
                <w:b/>
                <w:bCs/>
                <w:sz w:val="24"/>
              </w:rPr>
              <w:t>（</w:t>
            </w:r>
            <w:r>
              <w:rPr>
                <w:rFonts w:hint="eastAsia" w:ascii="宋体" w:hAnsi="宋体"/>
                <w:b/>
                <w:bCs/>
                <w:sz w:val="24"/>
                <w:lang w:val="en-US" w:eastAsia="zh-CN"/>
              </w:rPr>
              <w:t>响应文件中</w:t>
            </w:r>
            <w:r>
              <w:rPr>
                <w:rFonts w:hint="eastAsia" w:ascii="宋体" w:hAnsi="宋体"/>
                <w:b/>
                <w:bCs/>
                <w:sz w:val="24"/>
              </w:rPr>
              <w:t>提供官网链接及截图证明）</w:t>
            </w:r>
            <w:r>
              <w:rPr>
                <w:rFonts w:hint="eastAsia" w:ascii="宋体" w:hAnsi="宋体"/>
                <w:sz w:val="24"/>
              </w:rPr>
              <w:t>，支持3D显示机箱内部各组件温度传感器的分布图；</w:t>
            </w:r>
          </w:p>
          <w:p w14:paraId="08E56FEC">
            <w:pPr>
              <w:spacing w:line="360" w:lineRule="auto"/>
              <w:rPr>
                <w:rFonts w:hint="eastAsia" w:ascii="宋体" w:hAnsi="宋体"/>
                <w:sz w:val="24"/>
              </w:rPr>
            </w:pPr>
            <w:r>
              <w:rPr>
                <w:rFonts w:hint="eastAsia" w:ascii="宋体" w:hAnsi="宋体"/>
                <w:sz w:val="24"/>
              </w:rPr>
              <w:t>9.支持双因素认证功能</w:t>
            </w:r>
            <w:r>
              <w:rPr>
                <w:rFonts w:hint="eastAsia" w:ascii="宋体" w:hAnsi="宋体"/>
                <w:b/>
                <w:bCs/>
                <w:sz w:val="24"/>
              </w:rPr>
              <w:t>（</w:t>
            </w:r>
            <w:r>
              <w:rPr>
                <w:rFonts w:hint="eastAsia" w:ascii="宋体" w:hAnsi="宋体"/>
                <w:b/>
                <w:bCs/>
                <w:sz w:val="24"/>
                <w:lang w:val="en-US" w:eastAsia="zh-CN"/>
              </w:rPr>
              <w:t>响应文件中</w:t>
            </w:r>
            <w:r>
              <w:rPr>
                <w:rFonts w:hint="eastAsia" w:ascii="宋体" w:hAnsi="宋体"/>
                <w:b/>
                <w:bCs/>
                <w:sz w:val="24"/>
              </w:rPr>
              <w:t>提供官网链接及截图证明）</w:t>
            </w:r>
            <w:r>
              <w:rPr>
                <w:rFonts w:hint="eastAsia" w:ascii="宋体" w:hAnsi="宋体"/>
                <w:sz w:val="24"/>
              </w:rPr>
              <w:t>，支持OTP（One Time Password一次性密码）方案，支持国密算法；</w:t>
            </w:r>
          </w:p>
          <w:p w14:paraId="69679976">
            <w:pPr>
              <w:spacing w:line="360" w:lineRule="auto"/>
              <w:rPr>
                <w:rFonts w:hint="eastAsia" w:ascii="宋体" w:hAnsi="宋体" w:eastAsia="宋体"/>
                <w:sz w:val="24"/>
                <w:lang w:eastAsia="zh-CN"/>
              </w:rPr>
            </w:pPr>
            <w:r>
              <w:rPr>
                <w:rFonts w:hint="eastAsia" w:ascii="宋体" w:hAnsi="宋体"/>
                <w:sz w:val="24"/>
              </w:rPr>
              <w:t>10.配置≥1Gb独立的远程管理控制端口，配置虚拟KVM功能</w:t>
            </w:r>
            <w:r>
              <w:rPr>
                <w:rFonts w:hint="eastAsia" w:ascii="宋体" w:hAnsi="宋体"/>
                <w:sz w:val="24"/>
                <w:lang w:eastAsia="zh-CN"/>
              </w:rPr>
              <w:t>，</w:t>
            </w:r>
            <w:r>
              <w:rPr>
                <w:rFonts w:hint="eastAsia" w:ascii="宋体" w:hAnsi="宋体"/>
                <w:sz w:val="24"/>
              </w:rPr>
              <w:t xml:space="preserve"> 可实现与操作系统无关的远程对服务器的完全控制，包括远程的开机、关机、重启、虚拟光驱等操作</w:t>
            </w:r>
            <w:r>
              <w:rPr>
                <w:rFonts w:hint="eastAsia" w:ascii="宋体" w:hAnsi="宋体"/>
                <w:sz w:val="24"/>
                <w:lang w:eastAsia="zh-CN"/>
              </w:rPr>
              <w:t>。</w:t>
            </w:r>
          </w:p>
        </w:tc>
        <w:tc>
          <w:tcPr>
            <w:tcW w:w="684" w:type="pct"/>
            <w:noWrap w:val="0"/>
            <w:vAlign w:val="center"/>
          </w:tcPr>
          <w:p w14:paraId="5D688961">
            <w:pPr>
              <w:spacing w:line="360" w:lineRule="auto"/>
              <w:jc w:val="center"/>
              <w:rPr>
                <w:rFonts w:ascii="宋体" w:hAnsi="宋体"/>
                <w:bCs/>
                <w:sz w:val="24"/>
                <w:szCs w:val="18"/>
              </w:rPr>
            </w:pPr>
            <w:r>
              <w:rPr>
                <w:rFonts w:hint="eastAsia" w:ascii="宋体" w:hAnsi="宋体"/>
                <w:bCs/>
                <w:sz w:val="24"/>
                <w:szCs w:val="18"/>
              </w:rPr>
              <w:t>4台</w:t>
            </w:r>
          </w:p>
        </w:tc>
      </w:tr>
    </w:tbl>
    <w:p w14:paraId="3B5E8E7B">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三、报价要求</w:t>
      </w:r>
    </w:p>
    <w:p w14:paraId="6F9B0792">
      <w:r>
        <w:rPr>
          <w:rFonts w:hint="eastAsia" w:ascii="宋体" w:hAnsi="宋体" w:cs="宋体"/>
          <w:color w:val="000000"/>
          <w:sz w:val="24"/>
          <w:szCs w:val="24"/>
        </w:rPr>
        <w:t>本项目报总价，比选报价包括本项目需求（包含比选文件要求内容、参选文件承诺内容、评审过程澄清修改内容等）的全部货物及所需附件购置费、包装费、运输费、人工费、保险费、安装调试费、各种税费、资料费、售后服务费及完成项目应有的全部费用，中选后比选不再另行支付任何费用，</w:t>
      </w:r>
      <w:r>
        <w:rPr>
          <w:rFonts w:hint="eastAsia" w:ascii="宋体" w:hAnsi="宋体" w:cs="宋体"/>
          <w:b/>
          <w:bCs/>
          <w:color w:val="000000"/>
          <w:sz w:val="24"/>
          <w:szCs w:val="24"/>
        </w:rPr>
        <w:t>比选分项报价表中须明确列出所投产品所含货物名称、品牌、型号规格、原产地及生产厂商，否则可能导致响应无效。</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6F40EF"/>
    <w:rsid w:val="126F40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宋体" w:cs="@仿宋_GB2312"/>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2025-03-28T03:38:00Z</dcterms:created>
  <dc:creator>森</dc:creator>
  <cp:lastModifiedBy>森</cp:lastModifiedBy>
  <dcterms:modified xsi:type="dcterms:W3CDTF">2025-03-28T03:38:33Z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FDF130D0886E45BDB99E642163A51562_11</vt:lpwstr>
  </property>
  <property fmtid="{D5CDD505-2E9C-101B-9397-08002B2CF9AE}" pid="4" name="KSOTemplateDocerSaveRecord">
    <vt:lpwstr>eyJoZGlkIjoiOTc3M2Y5NzIzMDFlZjAyY2Q4Njk5ODkyYjFjNzBiNTQiLCJ1c2VySWQiOiI0MzAwMTYzNzkifQ==</vt:lpwstr>
  </property>
</Properties>
</file>