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46208">
      <w:pPr>
        <w:wordWrap w:val="0"/>
        <w:spacing w:line="360" w:lineRule="auto"/>
        <w:jc w:val="center"/>
        <w:outlineLvl w:val="1"/>
        <w:rPr>
          <w:rFonts w:ascii="华文中宋" w:hAnsi="华文中宋" w:eastAsia="华文中宋" w:cs="Times New Roman"/>
          <w:b/>
          <w:bCs/>
          <w:kern w:val="44"/>
          <w:sz w:val="44"/>
          <w:szCs w:val="44"/>
          <w:highlight w:val="none"/>
        </w:rPr>
      </w:pPr>
      <w:bookmarkStart w:id="0" w:name="_Toc18843"/>
      <w:bookmarkStart w:id="1" w:name="_Toc17676"/>
      <w:r>
        <w:rPr>
          <w:rFonts w:hint="eastAsia" w:ascii="华文中宋" w:hAnsi="华文中宋" w:eastAsia="华文中宋" w:cs="Times New Roman"/>
          <w:b/>
          <w:bCs/>
          <w:kern w:val="44"/>
          <w:sz w:val="44"/>
          <w:szCs w:val="44"/>
          <w:highlight w:val="none"/>
        </w:rPr>
        <w:t>采购需求</w:t>
      </w:r>
      <w:bookmarkEnd w:id="0"/>
      <w:bookmarkEnd w:id="1"/>
    </w:p>
    <w:p w14:paraId="2AC75BD8">
      <w:pPr>
        <w:wordWrap w:val="0"/>
        <w:spacing w:line="440" w:lineRule="exact"/>
        <w:rPr>
          <w:rFonts w:ascii="宋体" w:hAnsi="宋体" w:eastAsia="宋体" w:cs="宋体"/>
          <w:b/>
          <w:sz w:val="24"/>
          <w:highlight w:val="none"/>
        </w:rPr>
      </w:pPr>
      <w:r>
        <w:rPr>
          <w:rFonts w:hint="eastAsia" w:ascii="宋体" w:hAnsi="宋体" w:eastAsia="宋体" w:cs="宋体"/>
          <w:b/>
          <w:sz w:val="24"/>
          <w:highlight w:val="none"/>
        </w:rPr>
        <w:t>前注：</w:t>
      </w:r>
    </w:p>
    <w:p w14:paraId="015BF463">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1、本采购需求中提出的方案仅为参考，如无明确限制，投标人可以进行适当优化，提供满足采购人实际需要的更优（或者性能实质上不低于的）方案或者配置，且此方案或配置须经评标委员会评审认可。</w:t>
      </w:r>
    </w:p>
    <w:p w14:paraId="52880D6A">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2、投标人应自行踏勘项目现场，并在投标文件中列出完成本项目并通过验收所需的各项服务的费用。如投标人因未及时踏勘现场而导致的报价缺项漏项或中标后无法完工，投标人自行承担一切后果；中标人必须确保整体通过采购人及有关部门验收，所发生的验收费用由中标人承担。</w:t>
      </w:r>
    </w:p>
    <w:p w14:paraId="7ED55921">
      <w:pPr>
        <w:wordWrap w:val="0"/>
        <w:spacing w:line="440" w:lineRule="exact"/>
        <w:ind w:firstLine="435"/>
        <w:rPr>
          <w:rFonts w:ascii="宋体" w:hAnsi="宋体" w:eastAsia="宋体" w:cs="宋体"/>
          <w:sz w:val="24"/>
          <w:highlight w:val="none"/>
        </w:rPr>
      </w:pPr>
    </w:p>
    <w:p w14:paraId="1BDC169F">
      <w:pPr>
        <w:spacing w:line="360"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一、项目概述</w:t>
      </w:r>
    </w:p>
    <w:p w14:paraId="4636160E">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为保障中国科学技术大学校园网络及各类信息化服务业务的稳定、安全运行，减少网络和系统故障响应处理时间提高用户体验，提升信息化运维服务质量并沉淀运维数据，建立规范、标准的服务运营管理体系，不断提升管理和服务水平，现需采购用户网络运维服务。</w:t>
      </w:r>
    </w:p>
    <w:p w14:paraId="7CEB7C45">
      <w:pPr>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二、运维需求</w:t>
      </w:r>
    </w:p>
    <w:p w14:paraId="45C39227">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2.1、采购需求前附表</w:t>
      </w:r>
    </w:p>
    <w:tbl>
      <w:tblPr>
        <w:tblStyle w:val="25"/>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21"/>
        <w:gridCol w:w="5997"/>
      </w:tblGrid>
      <w:tr w14:paraId="24D17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101" w:type="dxa"/>
            <w:vAlign w:val="center"/>
          </w:tcPr>
          <w:p w14:paraId="6830D8A8">
            <w:pPr>
              <w:pStyle w:val="33"/>
              <w:pBdr>
                <w:bottom w:val="none" w:color="auto" w:sz="0" w:space="0"/>
              </w:pBdr>
              <w:tabs>
                <w:tab w:val="clear" w:pos="4153"/>
                <w:tab w:val="clear" w:pos="8306"/>
              </w:tabs>
              <w:wordWrap w:val="0"/>
              <w:adjustRightInd/>
              <w:spacing w:line="240" w:lineRule="auto"/>
              <w:textAlignment w:val="auto"/>
              <w:rPr>
                <w:rFonts w:ascii="宋体" w:hAnsi="宋体" w:eastAsia="宋体"/>
                <w:b/>
                <w:kern w:val="2"/>
                <w:highlight w:val="none"/>
              </w:rPr>
            </w:pPr>
            <w:r>
              <w:rPr>
                <w:rFonts w:hint="eastAsia" w:ascii="宋体" w:hAnsi="宋体" w:eastAsia="宋体"/>
                <w:b/>
                <w:kern w:val="2"/>
                <w:highlight w:val="none"/>
              </w:rPr>
              <w:t>序号</w:t>
            </w:r>
          </w:p>
        </w:tc>
        <w:tc>
          <w:tcPr>
            <w:tcW w:w="2221" w:type="dxa"/>
            <w:vAlign w:val="center"/>
          </w:tcPr>
          <w:p w14:paraId="5A3FDE7A">
            <w:pPr>
              <w:pStyle w:val="32"/>
              <w:widowControl w:val="0"/>
              <w:wordWrap w:val="0"/>
              <w:spacing w:before="0" w:beforeAutospacing="0" w:after="0" w:afterAutospacing="0"/>
              <w:rPr>
                <w:rFonts w:ascii="宋体" w:hAnsi="宋体" w:eastAsia="宋体"/>
                <w:bCs w:val="0"/>
                <w:sz w:val="24"/>
                <w:highlight w:val="none"/>
              </w:rPr>
            </w:pPr>
            <w:r>
              <w:rPr>
                <w:rFonts w:hint="eastAsia" w:ascii="宋体" w:hAnsi="宋体" w:eastAsia="宋体"/>
                <w:bCs w:val="0"/>
                <w:sz w:val="24"/>
                <w:highlight w:val="none"/>
              </w:rPr>
              <w:t>条款名称</w:t>
            </w:r>
          </w:p>
        </w:tc>
        <w:tc>
          <w:tcPr>
            <w:tcW w:w="5997" w:type="dxa"/>
            <w:vAlign w:val="center"/>
          </w:tcPr>
          <w:p w14:paraId="0DC58F5D">
            <w:pPr>
              <w:pStyle w:val="32"/>
              <w:widowControl w:val="0"/>
              <w:wordWrap w:val="0"/>
              <w:spacing w:before="0" w:beforeAutospacing="0" w:after="0" w:afterAutospacing="0"/>
              <w:rPr>
                <w:rFonts w:ascii="宋体" w:hAnsi="宋体" w:eastAsia="宋体"/>
                <w:bCs w:val="0"/>
                <w:sz w:val="24"/>
                <w:highlight w:val="none"/>
              </w:rPr>
            </w:pPr>
            <w:r>
              <w:rPr>
                <w:rFonts w:hint="eastAsia" w:ascii="宋体" w:hAnsi="宋体" w:eastAsia="宋体"/>
                <w:bCs w:val="0"/>
                <w:sz w:val="24"/>
                <w:highlight w:val="none"/>
              </w:rPr>
              <w:t>内容、说明与要求</w:t>
            </w:r>
          </w:p>
        </w:tc>
      </w:tr>
      <w:tr w14:paraId="560F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101" w:type="dxa"/>
            <w:vAlign w:val="center"/>
          </w:tcPr>
          <w:p w14:paraId="2EE0EF35">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highlight w:val="none"/>
              </w:rPr>
            </w:pPr>
            <w:r>
              <w:rPr>
                <w:rFonts w:hint="eastAsia" w:ascii="宋体" w:hAnsi="宋体" w:eastAsia="宋体"/>
                <w:bCs/>
                <w:kern w:val="2"/>
                <w:highlight w:val="none"/>
              </w:rPr>
              <w:t>1</w:t>
            </w:r>
          </w:p>
        </w:tc>
        <w:tc>
          <w:tcPr>
            <w:tcW w:w="2221" w:type="dxa"/>
            <w:vAlign w:val="center"/>
          </w:tcPr>
          <w:p w14:paraId="74A3A85E">
            <w:pPr>
              <w:pStyle w:val="32"/>
              <w:widowControl w:val="0"/>
              <w:wordWrap w:val="0"/>
              <w:spacing w:before="0" w:beforeAutospacing="0" w:after="0" w:afterAutospacing="0"/>
              <w:rPr>
                <w:rFonts w:ascii="宋体" w:hAnsi="宋体" w:eastAsia="宋体"/>
                <w:b w:val="0"/>
                <w:sz w:val="24"/>
                <w:highlight w:val="none"/>
              </w:rPr>
            </w:pPr>
            <w:r>
              <w:rPr>
                <w:rFonts w:hint="eastAsia" w:ascii="宋体" w:hAnsi="宋体" w:eastAsia="宋体"/>
                <w:b w:val="0"/>
                <w:sz w:val="24"/>
                <w:highlight w:val="none"/>
              </w:rPr>
              <w:t>付款方式</w:t>
            </w:r>
          </w:p>
        </w:tc>
        <w:tc>
          <w:tcPr>
            <w:tcW w:w="5997" w:type="dxa"/>
            <w:vAlign w:val="center"/>
          </w:tcPr>
          <w:p w14:paraId="12366775">
            <w:pPr>
              <w:pStyle w:val="32"/>
              <w:widowControl w:val="0"/>
              <w:spacing w:before="0" w:beforeAutospacing="0" w:after="0" w:afterAutospacing="0"/>
              <w:jc w:val="both"/>
              <w:rPr>
                <w:rFonts w:ascii="宋体" w:hAnsi="宋体" w:eastAsia="宋体"/>
                <w:b w:val="0"/>
                <w:sz w:val="24"/>
                <w:highlight w:val="none"/>
                <w:u w:val="single"/>
              </w:rPr>
            </w:pPr>
            <w:r>
              <w:rPr>
                <w:rFonts w:hint="eastAsia" w:ascii="宋体" w:hAnsi="宋体" w:eastAsia="宋体" w:cs="宋体"/>
                <w:b w:val="0"/>
                <w:sz w:val="24"/>
                <w:szCs w:val="24"/>
                <w:highlight w:val="none"/>
              </w:rPr>
              <w:t>合同生效后，采购人向中标人预付半年的运维费用；后续每隔半年依据月度考核情况预付下一个半年的运维费用。</w:t>
            </w:r>
          </w:p>
        </w:tc>
      </w:tr>
      <w:tr w14:paraId="5D634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101" w:type="dxa"/>
            <w:vAlign w:val="center"/>
          </w:tcPr>
          <w:p w14:paraId="1763B18E">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highlight w:val="none"/>
              </w:rPr>
            </w:pPr>
            <w:r>
              <w:rPr>
                <w:rFonts w:hint="eastAsia" w:ascii="宋体" w:hAnsi="宋体" w:eastAsia="宋体"/>
                <w:bCs/>
                <w:kern w:val="2"/>
                <w:highlight w:val="none"/>
              </w:rPr>
              <w:t>2</w:t>
            </w:r>
          </w:p>
        </w:tc>
        <w:tc>
          <w:tcPr>
            <w:tcW w:w="2221" w:type="dxa"/>
            <w:vAlign w:val="center"/>
          </w:tcPr>
          <w:p w14:paraId="201322C3">
            <w:pPr>
              <w:pStyle w:val="32"/>
              <w:widowControl w:val="0"/>
              <w:wordWrap w:val="0"/>
              <w:spacing w:before="0" w:beforeAutospacing="0" w:after="0" w:afterAutospacing="0"/>
              <w:rPr>
                <w:rFonts w:ascii="宋体" w:hAnsi="宋体" w:eastAsia="宋体"/>
                <w:b w:val="0"/>
                <w:sz w:val="24"/>
                <w:highlight w:val="none"/>
              </w:rPr>
            </w:pPr>
            <w:r>
              <w:rPr>
                <w:rFonts w:hint="eastAsia" w:ascii="宋体" w:hAnsi="宋体" w:eastAsia="宋体"/>
                <w:b w:val="0"/>
                <w:sz w:val="24"/>
                <w:highlight w:val="none"/>
              </w:rPr>
              <w:t>服务地点</w:t>
            </w:r>
          </w:p>
        </w:tc>
        <w:tc>
          <w:tcPr>
            <w:tcW w:w="5997" w:type="dxa"/>
            <w:vAlign w:val="center"/>
          </w:tcPr>
          <w:p w14:paraId="617D11A8">
            <w:pPr>
              <w:jc w:val="left"/>
              <w:rPr>
                <w:rFonts w:ascii="宋体" w:hAnsi="宋体" w:eastAsia="宋体"/>
                <w:sz w:val="24"/>
                <w:highlight w:val="none"/>
              </w:rPr>
            </w:pPr>
            <w:r>
              <w:rPr>
                <w:rFonts w:hint="eastAsia" w:ascii="宋体" w:hAnsi="宋体" w:eastAsia="宋体" w:cs="宋体"/>
                <w:kern w:val="0"/>
                <w:sz w:val="24"/>
                <w:szCs w:val="24"/>
                <w:highlight w:val="none"/>
              </w:rPr>
              <w:t>中标人在中国科学技术大学东校区、西校区和高新校区设立三个服务站点，服务范围涉及中国科学技术大学东、南、西、北、中和高新共六个校区。</w:t>
            </w:r>
          </w:p>
        </w:tc>
      </w:tr>
      <w:tr w14:paraId="19878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101" w:type="dxa"/>
            <w:vAlign w:val="center"/>
          </w:tcPr>
          <w:p w14:paraId="7A6EC75B">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highlight w:val="none"/>
              </w:rPr>
            </w:pPr>
            <w:r>
              <w:rPr>
                <w:rFonts w:hint="eastAsia" w:ascii="宋体" w:hAnsi="宋体" w:eastAsia="宋体"/>
                <w:bCs/>
                <w:kern w:val="2"/>
                <w:highlight w:val="none"/>
              </w:rPr>
              <w:t>3</w:t>
            </w:r>
          </w:p>
        </w:tc>
        <w:tc>
          <w:tcPr>
            <w:tcW w:w="2221" w:type="dxa"/>
            <w:vAlign w:val="center"/>
          </w:tcPr>
          <w:p w14:paraId="42636676">
            <w:pPr>
              <w:pStyle w:val="32"/>
              <w:widowControl w:val="0"/>
              <w:wordWrap w:val="0"/>
              <w:spacing w:before="0" w:beforeAutospacing="0" w:after="0" w:afterAutospacing="0"/>
              <w:rPr>
                <w:rFonts w:ascii="宋体" w:hAnsi="宋体" w:eastAsia="宋体"/>
                <w:b w:val="0"/>
                <w:sz w:val="24"/>
                <w:highlight w:val="none"/>
              </w:rPr>
            </w:pPr>
            <w:r>
              <w:rPr>
                <w:rFonts w:hint="eastAsia" w:ascii="宋体" w:hAnsi="宋体" w:eastAsia="宋体"/>
                <w:b w:val="0"/>
                <w:sz w:val="24"/>
                <w:highlight w:val="none"/>
              </w:rPr>
              <w:t>服务期限</w:t>
            </w:r>
          </w:p>
        </w:tc>
        <w:tc>
          <w:tcPr>
            <w:tcW w:w="5997" w:type="dxa"/>
            <w:vAlign w:val="center"/>
          </w:tcPr>
          <w:p w14:paraId="46CF9F74">
            <w:pP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2025年1月1日至2027年12月31日</w:t>
            </w:r>
          </w:p>
          <w:p w14:paraId="3915A827">
            <w:pPr>
              <w:rPr>
                <w:rFonts w:ascii="宋体" w:hAnsi="宋体" w:eastAsia="宋体"/>
                <w:sz w:val="24"/>
                <w:highlight w:val="none"/>
              </w:rPr>
            </w:pPr>
            <w:r>
              <w:rPr>
                <w:rFonts w:hint="eastAsia" w:ascii="宋体" w:hAnsi="宋体" w:eastAsia="宋体"/>
                <w:sz w:val="24"/>
                <w:highlight w:val="none"/>
              </w:rPr>
              <w:t>备注：如年度考核结果不合格或下一年度预算资金未得到批复，采购人有权随时终止合同。</w:t>
            </w:r>
          </w:p>
        </w:tc>
      </w:tr>
      <w:tr w14:paraId="2DD6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01" w:type="dxa"/>
            <w:vAlign w:val="center"/>
          </w:tcPr>
          <w:p w14:paraId="44DDCE2D">
            <w:pPr>
              <w:pStyle w:val="33"/>
              <w:pBdr>
                <w:bottom w:val="none" w:color="auto" w:sz="0" w:space="0"/>
              </w:pBdr>
              <w:tabs>
                <w:tab w:val="clear" w:pos="4153"/>
                <w:tab w:val="clear" w:pos="8306"/>
              </w:tabs>
              <w:wordWrap w:val="0"/>
              <w:adjustRightInd/>
              <w:spacing w:line="240" w:lineRule="auto"/>
              <w:textAlignment w:val="auto"/>
              <w:rPr>
                <w:rFonts w:ascii="宋体" w:hAnsi="宋体" w:eastAsia="宋体"/>
                <w:bCs/>
                <w:kern w:val="2"/>
                <w:highlight w:val="none"/>
              </w:rPr>
            </w:pPr>
            <w:r>
              <w:rPr>
                <w:rFonts w:hint="eastAsia" w:ascii="宋体" w:hAnsi="宋体" w:eastAsia="宋体"/>
                <w:bCs/>
                <w:kern w:val="2"/>
                <w:highlight w:val="none"/>
              </w:rPr>
              <w:t>4</w:t>
            </w:r>
          </w:p>
        </w:tc>
        <w:tc>
          <w:tcPr>
            <w:tcW w:w="2221" w:type="dxa"/>
            <w:vAlign w:val="center"/>
          </w:tcPr>
          <w:p w14:paraId="569E7D82">
            <w:pPr>
              <w:pStyle w:val="32"/>
              <w:widowControl w:val="0"/>
              <w:wordWrap w:val="0"/>
              <w:spacing w:before="0" w:beforeAutospacing="0" w:after="0" w:afterAutospacing="0"/>
              <w:rPr>
                <w:rFonts w:ascii="宋体" w:hAnsi="宋体" w:eastAsia="宋体"/>
                <w:b w:val="0"/>
                <w:sz w:val="24"/>
                <w:highlight w:val="none"/>
              </w:rPr>
            </w:pPr>
            <w:r>
              <w:rPr>
                <w:rFonts w:hint="eastAsia" w:ascii="宋体" w:hAnsi="宋体" w:eastAsia="宋体"/>
                <w:b w:val="0"/>
                <w:sz w:val="24"/>
                <w:highlight w:val="none"/>
              </w:rPr>
              <w:t>服务要求</w:t>
            </w:r>
          </w:p>
        </w:tc>
        <w:tc>
          <w:tcPr>
            <w:tcW w:w="5997" w:type="dxa"/>
            <w:vAlign w:val="center"/>
          </w:tcPr>
          <w:p w14:paraId="65F90788">
            <w:pPr>
              <w:pStyle w:val="35"/>
              <w:rPr>
                <w:rFonts w:ascii="宋体" w:hAnsi="宋体" w:cs="宋体"/>
                <w:szCs w:val="24"/>
                <w:highlight w:val="none"/>
              </w:rPr>
            </w:pPr>
            <w:r>
              <w:rPr>
                <w:rFonts w:hint="eastAsia" w:ascii="宋体" w:hAnsi="宋体" w:cs="宋体"/>
                <w:szCs w:val="24"/>
                <w:highlight w:val="none"/>
              </w:rPr>
              <w:t>1、投标人应充分考虑到项目服务过程中的各种风险因素，并视为已含在投标总报价中，中标后不再因此另行增加费用。</w:t>
            </w:r>
          </w:p>
          <w:p w14:paraId="46B5C50E">
            <w:pPr>
              <w:pStyle w:val="35"/>
              <w:rPr>
                <w:rFonts w:ascii="宋体" w:hAnsi="宋体" w:cs="宋体"/>
                <w:highlight w:val="none"/>
              </w:rPr>
            </w:pPr>
            <w:r>
              <w:rPr>
                <w:rFonts w:hint="eastAsia" w:ascii="宋体" w:hAnsi="宋体" w:cs="宋体"/>
                <w:szCs w:val="24"/>
                <w:highlight w:val="none"/>
              </w:rPr>
              <w:t>2、中标人应</w:t>
            </w:r>
            <w:r>
              <w:rPr>
                <w:rFonts w:hint="eastAsia" w:ascii="宋体" w:hAnsi="宋体" w:cs="宋体"/>
                <w:szCs w:val="24"/>
                <w:highlight w:val="none"/>
                <w:lang w:val="zh-CN"/>
              </w:rPr>
              <w:t>保证所提供服务的质量</w:t>
            </w:r>
            <w:r>
              <w:rPr>
                <w:rFonts w:hint="eastAsia" w:ascii="宋体" w:hAnsi="宋体" w:cs="宋体"/>
                <w:szCs w:val="24"/>
                <w:highlight w:val="none"/>
              </w:rPr>
              <w:t>。如因中标人服务质量出现问题</w:t>
            </w:r>
            <w:r>
              <w:rPr>
                <w:rFonts w:hint="eastAsia" w:ascii="宋体" w:hAnsi="宋体" w:cs="宋体"/>
                <w:szCs w:val="24"/>
                <w:highlight w:val="none"/>
                <w:lang w:val="zh-CN"/>
              </w:rPr>
              <w:t>，中标人还应承担由此导致的其他经济损失。</w:t>
            </w:r>
          </w:p>
        </w:tc>
      </w:tr>
      <w:tr w14:paraId="3B1A6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101" w:type="dxa"/>
            <w:vAlign w:val="center"/>
          </w:tcPr>
          <w:p w14:paraId="6084D43A">
            <w:pPr>
              <w:pStyle w:val="33"/>
              <w:pBdr>
                <w:bottom w:val="none" w:color="auto" w:sz="0" w:space="0"/>
              </w:pBdr>
              <w:tabs>
                <w:tab w:val="clear" w:pos="4153"/>
                <w:tab w:val="clear" w:pos="8306"/>
              </w:tabs>
              <w:wordWrap w:val="0"/>
              <w:adjustRightInd/>
              <w:spacing w:line="240" w:lineRule="auto"/>
              <w:textAlignment w:val="auto"/>
              <w:rPr>
                <w:rFonts w:ascii="宋体" w:hAnsi="宋体" w:eastAsia="宋体" w:cs="宋体"/>
                <w:bCs/>
                <w:kern w:val="2"/>
                <w:szCs w:val="24"/>
                <w:highlight w:val="none"/>
              </w:rPr>
            </w:pPr>
            <w:r>
              <w:rPr>
                <w:rFonts w:hint="eastAsia" w:ascii="宋体" w:hAnsi="宋体" w:eastAsia="宋体" w:cs="宋体"/>
                <w:bCs/>
                <w:kern w:val="2"/>
                <w:szCs w:val="24"/>
                <w:highlight w:val="none"/>
              </w:rPr>
              <w:t>5</w:t>
            </w:r>
          </w:p>
        </w:tc>
        <w:tc>
          <w:tcPr>
            <w:tcW w:w="2221" w:type="dxa"/>
            <w:vAlign w:val="center"/>
          </w:tcPr>
          <w:p w14:paraId="06857F78">
            <w:pPr>
              <w:jc w:val="center"/>
              <w:rPr>
                <w:rFonts w:ascii="宋体" w:hAnsi="宋体" w:eastAsia="宋体" w:cs="宋体"/>
                <w:sz w:val="24"/>
                <w:szCs w:val="24"/>
                <w:highlight w:val="none"/>
              </w:rPr>
            </w:pPr>
            <w:r>
              <w:rPr>
                <w:rFonts w:hint="eastAsia" w:ascii="宋体" w:hAnsi="宋体" w:eastAsia="宋体" w:cs="宋体"/>
                <w:sz w:val="24"/>
                <w:highlight w:val="none"/>
                <w:lang w:val="zh-CN"/>
              </w:rPr>
              <w:t>备注</w:t>
            </w:r>
          </w:p>
        </w:tc>
        <w:tc>
          <w:tcPr>
            <w:tcW w:w="5997" w:type="dxa"/>
            <w:vAlign w:val="center"/>
          </w:tcPr>
          <w:p w14:paraId="2B8859C3">
            <w:pPr>
              <w:pStyle w:val="35"/>
              <w:rPr>
                <w:rFonts w:ascii="宋体" w:hAnsi="宋体" w:cs="宋体"/>
                <w:szCs w:val="24"/>
                <w:highlight w:val="none"/>
              </w:rPr>
            </w:pPr>
            <w:r>
              <w:rPr>
                <w:rFonts w:hint="eastAsia" w:ascii="宋体" w:hAnsi="宋体" w:cs="宋体"/>
                <w:highlight w:val="none"/>
              </w:rPr>
              <w:t>本项目所属行业为软件和信息技术服务业。</w:t>
            </w:r>
          </w:p>
        </w:tc>
      </w:tr>
    </w:tbl>
    <w:p w14:paraId="09A45987">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2.2、需求内容</w:t>
      </w:r>
    </w:p>
    <w:p w14:paraId="1EF47BD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本次采购的用户网络运维服务，要求基于ITSS服务运营管理框架，结合学校实际情况，针对以下所列具体运维内容建立标准服务目录，建立标准作业流程和运维知识库，不断提升运维服务效率。</w:t>
      </w:r>
    </w:p>
    <w:p w14:paraId="7B4BF203">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（1）运营管理</w:t>
      </w:r>
    </w:p>
    <w:p w14:paraId="1FC4C19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基于ITSS框架，结合学校现场实际情况，围绕校园网络和信息系统有关服务，设计各个服务项目的标准作业流程，并落实到相关培训和测试工作中，保障各类服务经过培训和测试合格后执行。建立定期的服务会议和服务报告机制，保障管理优化落实到日常运维中。要点工作包括如下几类：</w:t>
      </w:r>
    </w:p>
    <w:p w14:paraId="4FE00ACB">
      <w:pPr>
        <w:pStyle w:val="63"/>
        <w:numPr>
          <w:ilvl w:val="0"/>
          <w:numId w:val="1"/>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能够基于校园网运维现状进行分析，结合“智慧科大”项目建设，支持学校将信息化运维体系建设成为国内高校领先水平，并逐步达到ISO20000和ITSS规范的要求；</w:t>
      </w:r>
    </w:p>
    <w:p w14:paraId="3E75CA65">
      <w:pPr>
        <w:pStyle w:val="63"/>
        <w:numPr>
          <w:ilvl w:val="0"/>
          <w:numId w:val="1"/>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为学校信息化服务战略提出建议，建立服务目录，完成相关服务等级标准的设计；建立运维管理平台，完善服务内控制度，编制学校信息化标准化管理体系相关支撑文档，提高精细化管理能力；包括但不限于基于服务目录的标准作业流程建设及运维相关文档的完善和优化工作；</w:t>
      </w:r>
    </w:p>
    <w:p w14:paraId="660E8375">
      <w:pPr>
        <w:pStyle w:val="63"/>
        <w:numPr>
          <w:ilvl w:val="0"/>
          <w:numId w:val="1"/>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根据用户反馈提供持续的服务改进方案并落实。</w:t>
      </w:r>
    </w:p>
    <w:p w14:paraId="2068ECA7">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（2）前台业务办理</w:t>
      </w:r>
    </w:p>
    <w:p w14:paraId="63C1B4AF">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提供前台服务大厅，受理学校一卡通、网络信息账户开户、注销、缴费、圈存、信息维护、各类校园信息系统业务咨询处理等用户相关业务办理事宜。</w:t>
      </w:r>
    </w:p>
    <w:p w14:paraId="36F1414B">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（3）服务台运营服务</w:t>
      </w:r>
    </w:p>
    <w:p w14:paraId="7CFFB8ED">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对外服务电话接听及服务跟踪。统一接受师生用户的报障和咨询服务，记录所有相关的故障和服务请求及用户联系方式，提高响应效率；解决能够解决的故障或服务请求，升级或转送不能解决的，并为决策提供有价值的管理信息。完成用户回访和满意度调查工作。</w:t>
      </w:r>
    </w:p>
    <w:p w14:paraId="6EAE19F7">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（4）校园有线网络</w:t>
      </w:r>
    </w:p>
    <w:p w14:paraId="0207E41F">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需实时监控校园有线网络设备的运行状态，每月进行设备巡检并备份设备的配置，发现设备故障及时处理，保证网络的正常运行；</w:t>
      </w:r>
      <w:bookmarkStart w:id="2" w:name="_Hlk99790849"/>
      <w:r>
        <w:rPr>
          <w:rFonts w:hint="eastAsia" w:ascii="宋体" w:hAnsi="宋体" w:eastAsia="宋体" w:cs="宋体"/>
          <w:sz w:val="24"/>
          <w:szCs w:val="24"/>
          <w:highlight w:val="none"/>
        </w:rPr>
        <w:t>运维界面从楼内汇聚交换机经接入交换机到桌面端。</w:t>
      </w:r>
      <w:bookmarkEnd w:id="2"/>
    </w:p>
    <w:p w14:paraId="37A75A36">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日常运维：弱电机房状态、网络设备运行状态巡查；线路连接状态巡查；设备标签制作、粘贴检查；设备日志记录检查；配置文件备份与检查；端口、IP地址分配及调整；设备权限分配与维护（账号、密码、权限）；安全策略调整与备份。</w:t>
      </w:r>
    </w:p>
    <w:p w14:paraId="39991787">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故障处理：网络故障的排查、分析、恢复；设备硬件报修及跟踪处理（需联络厂商处理）；故障处理报告；故障硬件或模块更换（在保内设备需联络厂商处理、过保设备由学校提供备件运维服务公司负责更换）。</w:t>
      </w:r>
    </w:p>
    <w:p w14:paraId="674B6985">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定期巡检：每季度进行可用性检查，并出具相关报告。</w:t>
      </w:r>
    </w:p>
    <w:p w14:paraId="46555FBA">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系统优化：每半年评估网络运行状况；网络性能瓶颈原因分析；网络设备软件版本升级。</w:t>
      </w:r>
    </w:p>
    <w:p w14:paraId="720BF9B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（5）校园无线网络</w:t>
      </w:r>
    </w:p>
    <w:p w14:paraId="68CEA8DB">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需实时监控校园无线设备的运行状态；每季度进行设备巡检并备份设备的配置，发现设备故障及时处理，保证无线网络的正常运行，运维界面从楼内汇聚交换机经POE交换机、无线AP到用户端。</w:t>
      </w:r>
    </w:p>
    <w:p w14:paraId="0A880586">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日常运维：无线设备运行状态巡查；各区域无线信号的覆盖范围及强度巡查；无线设备标签制作、粘贴检查；无线设备日志记录检查；配置文件备份与检查。</w:t>
      </w:r>
    </w:p>
    <w:p w14:paraId="1090AB58">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故障处理：无线网络故障的排查、分析、恢复；无线设备硬件报修及跟踪处理（需联络厂商处理）；故障处理报告；故障硬件或模块更换（在保内设备需联络厂商处理、过保设备由学校提供备件运维服务公司负责更换）。</w:t>
      </w:r>
    </w:p>
    <w:p w14:paraId="5AD06E35">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实时监控：无线设备状态（供电、指示灯、CPU、内存等）监控；无线网络延时及丢包监控；无线网络连通性监控；无线AP流量监控。</w:t>
      </w:r>
    </w:p>
    <w:p w14:paraId="6B4664CD">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定期巡检：每季度进行系统可用性检查，并出具相关报告。</w:t>
      </w:r>
    </w:p>
    <w:p w14:paraId="0A2F8672">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系统优化：每半年评估无线网络运行状况；无线网络性能瓶颈原因分析；无线的优化方案（信道、功率、覆盖范围、漫游、频谱导航等）；无线设备软件版本升级。</w:t>
      </w:r>
    </w:p>
    <w:p w14:paraId="38EC0068">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（6）重要时期网络保障</w:t>
      </w:r>
    </w:p>
    <w:p w14:paraId="43EEDDF5">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在重要时期（如：迎新、招生、会议活动、研究生答辩、重要视频会议等），协助学校完成网络保障工作。在学校重点活动与会议前进行网络测试，活动过程中网络运行状况监控及应急处理。</w:t>
      </w:r>
    </w:p>
    <w:p w14:paraId="62E6055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（7）重点用户桌面运维</w:t>
      </w:r>
    </w:p>
    <w:p w14:paraId="681899DA">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对于重点用户提供桌面端IT事件的响应和处理。</w:t>
      </w:r>
    </w:p>
    <w:p w14:paraId="5F7B1772">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桌面应用软件：对终端用户申报的办公软件故障提供技术支持。提供软件故障原因分析、软件故障解决；根据学校提供的正版化软件，运维人员提供办公软件、工具软件、专用系统、防毒软件、驱动程序等的安装及设置；提供软件版本变更的风险评估、软件版本变更的实施；提供防毒软件版本检查、防毒软件更新、补丁安装、杀毒处理等。</w:t>
      </w:r>
    </w:p>
    <w:p w14:paraId="137AC183">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外设：对终端用户申报的桌面应用软件故障提供技术支持，提供驱动程序安装、升级；打印、复印、传真设置，打印机共享；设备故障诊断及联系送修、保修期内报修。</w:t>
      </w:r>
    </w:p>
    <w:p w14:paraId="6722A47A">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计算机：对终端用户申报的计算机故障提技术支持。提供 BIOS 设置、配件更换、硬件维修；提供保修条件外的设备送修（送修至第三方厂商）、符合保修条件的设备报修（联络保修厂商）；提供系统变更前后的数据备份、更换电脑前后数据备份、终端电脑驱动程序的备份；提供桌面端的网络设置、网络信息点及跳线的维护。</w:t>
      </w:r>
    </w:p>
    <w:p w14:paraId="1FD7CF6D">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终端操作系统：对终端用户申报的操作系统故障提供技术支持，学校提供正版操作系统，运维人员安装操作系统，修复系统故障，补丁升级等。</w:t>
      </w:r>
    </w:p>
    <w:p w14:paraId="00C6CA0C">
      <w:pPr>
        <w:pStyle w:val="63"/>
        <w:numPr>
          <w:ilvl w:val="0"/>
          <w:numId w:val="2"/>
        </w:numPr>
        <w:spacing w:line="360" w:lineRule="auto"/>
        <w:ind w:left="0" w:firstLine="480"/>
        <w:rPr>
          <w:rFonts w:ascii="宋体" w:hAnsi="宋体" w:eastAsia="宋体" w:cs="宋体"/>
          <w:sz w:val="24"/>
          <w:szCs w:val="24"/>
          <w:highlight w:val="none"/>
        </w:rPr>
      </w:pPr>
      <w:r>
        <w:rPr>
          <w:rFonts w:hint="eastAsia" w:ascii="宋体" w:hAnsi="宋体" w:eastAsia="宋体" w:cs="宋体"/>
          <w:sz w:val="24"/>
          <w:szCs w:val="24"/>
          <w:highlight w:val="none"/>
        </w:rPr>
        <w:t>安全加固：配合采购人按需完成PC等终端的病毒查杀、补丁安装更新、漏洞修复、防火墙启用、本地安全策略配置、账户权限设置等。</w:t>
      </w:r>
    </w:p>
    <w:p w14:paraId="27264AA0">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（8）应急响应服务</w:t>
      </w:r>
    </w:p>
    <w:p w14:paraId="7E766A0A">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进行全面的风险评估，制定相应的应急响应预案并定期进行应急演练。在出现突发网络事件时协助学校完成故障处置，尽快恢复业务。在事后形成分析报告，提出改进方案。</w:t>
      </w:r>
    </w:p>
    <w:p w14:paraId="2D316C1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（9）运营保障配套内容</w:t>
      </w:r>
    </w:p>
    <w:p w14:paraId="2B7C3C09">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要求尽量统一着装，佩带学校网络信息中心制作的工卡、专业运维工具（含测线仪、寻线仪等）等相关运营保障配套服务。需提供校园基础网络维护所需的运维辅材。</w:t>
      </w:r>
    </w:p>
    <w:p w14:paraId="21FDAA04">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10）每月不定期主动电话询访用户的网络使用状况，并至少两次主动上门与用户进行现场沟通，询问是否有网络相关问题需要解决，对用户的网络连接环境进行检查，包括网络设备（如路由器、交换机等）的运行状态，确保硬件正常工作，网络配置正确无误，对于发现的问题及时进行修复解决，保障用户网络的正常使用。</w:t>
      </w:r>
    </w:p>
    <w:p w14:paraId="141A59A4">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11）电话回访：网络运维组处理完工单故障后，用户服务组在第一时间对客户进行服务满意度回访。回访过程中，用户服务组需询问客户对本次服务的整体感受，包括故障处理的及时性、网络运维组的专业水平、服务态度等方面。同时，认真记录客户的反馈意见和建议，对于客户提出的问题和不满，及时反馈给学校相关负责人，且对网络运维组进行改进和优化。</w:t>
      </w:r>
    </w:p>
    <w:p w14:paraId="06E8BAD4">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2.3、其他相关要求</w:t>
      </w:r>
    </w:p>
    <w:p w14:paraId="46388946">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（1）运维服务时间及方式</w:t>
      </w:r>
    </w:p>
    <w:p w14:paraId="53B93116">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标人需提供7*8小时（上午8:00-12:00，下午14:00-18:00）服务台和运维、巡检及现场排障响应服务。中标人须每月汇总各项运维服务具体执行情况，提交综合运维报告给网络信息中心。网络信息中心根据相关报告对运维服务进行考核。</w:t>
      </w:r>
    </w:p>
    <w:p w14:paraId="7A4AD85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（2）运维服务管理流程体系要求</w:t>
      </w:r>
    </w:p>
    <w:p w14:paraId="49FFCA73">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要求运维中标人在以ITSS为核心流程的运维体系的基础上结合学校实际情况开展运维工作。对于流程体系的细致要求如下：</w:t>
      </w:r>
    </w:p>
    <w:p w14:paraId="5579498F">
      <w:pPr>
        <w:pStyle w:val="63"/>
        <w:numPr>
          <w:ilvl w:val="0"/>
          <w:numId w:val="3"/>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基本管理要求</w:t>
      </w:r>
    </w:p>
    <w:p w14:paraId="7FAC6A44">
      <w:pPr>
        <w:pStyle w:val="63"/>
        <w:numPr>
          <w:ilvl w:val="0"/>
          <w:numId w:val="4"/>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制定中国科学技术大学运维服务标准和规范；</w:t>
      </w:r>
    </w:p>
    <w:p w14:paraId="7F4C6F80">
      <w:pPr>
        <w:pStyle w:val="63"/>
        <w:numPr>
          <w:ilvl w:val="0"/>
          <w:numId w:val="4"/>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按运维管理流程及时报告问题/异常；</w:t>
      </w:r>
    </w:p>
    <w:p w14:paraId="7ACC43D3">
      <w:pPr>
        <w:pStyle w:val="63"/>
        <w:numPr>
          <w:ilvl w:val="0"/>
          <w:numId w:val="4"/>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日常巡检工作及相应台账；</w:t>
      </w:r>
    </w:p>
    <w:p w14:paraId="740E5136">
      <w:pPr>
        <w:pStyle w:val="63"/>
        <w:numPr>
          <w:ilvl w:val="0"/>
          <w:numId w:val="4"/>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制定服务质量管理策略。</w:t>
      </w:r>
    </w:p>
    <w:p w14:paraId="69D80CBB">
      <w:pPr>
        <w:pStyle w:val="63"/>
        <w:numPr>
          <w:ilvl w:val="0"/>
          <w:numId w:val="3"/>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事件管理流程</w:t>
      </w:r>
    </w:p>
    <w:p w14:paraId="31EFAFEF">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对未按时解决的事件，将事件上报网络信息中心有关方和上级主管；</w:t>
      </w:r>
    </w:p>
    <w:p w14:paraId="6BE26AD4">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协调相关人员快速解决事件；</w:t>
      </w:r>
    </w:p>
    <w:p w14:paraId="32B88ECF">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提供给各类用户进行事件的查询并反映事件的解决进程；</w:t>
      </w:r>
    </w:p>
    <w:p w14:paraId="58E92F51">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评估相关人员解决事件所需时间，进行绩效考核；</w:t>
      </w:r>
    </w:p>
    <w:p w14:paraId="3407DF69">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能够对相关维护人员进行每月的统计故障解决率、故障解决及时率；</w:t>
      </w:r>
    </w:p>
    <w:p w14:paraId="524028A8">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能够统计每周、每月、每年的故障次数；</w:t>
      </w:r>
    </w:p>
    <w:p w14:paraId="7128B87B">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能够保存3年以上所有的历史数据；</w:t>
      </w:r>
    </w:p>
    <w:p w14:paraId="7F3BAEB2">
      <w:pPr>
        <w:pStyle w:val="63"/>
        <w:numPr>
          <w:ilvl w:val="0"/>
          <w:numId w:val="5"/>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维护人员可以通过管理系统进行事件/故障的查询、人工录入、工单指派、处理、跟踪等操作。</w:t>
      </w:r>
    </w:p>
    <w:p w14:paraId="7AF1F679">
      <w:pPr>
        <w:pStyle w:val="63"/>
        <w:numPr>
          <w:ilvl w:val="0"/>
          <w:numId w:val="3"/>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服务质量管理</w:t>
      </w:r>
    </w:p>
    <w:p w14:paraId="605B93C6">
      <w:pPr>
        <w:pStyle w:val="63"/>
        <w:numPr>
          <w:ilvl w:val="0"/>
          <w:numId w:val="6"/>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负责分析服务过程中产生的各类数据/报告，评估服务品质, 发现服务过程中存在的问题；</w:t>
      </w:r>
    </w:p>
    <w:p w14:paraId="08FAC967">
      <w:pPr>
        <w:pStyle w:val="63"/>
        <w:numPr>
          <w:ilvl w:val="0"/>
          <w:numId w:val="6"/>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对发现存在的和潜在的问题，提出修正建议，并检查修正效果；</w:t>
      </w:r>
    </w:p>
    <w:p w14:paraId="391D7D5D">
      <w:pPr>
        <w:pStyle w:val="63"/>
        <w:numPr>
          <w:ilvl w:val="0"/>
          <w:numId w:val="6"/>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负责定期制作服务报告；</w:t>
      </w:r>
    </w:p>
    <w:p w14:paraId="5164DA44">
      <w:pPr>
        <w:pStyle w:val="63"/>
        <w:numPr>
          <w:ilvl w:val="0"/>
          <w:numId w:val="6"/>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负责对服务全流程定期和不定期的审计。</w:t>
      </w:r>
    </w:p>
    <w:p w14:paraId="3F570983">
      <w:pPr>
        <w:pStyle w:val="63"/>
        <w:numPr>
          <w:ilvl w:val="0"/>
          <w:numId w:val="3"/>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服务交付计划</w:t>
      </w:r>
    </w:p>
    <w:p w14:paraId="4EC3E6B8">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中标人需提供运维服务时间限分阶段服务交付计划，交付物包括但不限于如下内容：</w:t>
      </w:r>
    </w:p>
    <w:p w14:paraId="25683F02">
      <w:pPr>
        <w:pStyle w:val="63"/>
        <w:numPr>
          <w:ilvl w:val="0"/>
          <w:numId w:val="7"/>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信息系统风险评估报告及解决方案建议</w:t>
      </w:r>
    </w:p>
    <w:p w14:paraId="6F46A9BD">
      <w:pPr>
        <w:pStyle w:val="63"/>
        <w:numPr>
          <w:ilvl w:val="0"/>
          <w:numId w:val="7"/>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服务目录</w:t>
      </w:r>
    </w:p>
    <w:p w14:paraId="5810D20F">
      <w:pPr>
        <w:pStyle w:val="63"/>
        <w:numPr>
          <w:ilvl w:val="0"/>
          <w:numId w:val="7"/>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服务运作手册</w:t>
      </w:r>
    </w:p>
    <w:p w14:paraId="730C0933">
      <w:pPr>
        <w:pStyle w:val="63"/>
        <w:numPr>
          <w:ilvl w:val="0"/>
          <w:numId w:val="7"/>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按计划的服务报告</w:t>
      </w:r>
    </w:p>
    <w:p w14:paraId="4831427E">
      <w:pPr>
        <w:pStyle w:val="63"/>
        <w:numPr>
          <w:ilvl w:val="0"/>
          <w:numId w:val="7"/>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服务改进措施及系统优化建议</w:t>
      </w:r>
    </w:p>
    <w:p w14:paraId="4C650790">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（3）服务人员要求：</w:t>
      </w:r>
    </w:p>
    <w:p w14:paraId="4E58FFBE">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标人及其服务团队应该具备丰富的运维经验和ITSS管理体系落地实施经验，具备在运维过程中开展PDCA（计划、执行、检查、处理）改进服务的经验；中标人在本地应具备足够的本地化服务团队和技术力量，能够支持学校重保或部分技术支持工作；服务团队应兼具技术支持、运维管理的能力。用户服务组正式上岗前须经过全面培训，包括商务礼仪、操作规范、系统操作等。</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1408"/>
        <w:gridCol w:w="2922"/>
        <w:gridCol w:w="3260"/>
      </w:tblGrid>
      <w:tr w14:paraId="0E33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8" w:type="dxa"/>
            <w:vAlign w:val="center"/>
          </w:tcPr>
          <w:p w14:paraId="5D54FB1D">
            <w:pPr>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序号</w:t>
            </w:r>
          </w:p>
        </w:tc>
        <w:tc>
          <w:tcPr>
            <w:tcW w:w="1408" w:type="dxa"/>
            <w:vAlign w:val="center"/>
          </w:tcPr>
          <w:p w14:paraId="5C99DAB0">
            <w:pPr>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分类</w:t>
            </w:r>
          </w:p>
        </w:tc>
        <w:tc>
          <w:tcPr>
            <w:tcW w:w="2922" w:type="dxa"/>
            <w:vAlign w:val="center"/>
          </w:tcPr>
          <w:p w14:paraId="4F7F7DED">
            <w:pPr>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工作职责</w:t>
            </w:r>
          </w:p>
        </w:tc>
        <w:tc>
          <w:tcPr>
            <w:tcW w:w="3260" w:type="dxa"/>
            <w:vAlign w:val="center"/>
          </w:tcPr>
          <w:p w14:paraId="50FCC784">
            <w:pPr>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人员</w:t>
            </w:r>
          </w:p>
        </w:tc>
      </w:tr>
      <w:tr w14:paraId="26B2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 w:type="dxa"/>
            <w:vAlign w:val="center"/>
          </w:tcPr>
          <w:p w14:paraId="37B57158">
            <w:pPr>
              <w:jc w:val="cente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1</w:t>
            </w:r>
          </w:p>
        </w:tc>
        <w:tc>
          <w:tcPr>
            <w:tcW w:w="1408" w:type="dxa"/>
            <w:vAlign w:val="center"/>
          </w:tcPr>
          <w:p w14:paraId="623B16FD">
            <w:pPr>
              <w:jc w:val="cente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用户服务组</w:t>
            </w:r>
          </w:p>
        </w:tc>
        <w:tc>
          <w:tcPr>
            <w:tcW w:w="2922" w:type="dxa"/>
            <w:vAlign w:val="center"/>
          </w:tcPr>
          <w:p w14:paraId="74F3061F">
            <w:pPr>
              <w:jc w:val="left"/>
              <w:rPr>
                <w:rFonts w:ascii="宋体" w:hAnsi="宋体" w:eastAsia="宋体" w:cs="宋体"/>
                <w:bCs/>
                <w:kern w:val="0"/>
                <w:sz w:val="24"/>
                <w:szCs w:val="24"/>
                <w:highlight w:val="none"/>
              </w:rPr>
            </w:pPr>
            <w:r>
              <w:rPr>
                <w:rFonts w:hint="eastAsia" w:ascii="宋体" w:hAnsi="宋体" w:eastAsia="宋体" w:cs="宋体"/>
                <w:sz w:val="24"/>
                <w:szCs w:val="24"/>
                <w:highlight w:val="none"/>
              </w:rPr>
              <w:t>运营管理、前台业务办理、服务台运营服务</w:t>
            </w:r>
          </w:p>
        </w:tc>
        <w:tc>
          <w:tcPr>
            <w:tcW w:w="3260" w:type="dxa"/>
            <w:vAlign w:val="center"/>
          </w:tcPr>
          <w:p w14:paraId="64073DF3">
            <w:pPr>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共6人（其中主管1名，东区3人，西区和高新校区各1人），人员根据需要在校区间调配。</w:t>
            </w:r>
          </w:p>
        </w:tc>
      </w:tr>
      <w:tr w14:paraId="7B970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 w:type="dxa"/>
            <w:vAlign w:val="center"/>
          </w:tcPr>
          <w:p w14:paraId="0FB8095B">
            <w:pPr>
              <w:jc w:val="cente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2</w:t>
            </w:r>
          </w:p>
        </w:tc>
        <w:tc>
          <w:tcPr>
            <w:tcW w:w="1408" w:type="dxa"/>
            <w:vAlign w:val="center"/>
          </w:tcPr>
          <w:p w14:paraId="43F9D37F">
            <w:pPr>
              <w:jc w:val="cente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网络维护组</w:t>
            </w:r>
          </w:p>
        </w:tc>
        <w:tc>
          <w:tcPr>
            <w:tcW w:w="2922" w:type="dxa"/>
            <w:vAlign w:val="center"/>
          </w:tcPr>
          <w:p w14:paraId="00A15F8A">
            <w:pPr>
              <w:jc w:val="left"/>
              <w:rPr>
                <w:rFonts w:ascii="宋体" w:hAnsi="宋体" w:eastAsia="宋体" w:cs="宋体"/>
                <w:bCs/>
                <w:kern w:val="0"/>
                <w:sz w:val="24"/>
                <w:szCs w:val="24"/>
                <w:highlight w:val="none"/>
              </w:rPr>
            </w:pPr>
            <w:r>
              <w:rPr>
                <w:rFonts w:hint="eastAsia" w:ascii="宋体" w:hAnsi="宋体" w:eastAsia="宋体" w:cs="宋体"/>
                <w:sz w:val="24"/>
                <w:szCs w:val="24"/>
                <w:highlight w:val="none"/>
              </w:rPr>
              <w:t>校园有线网络、校园无线网络、重要时期网络保障、重点用户桌面运维、应急响应服务</w:t>
            </w:r>
          </w:p>
        </w:tc>
        <w:tc>
          <w:tcPr>
            <w:tcW w:w="3260" w:type="dxa"/>
            <w:vAlign w:val="center"/>
          </w:tcPr>
          <w:p w14:paraId="0F05DECB">
            <w:pPr>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共7人（其中主管1名，东区、西区和高新校区各2人），人员根据需要在校区间调配。</w:t>
            </w:r>
          </w:p>
        </w:tc>
      </w:tr>
      <w:tr w14:paraId="7965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 w:type="dxa"/>
            <w:vAlign w:val="center"/>
          </w:tcPr>
          <w:p w14:paraId="68AEF0B9">
            <w:pPr>
              <w:jc w:val="center"/>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3</w:t>
            </w:r>
          </w:p>
        </w:tc>
        <w:tc>
          <w:tcPr>
            <w:tcW w:w="1408" w:type="dxa"/>
            <w:vAlign w:val="center"/>
          </w:tcPr>
          <w:p w14:paraId="166CFDDA">
            <w:pPr>
              <w:widowControl/>
              <w:snapToGrid w:val="0"/>
              <w:spacing w:line="240" w:lineRule="atLeast"/>
              <w:jc w:val="center"/>
              <w:rPr>
                <w:rFonts w:ascii="宋体" w:hAnsi="宋体" w:eastAsia="宋体" w:cs="宋体"/>
                <w:bCs/>
                <w:kern w:val="0"/>
                <w:sz w:val="24"/>
                <w:szCs w:val="24"/>
                <w:highlight w:val="none"/>
              </w:rPr>
            </w:pPr>
            <w:r>
              <w:rPr>
                <w:rFonts w:hint="eastAsia" w:ascii="宋体" w:hAnsi="宋体" w:eastAsia="宋体" w:cs="宋体"/>
                <w:sz w:val="24"/>
                <w:szCs w:val="24"/>
                <w:highlight w:val="none"/>
              </w:rPr>
              <w:t>二线支持组（非驻场人员）</w:t>
            </w:r>
          </w:p>
        </w:tc>
        <w:tc>
          <w:tcPr>
            <w:tcW w:w="2922" w:type="dxa"/>
            <w:vAlign w:val="center"/>
          </w:tcPr>
          <w:p w14:paraId="17FF10B2">
            <w:pPr>
              <w:widowControl/>
              <w:snapToGrid w:val="0"/>
              <w:spacing w:line="240" w:lineRule="atLeast"/>
              <w:jc w:val="left"/>
              <w:rPr>
                <w:rFonts w:ascii="宋体" w:hAnsi="宋体" w:eastAsia="宋体" w:cs="宋体"/>
                <w:sz w:val="24"/>
                <w:szCs w:val="24"/>
                <w:highlight w:val="none"/>
              </w:rPr>
            </w:pPr>
            <w:r>
              <w:rPr>
                <w:rFonts w:hint="eastAsia" w:ascii="宋体" w:hAnsi="宋体" w:eastAsia="宋体" w:cs="宋体"/>
                <w:sz w:val="24"/>
                <w:szCs w:val="24"/>
                <w:highlight w:val="none"/>
              </w:rPr>
              <w:t>为服务交付提供全面的技术支持；解决复杂的问题或故障；与运维工程师共同完成重障及应急响应工作</w:t>
            </w:r>
          </w:p>
        </w:tc>
        <w:tc>
          <w:tcPr>
            <w:tcW w:w="3260" w:type="dxa"/>
            <w:vAlign w:val="center"/>
          </w:tcPr>
          <w:p w14:paraId="3BBF5E9C">
            <w:pPr>
              <w:jc w:val="left"/>
              <w:rPr>
                <w:rFonts w:ascii="宋体" w:hAnsi="宋体" w:eastAsia="宋体" w:cs="宋体"/>
                <w:bCs/>
                <w:kern w:val="0"/>
                <w:sz w:val="24"/>
                <w:szCs w:val="24"/>
                <w:highlight w:val="none"/>
              </w:rPr>
            </w:pPr>
            <w:r>
              <w:rPr>
                <w:rFonts w:hint="eastAsia" w:ascii="宋体" w:hAnsi="宋体" w:eastAsia="宋体" w:cs="宋体"/>
                <w:sz w:val="24"/>
                <w:szCs w:val="24"/>
                <w:highlight w:val="none"/>
              </w:rPr>
              <w:t>2名</w:t>
            </w:r>
          </w:p>
        </w:tc>
      </w:tr>
    </w:tbl>
    <w:p w14:paraId="618F3FF4">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（4）规范要求</w:t>
      </w:r>
    </w:p>
    <w:p w14:paraId="664B7624">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建立完善的管理制度、制定工作流程、人员考核制度（月度考核），确定驻场人员岗位职责（应包括人员的上班时间、休息及备勤时间，上班时间的分配等内容），能够对驻场人员的工作进行跟踪及质量监督，要求有完备的文档资料存档。</w:t>
      </w:r>
    </w:p>
    <w:p w14:paraId="2B2DBE4E">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编制运维手册，建立完备的运维过程文档资料，统一格式、做好分类，最终建成运维文档库（利用日常积累的故障及解决方案对问题预先判断），并采用一定的管理软件进行过程管理和运维状态管理。</w:t>
      </w:r>
    </w:p>
    <w:p w14:paraId="3695D58F">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针对网络出现大面积紧急故障或由于其他原因导致服务工程出现人手紧缺，不能及时按规定的用户响应时间完成任务时，中标人需给予全力支持提供应急预案，及时调整人力资源。</w:t>
      </w:r>
    </w:p>
    <w:p w14:paraId="6E266EBF">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确保和提高设备的使用率，做好各类设备运行状况的记录工作，保证运维工作快速有效，制定定期检修及所有设备的巡检计划（按区域分类，每季度至少一次，做好登记并形成文档形式递交），提高监控设备的完好率和降低故障发生率。</w:t>
      </w:r>
    </w:p>
    <w:p w14:paraId="341829CD">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每次更换的所有设备或零配件应同时在运维系统填写有关设备信息存档。对所有设备进行分类登记形成文档，做好设备的管理、分配、调拨等工作，协助做好固定资产登记的工作。</w:t>
      </w:r>
    </w:p>
    <w:p w14:paraId="58463EBC">
      <w:pPr>
        <w:pStyle w:val="63"/>
        <w:numPr>
          <w:ilvl w:val="0"/>
          <w:numId w:val="8"/>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建立人员知识更新制度。包括能力的持续性培养，建立素质模型，明确岗位设置，全面掌握新产品新设备的特点、性能及运维要领，明确运维工作任务、责任和质量要求。</w:t>
      </w:r>
    </w:p>
    <w:p w14:paraId="794ACEB0">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（5）服务级别分类</w:t>
      </w:r>
    </w:p>
    <w:tbl>
      <w:tblPr>
        <w:tblStyle w:val="25"/>
        <w:tblW w:w="0" w:type="auto"/>
        <w:jc w:val="center"/>
        <w:tblLayout w:type="fixed"/>
        <w:tblCellMar>
          <w:top w:w="0" w:type="dxa"/>
          <w:left w:w="108" w:type="dxa"/>
          <w:bottom w:w="0" w:type="dxa"/>
          <w:right w:w="108" w:type="dxa"/>
        </w:tblCellMar>
      </w:tblPr>
      <w:tblGrid>
        <w:gridCol w:w="2282"/>
        <w:gridCol w:w="6897"/>
      </w:tblGrid>
      <w:tr w14:paraId="680FDEC8">
        <w:tblPrEx>
          <w:tblCellMar>
            <w:top w:w="0" w:type="dxa"/>
            <w:left w:w="108" w:type="dxa"/>
            <w:bottom w:w="0" w:type="dxa"/>
            <w:right w:w="108" w:type="dxa"/>
          </w:tblCellMar>
        </w:tblPrEx>
        <w:trPr>
          <w:trHeight w:val="649" w:hRule="atLeast"/>
          <w:jc w:val="center"/>
        </w:trPr>
        <w:tc>
          <w:tcPr>
            <w:tcW w:w="2282" w:type="dxa"/>
            <w:tcBorders>
              <w:top w:val="single" w:color="auto" w:sz="4" w:space="0"/>
              <w:left w:val="single" w:color="auto" w:sz="4" w:space="0"/>
              <w:bottom w:val="single" w:color="auto" w:sz="4" w:space="0"/>
              <w:right w:val="single" w:color="auto" w:sz="4" w:space="0"/>
            </w:tcBorders>
            <w:vAlign w:val="center"/>
          </w:tcPr>
          <w:p w14:paraId="12D405CA">
            <w:pPr>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服务级别定义</w:t>
            </w:r>
          </w:p>
        </w:tc>
        <w:tc>
          <w:tcPr>
            <w:tcW w:w="6897" w:type="dxa"/>
            <w:tcBorders>
              <w:top w:val="single" w:color="auto" w:sz="4" w:space="0"/>
              <w:left w:val="nil"/>
              <w:bottom w:val="single" w:color="auto" w:sz="4" w:space="0"/>
              <w:right w:val="single" w:color="auto" w:sz="4" w:space="0"/>
            </w:tcBorders>
            <w:vAlign w:val="center"/>
          </w:tcPr>
          <w:p w14:paraId="5345024A">
            <w:pPr>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故障现象举例说明</w:t>
            </w:r>
          </w:p>
        </w:tc>
      </w:tr>
      <w:tr w14:paraId="101BD2C6">
        <w:tblPrEx>
          <w:tblCellMar>
            <w:top w:w="0" w:type="dxa"/>
            <w:left w:w="108" w:type="dxa"/>
            <w:bottom w:w="0" w:type="dxa"/>
            <w:right w:w="108" w:type="dxa"/>
          </w:tblCellMar>
        </w:tblPrEx>
        <w:trPr>
          <w:trHeight w:val="760" w:hRule="atLeast"/>
          <w:jc w:val="center"/>
        </w:trPr>
        <w:tc>
          <w:tcPr>
            <w:tcW w:w="2282" w:type="dxa"/>
            <w:tcBorders>
              <w:top w:val="nil"/>
              <w:left w:val="single" w:color="auto" w:sz="4" w:space="0"/>
              <w:bottom w:val="single" w:color="auto" w:sz="4" w:space="0"/>
              <w:right w:val="single" w:color="auto" w:sz="4" w:space="0"/>
            </w:tcBorders>
            <w:vAlign w:val="center"/>
          </w:tcPr>
          <w:p w14:paraId="1E71B4AC">
            <w:pPr>
              <w:jc w:val="center"/>
              <w:rPr>
                <w:rFonts w:ascii="宋体" w:hAnsi="宋体" w:eastAsia="宋体" w:cs="宋体"/>
                <w:sz w:val="24"/>
                <w:szCs w:val="24"/>
                <w:highlight w:val="none"/>
              </w:rPr>
            </w:pPr>
            <w:r>
              <w:rPr>
                <w:rFonts w:hint="eastAsia" w:ascii="宋体" w:hAnsi="宋体" w:eastAsia="宋体" w:cs="宋体"/>
                <w:sz w:val="24"/>
                <w:szCs w:val="24"/>
                <w:highlight w:val="none"/>
              </w:rPr>
              <w:t>一级（L1）</w:t>
            </w:r>
          </w:p>
          <w:p w14:paraId="2E344736">
            <w:pPr>
              <w:jc w:val="center"/>
              <w:rPr>
                <w:rFonts w:ascii="宋体" w:hAnsi="宋体" w:eastAsia="宋体" w:cs="宋体"/>
                <w:sz w:val="24"/>
                <w:szCs w:val="24"/>
                <w:highlight w:val="none"/>
              </w:rPr>
            </w:pPr>
            <w:r>
              <w:rPr>
                <w:rFonts w:hint="eastAsia" w:ascii="宋体" w:hAnsi="宋体" w:eastAsia="宋体" w:cs="宋体"/>
                <w:sz w:val="24"/>
                <w:szCs w:val="24"/>
                <w:highlight w:val="none"/>
              </w:rPr>
              <w:t>非常紧急</w:t>
            </w:r>
          </w:p>
        </w:tc>
        <w:tc>
          <w:tcPr>
            <w:tcW w:w="6897" w:type="dxa"/>
            <w:tcBorders>
              <w:top w:val="nil"/>
              <w:left w:val="nil"/>
              <w:bottom w:val="single" w:color="auto" w:sz="4" w:space="0"/>
              <w:right w:val="single" w:color="auto" w:sz="4" w:space="0"/>
            </w:tcBorders>
            <w:vAlign w:val="center"/>
          </w:tcPr>
          <w:p w14:paraId="53932673">
            <w:pPr>
              <w:widowControl/>
              <w:adjustRightInd w:val="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1）1栋楼及以上的片区故障或接入汇聚、光纤故障；</w:t>
            </w:r>
          </w:p>
          <w:p w14:paraId="52B68517">
            <w:pPr>
              <w:widowControl/>
              <w:adjustRightInd w:val="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2）重点校园网用户服务；</w:t>
            </w:r>
          </w:p>
        </w:tc>
      </w:tr>
      <w:tr w14:paraId="0720FE91">
        <w:tblPrEx>
          <w:tblCellMar>
            <w:top w:w="0" w:type="dxa"/>
            <w:left w:w="108" w:type="dxa"/>
            <w:bottom w:w="0" w:type="dxa"/>
            <w:right w:w="108" w:type="dxa"/>
          </w:tblCellMar>
        </w:tblPrEx>
        <w:trPr>
          <w:trHeight w:val="649" w:hRule="atLeast"/>
          <w:jc w:val="center"/>
        </w:trPr>
        <w:tc>
          <w:tcPr>
            <w:tcW w:w="2282" w:type="dxa"/>
            <w:tcBorders>
              <w:top w:val="nil"/>
              <w:left w:val="single" w:color="auto" w:sz="4" w:space="0"/>
              <w:bottom w:val="single" w:color="auto" w:sz="4" w:space="0"/>
              <w:right w:val="single" w:color="auto" w:sz="4" w:space="0"/>
            </w:tcBorders>
            <w:vAlign w:val="center"/>
          </w:tcPr>
          <w:p w14:paraId="512E41C7">
            <w:pPr>
              <w:jc w:val="center"/>
              <w:rPr>
                <w:rFonts w:ascii="宋体" w:hAnsi="宋体" w:eastAsia="宋体" w:cs="宋体"/>
                <w:sz w:val="24"/>
                <w:szCs w:val="24"/>
                <w:highlight w:val="none"/>
              </w:rPr>
            </w:pPr>
            <w:r>
              <w:rPr>
                <w:rFonts w:hint="eastAsia" w:ascii="宋体" w:hAnsi="宋体" w:eastAsia="宋体" w:cs="宋体"/>
                <w:sz w:val="24"/>
                <w:szCs w:val="24"/>
                <w:highlight w:val="none"/>
              </w:rPr>
              <w:t>二级（L2）</w:t>
            </w:r>
          </w:p>
          <w:p w14:paraId="45030CC7">
            <w:pPr>
              <w:jc w:val="center"/>
              <w:rPr>
                <w:rFonts w:ascii="宋体" w:hAnsi="宋体" w:eastAsia="宋体" w:cs="宋体"/>
                <w:sz w:val="24"/>
                <w:szCs w:val="24"/>
                <w:highlight w:val="none"/>
              </w:rPr>
            </w:pPr>
            <w:r>
              <w:rPr>
                <w:rFonts w:hint="eastAsia" w:ascii="宋体" w:hAnsi="宋体" w:eastAsia="宋体" w:cs="宋体"/>
                <w:sz w:val="24"/>
                <w:szCs w:val="24"/>
                <w:highlight w:val="none"/>
              </w:rPr>
              <w:t>紧急</w:t>
            </w:r>
          </w:p>
        </w:tc>
        <w:tc>
          <w:tcPr>
            <w:tcW w:w="6897" w:type="dxa"/>
            <w:tcBorders>
              <w:top w:val="nil"/>
              <w:left w:val="nil"/>
              <w:bottom w:val="single" w:color="auto" w:sz="4" w:space="0"/>
              <w:right w:val="single" w:color="auto" w:sz="4" w:space="0"/>
            </w:tcBorders>
            <w:vAlign w:val="center"/>
          </w:tcPr>
          <w:p w14:paraId="557958D1">
            <w:pPr>
              <w:widowControl/>
              <w:adjustRightInd w:val="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1）1台以上接入交换机故障</w:t>
            </w:r>
          </w:p>
          <w:p w14:paraId="3C1F4C05">
            <w:pPr>
              <w:widowControl/>
              <w:adjustRightInd w:val="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2）普通校园网用户服务</w:t>
            </w:r>
          </w:p>
        </w:tc>
      </w:tr>
      <w:tr w14:paraId="1D68592A">
        <w:tblPrEx>
          <w:tblCellMar>
            <w:top w:w="0" w:type="dxa"/>
            <w:left w:w="108" w:type="dxa"/>
            <w:bottom w:w="0" w:type="dxa"/>
            <w:right w:w="108" w:type="dxa"/>
          </w:tblCellMar>
        </w:tblPrEx>
        <w:trPr>
          <w:trHeight w:val="660" w:hRule="atLeast"/>
          <w:jc w:val="center"/>
        </w:trPr>
        <w:tc>
          <w:tcPr>
            <w:tcW w:w="2282" w:type="dxa"/>
            <w:tcBorders>
              <w:top w:val="nil"/>
              <w:left w:val="single" w:color="auto" w:sz="4" w:space="0"/>
              <w:bottom w:val="single" w:color="auto" w:sz="4" w:space="0"/>
              <w:right w:val="single" w:color="auto" w:sz="4" w:space="0"/>
            </w:tcBorders>
            <w:vAlign w:val="center"/>
          </w:tcPr>
          <w:p w14:paraId="79B245CE">
            <w:pPr>
              <w:jc w:val="center"/>
              <w:rPr>
                <w:rFonts w:ascii="宋体" w:hAnsi="宋体" w:eastAsia="宋体" w:cs="宋体"/>
                <w:sz w:val="24"/>
                <w:szCs w:val="24"/>
                <w:highlight w:val="none"/>
              </w:rPr>
            </w:pPr>
            <w:r>
              <w:rPr>
                <w:rFonts w:hint="eastAsia" w:ascii="宋体" w:hAnsi="宋体" w:eastAsia="宋体" w:cs="宋体"/>
                <w:sz w:val="24"/>
                <w:szCs w:val="24"/>
                <w:highlight w:val="none"/>
              </w:rPr>
              <w:t>三级（L3）</w:t>
            </w:r>
          </w:p>
          <w:p w14:paraId="3D539B0F">
            <w:pPr>
              <w:jc w:val="center"/>
              <w:rPr>
                <w:rFonts w:ascii="宋体" w:hAnsi="宋体" w:eastAsia="宋体" w:cs="宋体"/>
                <w:sz w:val="24"/>
                <w:szCs w:val="24"/>
                <w:highlight w:val="none"/>
              </w:rPr>
            </w:pPr>
            <w:r>
              <w:rPr>
                <w:rFonts w:hint="eastAsia" w:ascii="宋体" w:hAnsi="宋体" w:eastAsia="宋体" w:cs="宋体"/>
                <w:sz w:val="24"/>
                <w:szCs w:val="24"/>
                <w:highlight w:val="none"/>
              </w:rPr>
              <w:t>普通</w:t>
            </w:r>
          </w:p>
        </w:tc>
        <w:tc>
          <w:tcPr>
            <w:tcW w:w="6897" w:type="dxa"/>
            <w:tcBorders>
              <w:top w:val="nil"/>
              <w:left w:val="nil"/>
              <w:bottom w:val="single" w:color="auto" w:sz="4" w:space="0"/>
              <w:right w:val="single" w:color="auto" w:sz="4" w:space="0"/>
            </w:tcBorders>
            <w:vAlign w:val="center"/>
          </w:tcPr>
          <w:p w14:paraId="7A5015E1">
            <w:pPr>
              <w:widowControl/>
              <w:adjustRightInd w:val="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个别用户故障</w:t>
            </w:r>
          </w:p>
        </w:tc>
      </w:tr>
    </w:tbl>
    <w:p w14:paraId="438466B8">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（6）服务级别响应</w:t>
      </w:r>
    </w:p>
    <w:tbl>
      <w:tblPr>
        <w:tblStyle w:val="25"/>
        <w:tblW w:w="9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2268"/>
        <w:gridCol w:w="2693"/>
        <w:gridCol w:w="2511"/>
      </w:tblGrid>
      <w:tr w14:paraId="6073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38" w:type="dxa"/>
            <w:vAlign w:val="center"/>
          </w:tcPr>
          <w:p w14:paraId="7D91306C">
            <w:pPr>
              <w:autoSpaceDE w:val="0"/>
              <w:autoSpaceDN w:val="0"/>
              <w:adjustRightInd w:val="0"/>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等级说明</w:t>
            </w:r>
          </w:p>
        </w:tc>
        <w:tc>
          <w:tcPr>
            <w:tcW w:w="2268" w:type="dxa"/>
            <w:vAlign w:val="center"/>
          </w:tcPr>
          <w:p w14:paraId="0CCB57B3">
            <w:pPr>
              <w:autoSpaceDE w:val="0"/>
              <w:autoSpaceDN w:val="0"/>
              <w:adjustRightInd w:val="0"/>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一级（L1）</w:t>
            </w:r>
          </w:p>
        </w:tc>
        <w:tc>
          <w:tcPr>
            <w:tcW w:w="2693" w:type="dxa"/>
            <w:vAlign w:val="center"/>
          </w:tcPr>
          <w:p w14:paraId="5CAFC43D">
            <w:pPr>
              <w:autoSpaceDE w:val="0"/>
              <w:autoSpaceDN w:val="0"/>
              <w:adjustRightInd w:val="0"/>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二级（L2）</w:t>
            </w:r>
          </w:p>
        </w:tc>
        <w:tc>
          <w:tcPr>
            <w:tcW w:w="2511" w:type="dxa"/>
            <w:vAlign w:val="center"/>
          </w:tcPr>
          <w:p w14:paraId="7CE84640">
            <w:pPr>
              <w:autoSpaceDE w:val="0"/>
              <w:autoSpaceDN w:val="0"/>
              <w:adjustRightInd w:val="0"/>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三级（L3）</w:t>
            </w:r>
          </w:p>
        </w:tc>
      </w:tr>
      <w:tr w14:paraId="5218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14:paraId="7BB34D5D">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首次（电话）响应</w:t>
            </w:r>
          </w:p>
        </w:tc>
        <w:tc>
          <w:tcPr>
            <w:tcW w:w="2268" w:type="dxa"/>
            <w:vAlign w:val="center"/>
          </w:tcPr>
          <w:p w14:paraId="3AC1A5A7">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7×8×5分钟</w:t>
            </w:r>
          </w:p>
        </w:tc>
        <w:tc>
          <w:tcPr>
            <w:tcW w:w="2693" w:type="dxa"/>
            <w:vAlign w:val="center"/>
          </w:tcPr>
          <w:p w14:paraId="6AD2CBF6">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7×8×10分钟</w:t>
            </w:r>
          </w:p>
        </w:tc>
        <w:tc>
          <w:tcPr>
            <w:tcW w:w="2511" w:type="dxa"/>
            <w:vAlign w:val="center"/>
          </w:tcPr>
          <w:p w14:paraId="2220D180">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7×8×30分钟</w:t>
            </w:r>
          </w:p>
        </w:tc>
      </w:tr>
      <w:tr w14:paraId="78489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Align w:val="center"/>
          </w:tcPr>
          <w:p w14:paraId="43BACC9F">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到达现场响应</w:t>
            </w:r>
          </w:p>
        </w:tc>
        <w:tc>
          <w:tcPr>
            <w:tcW w:w="2268" w:type="dxa"/>
            <w:vAlign w:val="center"/>
          </w:tcPr>
          <w:p w14:paraId="71A7CD47">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7×8×30分钟</w:t>
            </w:r>
          </w:p>
        </w:tc>
        <w:tc>
          <w:tcPr>
            <w:tcW w:w="2693" w:type="dxa"/>
            <w:vAlign w:val="center"/>
          </w:tcPr>
          <w:p w14:paraId="06C74F9E">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7×8×60分钟</w:t>
            </w:r>
          </w:p>
        </w:tc>
        <w:tc>
          <w:tcPr>
            <w:tcW w:w="2511" w:type="dxa"/>
            <w:vAlign w:val="center"/>
          </w:tcPr>
          <w:p w14:paraId="63C2BF12">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7×8×120分钟</w:t>
            </w:r>
          </w:p>
        </w:tc>
      </w:tr>
      <w:tr w14:paraId="24125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838" w:type="dxa"/>
            <w:vAlign w:val="center"/>
          </w:tcPr>
          <w:p w14:paraId="7A7FCE6F">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升级二线响应</w:t>
            </w:r>
          </w:p>
        </w:tc>
        <w:tc>
          <w:tcPr>
            <w:tcW w:w="2268" w:type="dxa"/>
            <w:vAlign w:val="center"/>
          </w:tcPr>
          <w:p w14:paraId="5D51D05A">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60分钟内</w:t>
            </w:r>
          </w:p>
        </w:tc>
        <w:tc>
          <w:tcPr>
            <w:tcW w:w="2693" w:type="dxa"/>
            <w:vAlign w:val="center"/>
          </w:tcPr>
          <w:p w14:paraId="148DAEEE">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120分钟内</w:t>
            </w:r>
          </w:p>
        </w:tc>
        <w:tc>
          <w:tcPr>
            <w:tcW w:w="2511" w:type="dxa"/>
            <w:vAlign w:val="center"/>
          </w:tcPr>
          <w:p w14:paraId="4E885AC0">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120分钟内</w:t>
            </w:r>
          </w:p>
        </w:tc>
      </w:tr>
      <w:tr w14:paraId="5118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838" w:type="dxa"/>
            <w:vAlign w:val="center"/>
          </w:tcPr>
          <w:p w14:paraId="7B09E223">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故障恢复时间</w:t>
            </w:r>
          </w:p>
        </w:tc>
        <w:tc>
          <w:tcPr>
            <w:tcW w:w="2268" w:type="dxa"/>
            <w:vAlign w:val="center"/>
          </w:tcPr>
          <w:p w14:paraId="10BE40C0">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4小时,4小时内不能恢复，提供应急方案</w:t>
            </w:r>
          </w:p>
        </w:tc>
        <w:tc>
          <w:tcPr>
            <w:tcW w:w="2693" w:type="dxa"/>
            <w:vAlign w:val="center"/>
          </w:tcPr>
          <w:p w14:paraId="065009A5">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12小时,12小时内不能恢复，提供应急方案</w:t>
            </w:r>
          </w:p>
        </w:tc>
        <w:tc>
          <w:tcPr>
            <w:tcW w:w="2511" w:type="dxa"/>
            <w:vAlign w:val="center"/>
          </w:tcPr>
          <w:p w14:paraId="3DB4D5B0">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24小时,24小时内不能恢复，提供应急方案</w:t>
            </w:r>
          </w:p>
        </w:tc>
      </w:tr>
      <w:tr w14:paraId="51977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838" w:type="dxa"/>
            <w:vAlign w:val="center"/>
          </w:tcPr>
          <w:p w14:paraId="217CD3E3">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客户满意度</w:t>
            </w:r>
          </w:p>
        </w:tc>
        <w:tc>
          <w:tcPr>
            <w:tcW w:w="2268" w:type="dxa"/>
            <w:vAlign w:val="center"/>
          </w:tcPr>
          <w:p w14:paraId="29D68765">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≥95%</w:t>
            </w:r>
          </w:p>
        </w:tc>
        <w:tc>
          <w:tcPr>
            <w:tcW w:w="2693" w:type="dxa"/>
            <w:vAlign w:val="center"/>
          </w:tcPr>
          <w:p w14:paraId="581DE2CC">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≥90%</w:t>
            </w:r>
          </w:p>
        </w:tc>
        <w:tc>
          <w:tcPr>
            <w:tcW w:w="2511" w:type="dxa"/>
            <w:vAlign w:val="center"/>
          </w:tcPr>
          <w:p w14:paraId="34EE57A3">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≥90%</w:t>
            </w:r>
          </w:p>
        </w:tc>
      </w:tr>
      <w:tr w14:paraId="5D510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838" w:type="dxa"/>
            <w:vAlign w:val="center"/>
          </w:tcPr>
          <w:p w14:paraId="685A0D72">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提交报告时间</w:t>
            </w:r>
          </w:p>
        </w:tc>
        <w:tc>
          <w:tcPr>
            <w:tcW w:w="2268" w:type="dxa"/>
            <w:vAlign w:val="center"/>
          </w:tcPr>
          <w:p w14:paraId="433ECF44">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事后1个工作日内</w:t>
            </w:r>
          </w:p>
        </w:tc>
        <w:tc>
          <w:tcPr>
            <w:tcW w:w="2693" w:type="dxa"/>
            <w:vAlign w:val="center"/>
          </w:tcPr>
          <w:p w14:paraId="61601AFF">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事后2个工作日内</w:t>
            </w:r>
          </w:p>
        </w:tc>
        <w:tc>
          <w:tcPr>
            <w:tcW w:w="2511" w:type="dxa"/>
            <w:vAlign w:val="center"/>
          </w:tcPr>
          <w:p w14:paraId="3C393EF8">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一月一报</w:t>
            </w:r>
          </w:p>
        </w:tc>
      </w:tr>
      <w:tr w14:paraId="7B838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838" w:type="dxa"/>
            <w:vAlign w:val="center"/>
          </w:tcPr>
          <w:p w14:paraId="02593262">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故障受理方式</w:t>
            </w:r>
          </w:p>
        </w:tc>
        <w:tc>
          <w:tcPr>
            <w:tcW w:w="7472" w:type="dxa"/>
            <w:gridSpan w:val="3"/>
            <w:vAlign w:val="center"/>
          </w:tcPr>
          <w:p w14:paraId="7BB304C1">
            <w:pPr>
              <w:autoSpaceDE w:val="0"/>
              <w:autoSpaceDN w:val="0"/>
              <w:adjustRightInd w:val="0"/>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服务台、手机、固定电话、邮件等</w:t>
            </w:r>
          </w:p>
        </w:tc>
      </w:tr>
    </w:tbl>
    <w:p w14:paraId="308669A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（7）应急预案</w:t>
      </w:r>
    </w:p>
    <w:p w14:paraId="73EB3430">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提供完善的应急预案方案书。应对突发事件的事前预防和预警，以及事后紧急处理。</w:t>
      </w:r>
    </w:p>
    <w:p w14:paraId="238C2769">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（8）安全保密（信息安全）</w:t>
      </w:r>
    </w:p>
    <w:p w14:paraId="535863E2">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要求中标人与采购人在合同里签订信息安全保密条款，同时要求中标人项目组成人员与采购人签订信息安全保密协议，明确安全保密的内容、细则和违反协议所需要承担的责任。</w:t>
      </w:r>
    </w:p>
    <w:p w14:paraId="1774B3B6">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中标人应该经常性举行安全保密信息安全意识培训，经常注意运维人员的思想和行为动态，发现安全隐患，立即采取措施妥善处理。</w:t>
      </w:r>
    </w:p>
    <w:p w14:paraId="44160E9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2.4.服务考核</w:t>
      </w:r>
    </w:p>
    <w:p w14:paraId="3E19843D">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（1）考核标准</w:t>
      </w:r>
    </w:p>
    <w:p w14:paraId="2CE3FF7E">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中标人应满足并达到以下要求：</w:t>
      </w:r>
    </w:p>
    <w:p w14:paraId="0E45DC2D">
      <w:pPr>
        <w:pStyle w:val="63"/>
        <w:numPr>
          <w:ilvl w:val="0"/>
          <w:numId w:val="9"/>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业务处理</w:t>
      </w:r>
    </w:p>
    <w:p w14:paraId="7AFE8D15">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安排人员驻场，及时地响应和处理各类业务咨询、报障及业务处理；</w:t>
      </w:r>
    </w:p>
    <w:p w14:paraId="7E3A2401">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按时完成日常检测、巡检、定期维护、维修和更换等工作。</w:t>
      </w:r>
    </w:p>
    <w:p w14:paraId="20EC769B">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特殊事件、紧急事件和事故处理等工作结束后2日内提交相关文档。</w:t>
      </w:r>
    </w:p>
    <w:p w14:paraId="6A1DCC6A">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进行及时有效的沟通，及时商讨项目进展状况，以及对可能发生的问题进行预测</w:t>
      </w:r>
    </w:p>
    <w:p w14:paraId="198E3B85">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按周/月度提供运维报告。</w:t>
      </w:r>
    </w:p>
    <w:p w14:paraId="3CB145C8">
      <w:pPr>
        <w:pStyle w:val="63"/>
        <w:numPr>
          <w:ilvl w:val="0"/>
          <w:numId w:val="10"/>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中标人要严肃、慎重对待相关运维工作，以免引起大面积断网或其他事故。如果有5次以上出现非不可抗力因素出现的大面积断网（同时有1栋以上楼宇断网）、因驻场人员运维不到位引起的2次以上事故采购人有权终止合同。</w:t>
      </w:r>
    </w:p>
    <w:p w14:paraId="613DDC95">
      <w:pPr>
        <w:pStyle w:val="63"/>
        <w:numPr>
          <w:ilvl w:val="0"/>
          <w:numId w:val="9"/>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维护人员和服务台</w:t>
      </w:r>
    </w:p>
    <w:p w14:paraId="3DF5893B">
      <w:pPr>
        <w:pStyle w:val="63"/>
        <w:numPr>
          <w:ilvl w:val="0"/>
          <w:numId w:val="11"/>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驻场人员要按照各相关部门职责要求，完成各项工作。</w:t>
      </w:r>
    </w:p>
    <w:p w14:paraId="4BF1A340">
      <w:pPr>
        <w:pStyle w:val="63"/>
        <w:numPr>
          <w:ilvl w:val="0"/>
          <w:numId w:val="11"/>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故障受理率要求达到100%，并按照服务级别对事件进行响应。</w:t>
      </w:r>
    </w:p>
    <w:p w14:paraId="5720926B">
      <w:pPr>
        <w:pStyle w:val="63"/>
        <w:numPr>
          <w:ilvl w:val="0"/>
          <w:numId w:val="11"/>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运维服务公司需定期对驻场人员进行培训，并提交培训记录表。</w:t>
      </w:r>
    </w:p>
    <w:p w14:paraId="426C130B">
      <w:pPr>
        <w:pStyle w:val="63"/>
        <w:numPr>
          <w:ilvl w:val="0"/>
          <w:numId w:val="9"/>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巡检和保养</w:t>
      </w:r>
    </w:p>
    <w:p w14:paraId="78345366">
      <w:pPr>
        <w:pStyle w:val="63"/>
        <w:numPr>
          <w:ilvl w:val="0"/>
          <w:numId w:val="12"/>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按时按质按量完成日常检测、巡检、定期保养升级等工作。</w:t>
      </w:r>
    </w:p>
    <w:p w14:paraId="4B542318">
      <w:pPr>
        <w:pStyle w:val="63"/>
        <w:numPr>
          <w:ilvl w:val="0"/>
          <w:numId w:val="12"/>
        </w:numPr>
        <w:spacing w:line="360" w:lineRule="auto"/>
        <w:ind w:left="0" w:firstLine="438"/>
        <w:rPr>
          <w:rFonts w:ascii="宋体" w:hAnsi="宋体" w:eastAsia="宋体" w:cs="宋体"/>
          <w:sz w:val="24"/>
          <w:szCs w:val="24"/>
          <w:highlight w:val="none"/>
        </w:rPr>
      </w:pPr>
      <w:r>
        <w:rPr>
          <w:rFonts w:hint="eastAsia" w:ascii="宋体" w:hAnsi="宋体" w:eastAsia="宋体" w:cs="宋体"/>
          <w:sz w:val="24"/>
          <w:szCs w:val="24"/>
          <w:highlight w:val="none"/>
        </w:rPr>
        <w:t>按照服务级别要求提供各区域或系统的巡检和保养服务，并提供报告。</w:t>
      </w:r>
    </w:p>
    <w:p w14:paraId="23A37DE1">
      <w:pPr>
        <w:pStyle w:val="63"/>
        <w:numPr>
          <w:ilvl w:val="0"/>
          <w:numId w:val="9"/>
        </w:numPr>
        <w:spacing w:line="360" w:lineRule="auto"/>
        <w:ind w:left="0" w:firstLine="440"/>
        <w:rPr>
          <w:rFonts w:ascii="宋体" w:hAnsi="宋体" w:eastAsia="宋体" w:cs="宋体"/>
          <w:b/>
          <w:bCs/>
          <w:sz w:val="24"/>
          <w:szCs w:val="24"/>
          <w:highlight w:val="none"/>
        </w:rPr>
      </w:pPr>
      <w:r>
        <w:rPr>
          <w:rFonts w:hint="eastAsia" w:ascii="宋体" w:hAnsi="宋体" w:eastAsia="宋体" w:cs="宋体"/>
          <w:b/>
          <w:bCs/>
          <w:sz w:val="24"/>
          <w:szCs w:val="24"/>
          <w:highlight w:val="none"/>
        </w:rPr>
        <w:t>客户满意度</w:t>
      </w:r>
    </w:p>
    <w:p w14:paraId="764D5924">
      <w:pPr>
        <w:pStyle w:val="63"/>
        <w:spacing w:line="360" w:lineRule="auto"/>
        <w:ind w:firstLine="480"/>
        <w:rPr>
          <w:highlight w:val="none"/>
        </w:rPr>
      </w:pPr>
      <w:r>
        <w:rPr>
          <w:rFonts w:hint="eastAsia" w:ascii="宋体" w:hAnsi="宋体" w:eastAsia="宋体" w:cs="宋体"/>
          <w:sz w:val="24"/>
          <w:szCs w:val="24"/>
          <w:highlight w:val="none"/>
        </w:rPr>
        <w:t>对故障处理事件进行服务质量回访，重点事件100%回访，一般事件50%回访；总体服务质量回访评定需要达到95%以上的满意度。</w:t>
      </w:r>
      <w:bookmarkStart w:id="3" w:name="_GoBack"/>
      <w:bookmarkEnd w:id="3"/>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8337D">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w="6350">
                        <a:noFill/>
                      </a:ln>
                    </wps:spPr>
                    <wps:txbx>
                      <w:txbxContent>
                        <w:p w14:paraId="33E2A898">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cqzP2dEAAAAD&#10;AQAADwAAAGRycy9kb3ducmV2LnhtbE2PQU/DMAyF70j8h8hI3FjSgRgqTScxUY5IrBw4Zo1pC4lT&#10;JVlX/j2GC1z8ZD3rvc/VdvFOzBjTGEhDsVIgkLpgR+o1vLbN1R2IlA1Z4wKhhi9MsK3PzypT2nCi&#10;F5z3uRccQqk0Goacp1LK1A3oTVqFCYm99xC9ybzGXtpoThzunVwrdSu9GYkbBjPhbsDuc3/0GnZN&#10;28YZU3Rv+NRcfzw/3ODjovXlRaHuQWRc8t8x/OAzOtTMdAhHskk4DfxI/p3srTcFiAOr2oCsK/mf&#10;vf4GUEsDBBQAAAAIAIdO4kC4rQymMQIAAFMEAAAOAAAAZHJzL2Uyb0RvYy54bWytVMGO0zAQvSPx&#10;D5bvNGm7XVZR01XZqgipYlcqiLPrOE0k22PZbpPyAfAHnLjsne/qdzB2ki5aOOyBizP2jN/4vZnJ&#10;/LZVkhyFdTXonI5HKSVCcyhqvc/p50/rNzeUOM90wSRokdOTcPR28frVvDGZmEAFshCWIIh2WWNy&#10;WnlvsiRxvBKKuREYodFZglXM49buk8KyBtGVTCZpep00YAtjgQvn8HTVOWmPaF8CCGVZc7ECflBC&#10;+w7VCsk8UnJVbRxdxNeWpeD+viyd8ETmFJn6uGIStHdhTRZzlu0tM1XN+yewlzzhGSfFao1JL1Ar&#10;5hk52PovKFVzCw5KP+Kgko5IVARZjNNn2mwrZkTkglI7cxHd/T9Y/vH4YEld5HRCiWYKC37+8f38&#10;89f58RuZBnka4zKM2hqM8+07aLFphnOHh4F1W1oVvsiHoB/FPV3EFa0nPFx6O0lvZpRwdI2n46ur&#10;WUBJni4b6/x7AYoEI6cWaxclZceN813oEBJyaVjXUsb6SU2anF5PZ2m8cPEguNSYI1Donhos3+7a&#10;ntcOihPSstD1hTN8XWPyDXP+gVlsBGSCo+LvcSklYBLoLUoqsF//dR7isT7opaTBxsqpxjmiRH7Q&#10;WLfQg4NhB2M3GPqg7gA7dYwjaHg08YL1cjBLC+oLzs8y5EAX0xwz5dQP5p3vmhvnj4vlMgZhpxnm&#10;N3preIAO4jmzPHgUMOoaROmU6LXCXouV6eciNPOf+xj19C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yrM/Z0QAAAAMBAAAPAAAAAAAAAAEAIAAAACIAAABkcnMvZG93bnJldi54bWxQSwECFAAU&#10;AAAACACHTuJAuK0MpjECAABTBAAADgAAAAAAAAABACAAAAAgAQAAZHJzL2Uyb0RvYy54bWxQSwUG&#10;AAAAAAYABgBZAQAAwwUAAAAA&#10;">
              <v:fill on="f" focussize="0,0"/>
              <v:stroke on="f" weight="0.5pt"/>
              <v:imagedata o:title=""/>
              <o:lock v:ext="edit" aspectratio="f"/>
              <v:textbox inset="0mm,0mm,0mm,0mm" style="mso-fit-shape-to-text:t;">
                <w:txbxContent>
                  <w:p w14:paraId="33E2A898">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63</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5BA8F">
    <w:pPr>
      <w:pStyle w:val="17"/>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1718E"/>
    <w:multiLevelType w:val="multilevel"/>
    <w:tmpl w:val="0651718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324B7B"/>
    <w:multiLevelType w:val="multilevel"/>
    <w:tmpl w:val="07324B7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84B4FC9"/>
    <w:multiLevelType w:val="multilevel"/>
    <w:tmpl w:val="084B4FC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E3D6E4E"/>
    <w:multiLevelType w:val="multilevel"/>
    <w:tmpl w:val="0E3D6E4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93254AA"/>
    <w:multiLevelType w:val="multilevel"/>
    <w:tmpl w:val="193254A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2F5581C"/>
    <w:multiLevelType w:val="multilevel"/>
    <w:tmpl w:val="22F5581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4A7655F"/>
    <w:multiLevelType w:val="multilevel"/>
    <w:tmpl w:val="24A7655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D1B21A9"/>
    <w:multiLevelType w:val="multilevel"/>
    <w:tmpl w:val="5D1B21A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7F160A2"/>
    <w:multiLevelType w:val="multilevel"/>
    <w:tmpl w:val="67F160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8BD6029"/>
    <w:multiLevelType w:val="multilevel"/>
    <w:tmpl w:val="68BD602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EA74E18"/>
    <w:multiLevelType w:val="multilevel"/>
    <w:tmpl w:val="6EA74E1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7C935648"/>
    <w:multiLevelType w:val="multilevel"/>
    <w:tmpl w:val="7C9356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7"/>
  </w:num>
  <w:num w:numId="3">
    <w:abstractNumId w:val="0"/>
  </w:num>
  <w:num w:numId="4">
    <w:abstractNumId w:val="2"/>
  </w:num>
  <w:num w:numId="5">
    <w:abstractNumId w:val="11"/>
  </w:num>
  <w:num w:numId="6">
    <w:abstractNumId w:val="3"/>
  </w:num>
  <w:num w:numId="7">
    <w:abstractNumId w:val="5"/>
  </w:num>
  <w:num w:numId="8">
    <w:abstractNumId w:val="1"/>
  </w:num>
  <w:num w:numId="9">
    <w:abstractNumId w:val="6"/>
  </w:num>
  <w:num w:numId="10">
    <w:abstractNumId w:val="9"/>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172A27"/>
    <w:rsid w:val="0000043F"/>
    <w:rsid w:val="000049DA"/>
    <w:rsid w:val="000056B7"/>
    <w:rsid w:val="00012A13"/>
    <w:rsid w:val="000131F7"/>
    <w:rsid w:val="00016B6C"/>
    <w:rsid w:val="00020B57"/>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4D41"/>
    <w:rsid w:val="00097CB9"/>
    <w:rsid w:val="000A4640"/>
    <w:rsid w:val="000A6345"/>
    <w:rsid w:val="000A6693"/>
    <w:rsid w:val="000A6B73"/>
    <w:rsid w:val="000A7D94"/>
    <w:rsid w:val="000B1511"/>
    <w:rsid w:val="000B54F4"/>
    <w:rsid w:val="000C1DB1"/>
    <w:rsid w:val="000D39BB"/>
    <w:rsid w:val="000D3F37"/>
    <w:rsid w:val="000D6F42"/>
    <w:rsid w:val="000E3C74"/>
    <w:rsid w:val="000E3F9B"/>
    <w:rsid w:val="000E6689"/>
    <w:rsid w:val="000F014C"/>
    <w:rsid w:val="000F172B"/>
    <w:rsid w:val="000F2198"/>
    <w:rsid w:val="000F39B6"/>
    <w:rsid w:val="000F6B7B"/>
    <w:rsid w:val="000F7386"/>
    <w:rsid w:val="00100B0F"/>
    <w:rsid w:val="0010187C"/>
    <w:rsid w:val="001037E3"/>
    <w:rsid w:val="00110911"/>
    <w:rsid w:val="00112B58"/>
    <w:rsid w:val="00116A70"/>
    <w:rsid w:val="0012143A"/>
    <w:rsid w:val="001222C6"/>
    <w:rsid w:val="001363BB"/>
    <w:rsid w:val="00136D80"/>
    <w:rsid w:val="00137C00"/>
    <w:rsid w:val="00137C7C"/>
    <w:rsid w:val="00140687"/>
    <w:rsid w:val="00141707"/>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520B"/>
    <w:rsid w:val="00213C55"/>
    <w:rsid w:val="002163CF"/>
    <w:rsid w:val="0021678B"/>
    <w:rsid w:val="002168C4"/>
    <w:rsid w:val="002178B1"/>
    <w:rsid w:val="00223CF4"/>
    <w:rsid w:val="00224C4A"/>
    <w:rsid w:val="0022769B"/>
    <w:rsid w:val="0023407E"/>
    <w:rsid w:val="00236F8C"/>
    <w:rsid w:val="00240B40"/>
    <w:rsid w:val="002440D8"/>
    <w:rsid w:val="00244182"/>
    <w:rsid w:val="00247222"/>
    <w:rsid w:val="00260B94"/>
    <w:rsid w:val="0026362D"/>
    <w:rsid w:val="00264F2E"/>
    <w:rsid w:val="00271245"/>
    <w:rsid w:val="00272E6E"/>
    <w:rsid w:val="00274A9E"/>
    <w:rsid w:val="00276292"/>
    <w:rsid w:val="00276BA1"/>
    <w:rsid w:val="00277094"/>
    <w:rsid w:val="002A0C9D"/>
    <w:rsid w:val="002A1A1D"/>
    <w:rsid w:val="002A28AD"/>
    <w:rsid w:val="002A3AEE"/>
    <w:rsid w:val="002B2F5A"/>
    <w:rsid w:val="002B5318"/>
    <w:rsid w:val="002B6D27"/>
    <w:rsid w:val="002C4BA9"/>
    <w:rsid w:val="002D1258"/>
    <w:rsid w:val="002D1E70"/>
    <w:rsid w:val="002D2965"/>
    <w:rsid w:val="002D3D02"/>
    <w:rsid w:val="002D4CB5"/>
    <w:rsid w:val="002D5712"/>
    <w:rsid w:val="002D684B"/>
    <w:rsid w:val="002E24F4"/>
    <w:rsid w:val="002E3B26"/>
    <w:rsid w:val="002E4AB8"/>
    <w:rsid w:val="002F092B"/>
    <w:rsid w:val="002F0AE2"/>
    <w:rsid w:val="00300808"/>
    <w:rsid w:val="00307A22"/>
    <w:rsid w:val="00310070"/>
    <w:rsid w:val="003110EC"/>
    <w:rsid w:val="003149DA"/>
    <w:rsid w:val="00327C92"/>
    <w:rsid w:val="003322E9"/>
    <w:rsid w:val="00333292"/>
    <w:rsid w:val="003344E7"/>
    <w:rsid w:val="0033580B"/>
    <w:rsid w:val="0033628B"/>
    <w:rsid w:val="003365E7"/>
    <w:rsid w:val="003378D5"/>
    <w:rsid w:val="003442BD"/>
    <w:rsid w:val="003447AE"/>
    <w:rsid w:val="003473D7"/>
    <w:rsid w:val="00351AC8"/>
    <w:rsid w:val="00353075"/>
    <w:rsid w:val="00363E02"/>
    <w:rsid w:val="00364A1E"/>
    <w:rsid w:val="00373A96"/>
    <w:rsid w:val="0037786A"/>
    <w:rsid w:val="003826C2"/>
    <w:rsid w:val="00383728"/>
    <w:rsid w:val="00391586"/>
    <w:rsid w:val="00394128"/>
    <w:rsid w:val="003947A4"/>
    <w:rsid w:val="00395235"/>
    <w:rsid w:val="0039561A"/>
    <w:rsid w:val="00397C7D"/>
    <w:rsid w:val="003A004F"/>
    <w:rsid w:val="003A59B7"/>
    <w:rsid w:val="003B4130"/>
    <w:rsid w:val="003B67D3"/>
    <w:rsid w:val="003B715B"/>
    <w:rsid w:val="003D19E1"/>
    <w:rsid w:val="003D1D14"/>
    <w:rsid w:val="003D6C7C"/>
    <w:rsid w:val="003D6EFB"/>
    <w:rsid w:val="003D7E52"/>
    <w:rsid w:val="003E2010"/>
    <w:rsid w:val="003E25C6"/>
    <w:rsid w:val="003F145B"/>
    <w:rsid w:val="003F721F"/>
    <w:rsid w:val="004011AA"/>
    <w:rsid w:val="00401546"/>
    <w:rsid w:val="0040202C"/>
    <w:rsid w:val="00406508"/>
    <w:rsid w:val="0041456E"/>
    <w:rsid w:val="00414761"/>
    <w:rsid w:val="00414F7E"/>
    <w:rsid w:val="004163C4"/>
    <w:rsid w:val="004164F8"/>
    <w:rsid w:val="00420B7F"/>
    <w:rsid w:val="004427B7"/>
    <w:rsid w:val="00442A3D"/>
    <w:rsid w:val="0044349F"/>
    <w:rsid w:val="00445F1F"/>
    <w:rsid w:val="00451F60"/>
    <w:rsid w:val="00452BB2"/>
    <w:rsid w:val="0045656D"/>
    <w:rsid w:val="00462B44"/>
    <w:rsid w:val="00462D98"/>
    <w:rsid w:val="00471F7A"/>
    <w:rsid w:val="00472A44"/>
    <w:rsid w:val="00473A89"/>
    <w:rsid w:val="00475316"/>
    <w:rsid w:val="00475899"/>
    <w:rsid w:val="00482C78"/>
    <w:rsid w:val="004874AE"/>
    <w:rsid w:val="00492F27"/>
    <w:rsid w:val="004945B4"/>
    <w:rsid w:val="00494D24"/>
    <w:rsid w:val="004951D1"/>
    <w:rsid w:val="004A27D0"/>
    <w:rsid w:val="004A4D67"/>
    <w:rsid w:val="004B2811"/>
    <w:rsid w:val="004B2D4C"/>
    <w:rsid w:val="004C36E8"/>
    <w:rsid w:val="004D3D4B"/>
    <w:rsid w:val="004D5498"/>
    <w:rsid w:val="004D66A5"/>
    <w:rsid w:val="004D6B00"/>
    <w:rsid w:val="004E1D50"/>
    <w:rsid w:val="004F0396"/>
    <w:rsid w:val="004F30FA"/>
    <w:rsid w:val="005003A4"/>
    <w:rsid w:val="00501382"/>
    <w:rsid w:val="005054B9"/>
    <w:rsid w:val="00506E4F"/>
    <w:rsid w:val="00510798"/>
    <w:rsid w:val="00515F12"/>
    <w:rsid w:val="0052202B"/>
    <w:rsid w:val="00524A11"/>
    <w:rsid w:val="00526424"/>
    <w:rsid w:val="00527768"/>
    <w:rsid w:val="005327FB"/>
    <w:rsid w:val="00533FCA"/>
    <w:rsid w:val="00546D49"/>
    <w:rsid w:val="005616B5"/>
    <w:rsid w:val="00582075"/>
    <w:rsid w:val="00585EB3"/>
    <w:rsid w:val="0058703D"/>
    <w:rsid w:val="00592509"/>
    <w:rsid w:val="00597B15"/>
    <w:rsid w:val="005A044C"/>
    <w:rsid w:val="005A0CF1"/>
    <w:rsid w:val="005B5C95"/>
    <w:rsid w:val="005B7D26"/>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5F9D"/>
    <w:rsid w:val="00636517"/>
    <w:rsid w:val="00637690"/>
    <w:rsid w:val="0064049F"/>
    <w:rsid w:val="00640E1E"/>
    <w:rsid w:val="0064389A"/>
    <w:rsid w:val="00645442"/>
    <w:rsid w:val="006525CD"/>
    <w:rsid w:val="00653F7F"/>
    <w:rsid w:val="006609F5"/>
    <w:rsid w:val="00662EE8"/>
    <w:rsid w:val="00663813"/>
    <w:rsid w:val="00663C3B"/>
    <w:rsid w:val="00664AFD"/>
    <w:rsid w:val="00667567"/>
    <w:rsid w:val="0067391A"/>
    <w:rsid w:val="00674173"/>
    <w:rsid w:val="0067535A"/>
    <w:rsid w:val="0068207B"/>
    <w:rsid w:val="00683CA0"/>
    <w:rsid w:val="00686F1F"/>
    <w:rsid w:val="00690DB1"/>
    <w:rsid w:val="00693404"/>
    <w:rsid w:val="006953D9"/>
    <w:rsid w:val="006A1AA2"/>
    <w:rsid w:val="006B1242"/>
    <w:rsid w:val="006B1DBC"/>
    <w:rsid w:val="006B63B7"/>
    <w:rsid w:val="006B7D9A"/>
    <w:rsid w:val="006C06D9"/>
    <w:rsid w:val="006C2B83"/>
    <w:rsid w:val="006C5716"/>
    <w:rsid w:val="006C74A9"/>
    <w:rsid w:val="006D07DE"/>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200D3"/>
    <w:rsid w:val="007231E9"/>
    <w:rsid w:val="007259CE"/>
    <w:rsid w:val="00727C59"/>
    <w:rsid w:val="00734E5D"/>
    <w:rsid w:val="00736013"/>
    <w:rsid w:val="00737661"/>
    <w:rsid w:val="00741BD0"/>
    <w:rsid w:val="00746744"/>
    <w:rsid w:val="00750594"/>
    <w:rsid w:val="00755D75"/>
    <w:rsid w:val="00756245"/>
    <w:rsid w:val="00761662"/>
    <w:rsid w:val="00764043"/>
    <w:rsid w:val="00775222"/>
    <w:rsid w:val="007757CF"/>
    <w:rsid w:val="00776FFC"/>
    <w:rsid w:val="007770AF"/>
    <w:rsid w:val="0078128F"/>
    <w:rsid w:val="00782083"/>
    <w:rsid w:val="0078683C"/>
    <w:rsid w:val="00790EDB"/>
    <w:rsid w:val="00791538"/>
    <w:rsid w:val="0079326E"/>
    <w:rsid w:val="00796EDE"/>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921"/>
    <w:rsid w:val="00801028"/>
    <w:rsid w:val="00803793"/>
    <w:rsid w:val="008047E9"/>
    <w:rsid w:val="0081496A"/>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18EB"/>
    <w:rsid w:val="00882141"/>
    <w:rsid w:val="00883012"/>
    <w:rsid w:val="00883667"/>
    <w:rsid w:val="008922A8"/>
    <w:rsid w:val="00895BD5"/>
    <w:rsid w:val="008A16C4"/>
    <w:rsid w:val="008A6FED"/>
    <w:rsid w:val="008B39C5"/>
    <w:rsid w:val="008B51AA"/>
    <w:rsid w:val="008C67F2"/>
    <w:rsid w:val="008D064A"/>
    <w:rsid w:val="008D2B0F"/>
    <w:rsid w:val="008D6BFA"/>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CAE"/>
    <w:rsid w:val="00935A5D"/>
    <w:rsid w:val="0094257D"/>
    <w:rsid w:val="00942F60"/>
    <w:rsid w:val="00944465"/>
    <w:rsid w:val="0095467C"/>
    <w:rsid w:val="00954A61"/>
    <w:rsid w:val="00955C6F"/>
    <w:rsid w:val="00966C7B"/>
    <w:rsid w:val="009701DC"/>
    <w:rsid w:val="009715D8"/>
    <w:rsid w:val="009733C7"/>
    <w:rsid w:val="00983350"/>
    <w:rsid w:val="00985C4B"/>
    <w:rsid w:val="00995BF9"/>
    <w:rsid w:val="009A0CAF"/>
    <w:rsid w:val="009A1474"/>
    <w:rsid w:val="009A2207"/>
    <w:rsid w:val="009B5CB7"/>
    <w:rsid w:val="009B6C42"/>
    <w:rsid w:val="009C5551"/>
    <w:rsid w:val="009D31F7"/>
    <w:rsid w:val="009D32C2"/>
    <w:rsid w:val="009D50DB"/>
    <w:rsid w:val="009E3A0A"/>
    <w:rsid w:val="009F3E91"/>
    <w:rsid w:val="009F4442"/>
    <w:rsid w:val="009F5CAD"/>
    <w:rsid w:val="009F6CE7"/>
    <w:rsid w:val="00A06ACD"/>
    <w:rsid w:val="00A1225F"/>
    <w:rsid w:val="00A1499B"/>
    <w:rsid w:val="00A159D6"/>
    <w:rsid w:val="00A16DA7"/>
    <w:rsid w:val="00A20879"/>
    <w:rsid w:val="00A245ED"/>
    <w:rsid w:val="00A314C2"/>
    <w:rsid w:val="00A53155"/>
    <w:rsid w:val="00A63E86"/>
    <w:rsid w:val="00A65A1C"/>
    <w:rsid w:val="00A757C3"/>
    <w:rsid w:val="00A75E5B"/>
    <w:rsid w:val="00A7684A"/>
    <w:rsid w:val="00A80993"/>
    <w:rsid w:val="00A82AED"/>
    <w:rsid w:val="00A83B69"/>
    <w:rsid w:val="00A855F1"/>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BEE"/>
    <w:rsid w:val="00AF5706"/>
    <w:rsid w:val="00B039E3"/>
    <w:rsid w:val="00B043C1"/>
    <w:rsid w:val="00B22838"/>
    <w:rsid w:val="00B25D07"/>
    <w:rsid w:val="00B31CE4"/>
    <w:rsid w:val="00B32BC1"/>
    <w:rsid w:val="00B3355B"/>
    <w:rsid w:val="00B33E95"/>
    <w:rsid w:val="00B3720B"/>
    <w:rsid w:val="00B40EE3"/>
    <w:rsid w:val="00B53CC5"/>
    <w:rsid w:val="00B55271"/>
    <w:rsid w:val="00B5558A"/>
    <w:rsid w:val="00B56513"/>
    <w:rsid w:val="00B56B2E"/>
    <w:rsid w:val="00B64376"/>
    <w:rsid w:val="00B7401F"/>
    <w:rsid w:val="00B806C3"/>
    <w:rsid w:val="00B80B59"/>
    <w:rsid w:val="00B83ED2"/>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57CE"/>
    <w:rsid w:val="00BF376F"/>
    <w:rsid w:val="00BF46A6"/>
    <w:rsid w:val="00BF62CF"/>
    <w:rsid w:val="00BF6329"/>
    <w:rsid w:val="00BF73D6"/>
    <w:rsid w:val="00C01623"/>
    <w:rsid w:val="00C06545"/>
    <w:rsid w:val="00C1161C"/>
    <w:rsid w:val="00C11A03"/>
    <w:rsid w:val="00C220FC"/>
    <w:rsid w:val="00C24DFA"/>
    <w:rsid w:val="00C4202A"/>
    <w:rsid w:val="00C46A36"/>
    <w:rsid w:val="00C46C5C"/>
    <w:rsid w:val="00C47037"/>
    <w:rsid w:val="00C53625"/>
    <w:rsid w:val="00C602C1"/>
    <w:rsid w:val="00C63EA5"/>
    <w:rsid w:val="00C63FC0"/>
    <w:rsid w:val="00C66392"/>
    <w:rsid w:val="00C72AA7"/>
    <w:rsid w:val="00C74C5E"/>
    <w:rsid w:val="00C827A2"/>
    <w:rsid w:val="00C82B69"/>
    <w:rsid w:val="00C91B28"/>
    <w:rsid w:val="00C91F3A"/>
    <w:rsid w:val="00CA06E3"/>
    <w:rsid w:val="00CB5797"/>
    <w:rsid w:val="00CC1202"/>
    <w:rsid w:val="00CD09E1"/>
    <w:rsid w:val="00CD6202"/>
    <w:rsid w:val="00CE2486"/>
    <w:rsid w:val="00CE4913"/>
    <w:rsid w:val="00CE66BD"/>
    <w:rsid w:val="00CF0671"/>
    <w:rsid w:val="00CF07F1"/>
    <w:rsid w:val="00CF15B3"/>
    <w:rsid w:val="00CF2038"/>
    <w:rsid w:val="00CF44AD"/>
    <w:rsid w:val="00CF4FC0"/>
    <w:rsid w:val="00D103DB"/>
    <w:rsid w:val="00D1072F"/>
    <w:rsid w:val="00D108A5"/>
    <w:rsid w:val="00D11DAC"/>
    <w:rsid w:val="00D14585"/>
    <w:rsid w:val="00D20EFF"/>
    <w:rsid w:val="00D30FC0"/>
    <w:rsid w:val="00D34F0D"/>
    <w:rsid w:val="00D3516E"/>
    <w:rsid w:val="00D4064C"/>
    <w:rsid w:val="00D53ED8"/>
    <w:rsid w:val="00D5400E"/>
    <w:rsid w:val="00D60338"/>
    <w:rsid w:val="00D60A8F"/>
    <w:rsid w:val="00D64857"/>
    <w:rsid w:val="00D6493A"/>
    <w:rsid w:val="00D67875"/>
    <w:rsid w:val="00D71CBD"/>
    <w:rsid w:val="00D71E86"/>
    <w:rsid w:val="00D731C6"/>
    <w:rsid w:val="00D745C5"/>
    <w:rsid w:val="00D75327"/>
    <w:rsid w:val="00D80C36"/>
    <w:rsid w:val="00D86779"/>
    <w:rsid w:val="00D86EE1"/>
    <w:rsid w:val="00D942FE"/>
    <w:rsid w:val="00D96126"/>
    <w:rsid w:val="00DA10C6"/>
    <w:rsid w:val="00DA3822"/>
    <w:rsid w:val="00DB4B1C"/>
    <w:rsid w:val="00DB5085"/>
    <w:rsid w:val="00DB7706"/>
    <w:rsid w:val="00DC1062"/>
    <w:rsid w:val="00DC132C"/>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5391D"/>
    <w:rsid w:val="00E66E36"/>
    <w:rsid w:val="00E702ED"/>
    <w:rsid w:val="00E709A4"/>
    <w:rsid w:val="00E73822"/>
    <w:rsid w:val="00E772DB"/>
    <w:rsid w:val="00E86012"/>
    <w:rsid w:val="00E86BAB"/>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6F68"/>
    <w:rsid w:val="00F136A5"/>
    <w:rsid w:val="00F1713B"/>
    <w:rsid w:val="00F212CB"/>
    <w:rsid w:val="00F243DB"/>
    <w:rsid w:val="00F24C2D"/>
    <w:rsid w:val="00F24F1B"/>
    <w:rsid w:val="00F27356"/>
    <w:rsid w:val="00F31609"/>
    <w:rsid w:val="00F32A81"/>
    <w:rsid w:val="00F4680A"/>
    <w:rsid w:val="00F46998"/>
    <w:rsid w:val="00F47100"/>
    <w:rsid w:val="00F5382D"/>
    <w:rsid w:val="00F53D9C"/>
    <w:rsid w:val="00F5462B"/>
    <w:rsid w:val="00F634AD"/>
    <w:rsid w:val="00F63677"/>
    <w:rsid w:val="00F72BFC"/>
    <w:rsid w:val="00F75B81"/>
    <w:rsid w:val="00F804C4"/>
    <w:rsid w:val="00F82F83"/>
    <w:rsid w:val="00F832E5"/>
    <w:rsid w:val="00F84055"/>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B7208"/>
    <w:rsid w:val="00FC1439"/>
    <w:rsid w:val="00FC724B"/>
    <w:rsid w:val="00FC7910"/>
    <w:rsid w:val="00FD1A52"/>
    <w:rsid w:val="00FD4937"/>
    <w:rsid w:val="00FD4DFE"/>
    <w:rsid w:val="00FE531E"/>
    <w:rsid w:val="00FE72A6"/>
    <w:rsid w:val="00FF0B24"/>
    <w:rsid w:val="00FF0DA7"/>
    <w:rsid w:val="00FF37B7"/>
    <w:rsid w:val="00FF44E0"/>
    <w:rsid w:val="00FF6C72"/>
    <w:rsid w:val="011F2F39"/>
    <w:rsid w:val="01374E54"/>
    <w:rsid w:val="013C59A0"/>
    <w:rsid w:val="018067FB"/>
    <w:rsid w:val="01976AB5"/>
    <w:rsid w:val="019D48DD"/>
    <w:rsid w:val="01AC65E1"/>
    <w:rsid w:val="01AF35D1"/>
    <w:rsid w:val="01BC3676"/>
    <w:rsid w:val="01D7290B"/>
    <w:rsid w:val="01E131F4"/>
    <w:rsid w:val="01ED7DBB"/>
    <w:rsid w:val="01F72DAE"/>
    <w:rsid w:val="01FF5B1C"/>
    <w:rsid w:val="02067716"/>
    <w:rsid w:val="0257059B"/>
    <w:rsid w:val="02A734F8"/>
    <w:rsid w:val="02D57C3D"/>
    <w:rsid w:val="037973C6"/>
    <w:rsid w:val="039931C3"/>
    <w:rsid w:val="03A8028B"/>
    <w:rsid w:val="03D25EAC"/>
    <w:rsid w:val="03E06A06"/>
    <w:rsid w:val="03E10905"/>
    <w:rsid w:val="04011721"/>
    <w:rsid w:val="042B70D8"/>
    <w:rsid w:val="04396C28"/>
    <w:rsid w:val="04536561"/>
    <w:rsid w:val="045B0C31"/>
    <w:rsid w:val="047A7BCE"/>
    <w:rsid w:val="048C3FC4"/>
    <w:rsid w:val="04A44E01"/>
    <w:rsid w:val="04CA7527"/>
    <w:rsid w:val="04CB0B34"/>
    <w:rsid w:val="04E12D11"/>
    <w:rsid w:val="05006369"/>
    <w:rsid w:val="05107D29"/>
    <w:rsid w:val="05426646"/>
    <w:rsid w:val="05C1378B"/>
    <w:rsid w:val="05CB3411"/>
    <w:rsid w:val="05CD6CDE"/>
    <w:rsid w:val="05D30528"/>
    <w:rsid w:val="05D4629F"/>
    <w:rsid w:val="062E45D2"/>
    <w:rsid w:val="063400F9"/>
    <w:rsid w:val="069B7539"/>
    <w:rsid w:val="06B86512"/>
    <w:rsid w:val="06C76316"/>
    <w:rsid w:val="06C87049"/>
    <w:rsid w:val="07102341"/>
    <w:rsid w:val="07135B39"/>
    <w:rsid w:val="0722647A"/>
    <w:rsid w:val="07534192"/>
    <w:rsid w:val="07575AF9"/>
    <w:rsid w:val="075F0B0B"/>
    <w:rsid w:val="07622A33"/>
    <w:rsid w:val="07872913"/>
    <w:rsid w:val="07A349A1"/>
    <w:rsid w:val="07C66A72"/>
    <w:rsid w:val="07CF4038"/>
    <w:rsid w:val="07D953F5"/>
    <w:rsid w:val="080A32C2"/>
    <w:rsid w:val="085F62D4"/>
    <w:rsid w:val="088E1E23"/>
    <w:rsid w:val="08B50556"/>
    <w:rsid w:val="08D800DC"/>
    <w:rsid w:val="08F80AF6"/>
    <w:rsid w:val="09610D52"/>
    <w:rsid w:val="09645572"/>
    <w:rsid w:val="096B4801"/>
    <w:rsid w:val="097D251D"/>
    <w:rsid w:val="099279EF"/>
    <w:rsid w:val="09D44BFD"/>
    <w:rsid w:val="0A0A73CC"/>
    <w:rsid w:val="0A245762"/>
    <w:rsid w:val="0A8101C3"/>
    <w:rsid w:val="0A8E01DA"/>
    <w:rsid w:val="0AC0494B"/>
    <w:rsid w:val="0ACE7C2C"/>
    <w:rsid w:val="0B4A20D6"/>
    <w:rsid w:val="0B6542B2"/>
    <w:rsid w:val="0BC32105"/>
    <w:rsid w:val="0BC34B58"/>
    <w:rsid w:val="0BC56980"/>
    <w:rsid w:val="0BE43F91"/>
    <w:rsid w:val="0C304C4D"/>
    <w:rsid w:val="0C625CD5"/>
    <w:rsid w:val="0C815D20"/>
    <w:rsid w:val="0CCD0AB6"/>
    <w:rsid w:val="0CE44A0A"/>
    <w:rsid w:val="0D4822D5"/>
    <w:rsid w:val="0D8013E6"/>
    <w:rsid w:val="0DB13235"/>
    <w:rsid w:val="0DD650FF"/>
    <w:rsid w:val="0DE528BF"/>
    <w:rsid w:val="0DF63BED"/>
    <w:rsid w:val="0E0242C5"/>
    <w:rsid w:val="0E4378B3"/>
    <w:rsid w:val="0E480BC8"/>
    <w:rsid w:val="0E535E09"/>
    <w:rsid w:val="0E5639EA"/>
    <w:rsid w:val="0E763583"/>
    <w:rsid w:val="0E820BFE"/>
    <w:rsid w:val="0ED80A7E"/>
    <w:rsid w:val="0F257597"/>
    <w:rsid w:val="0F476AB9"/>
    <w:rsid w:val="0F8F00FD"/>
    <w:rsid w:val="0F9A04FC"/>
    <w:rsid w:val="102A1392"/>
    <w:rsid w:val="1030329B"/>
    <w:rsid w:val="1043407D"/>
    <w:rsid w:val="105A5869"/>
    <w:rsid w:val="10636AEE"/>
    <w:rsid w:val="10F07979"/>
    <w:rsid w:val="11121244"/>
    <w:rsid w:val="112B54AD"/>
    <w:rsid w:val="116234BE"/>
    <w:rsid w:val="11862688"/>
    <w:rsid w:val="11A63F06"/>
    <w:rsid w:val="11D656E8"/>
    <w:rsid w:val="11E27BD5"/>
    <w:rsid w:val="12173F28"/>
    <w:rsid w:val="128F377D"/>
    <w:rsid w:val="12917F44"/>
    <w:rsid w:val="12E62E17"/>
    <w:rsid w:val="13370CE3"/>
    <w:rsid w:val="133E4D58"/>
    <w:rsid w:val="136E3D7D"/>
    <w:rsid w:val="13A163AD"/>
    <w:rsid w:val="13CC5D99"/>
    <w:rsid w:val="142257E9"/>
    <w:rsid w:val="14293E20"/>
    <w:rsid w:val="146E6C02"/>
    <w:rsid w:val="147E4F78"/>
    <w:rsid w:val="148A09C2"/>
    <w:rsid w:val="14B02E00"/>
    <w:rsid w:val="14DF0FAE"/>
    <w:rsid w:val="14E630A8"/>
    <w:rsid w:val="14EC4228"/>
    <w:rsid w:val="14FB46BE"/>
    <w:rsid w:val="15097A8D"/>
    <w:rsid w:val="150F2E19"/>
    <w:rsid w:val="1542068C"/>
    <w:rsid w:val="15584A22"/>
    <w:rsid w:val="15686D5E"/>
    <w:rsid w:val="157C17F2"/>
    <w:rsid w:val="158568B3"/>
    <w:rsid w:val="15BA4390"/>
    <w:rsid w:val="15DE21ED"/>
    <w:rsid w:val="16047251"/>
    <w:rsid w:val="160B7FC6"/>
    <w:rsid w:val="16117F11"/>
    <w:rsid w:val="16151BC7"/>
    <w:rsid w:val="16427C4D"/>
    <w:rsid w:val="16614BA8"/>
    <w:rsid w:val="16787E93"/>
    <w:rsid w:val="168B27EF"/>
    <w:rsid w:val="16941135"/>
    <w:rsid w:val="16A53332"/>
    <w:rsid w:val="16A6751D"/>
    <w:rsid w:val="16B30530"/>
    <w:rsid w:val="16C44B09"/>
    <w:rsid w:val="16C55397"/>
    <w:rsid w:val="16DD4FD0"/>
    <w:rsid w:val="16EB4478"/>
    <w:rsid w:val="16FC651F"/>
    <w:rsid w:val="170B4F0A"/>
    <w:rsid w:val="172822D1"/>
    <w:rsid w:val="17343EB7"/>
    <w:rsid w:val="17552F75"/>
    <w:rsid w:val="17573FD8"/>
    <w:rsid w:val="17967DB8"/>
    <w:rsid w:val="17C90A93"/>
    <w:rsid w:val="17F04282"/>
    <w:rsid w:val="181240A7"/>
    <w:rsid w:val="182173B8"/>
    <w:rsid w:val="182E4A5F"/>
    <w:rsid w:val="1833286B"/>
    <w:rsid w:val="18602AF1"/>
    <w:rsid w:val="1863335E"/>
    <w:rsid w:val="18736FCF"/>
    <w:rsid w:val="18A17275"/>
    <w:rsid w:val="18C317D3"/>
    <w:rsid w:val="191050B1"/>
    <w:rsid w:val="1912506D"/>
    <w:rsid w:val="19263CD4"/>
    <w:rsid w:val="192E011F"/>
    <w:rsid w:val="198D3D53"/>
    <w:rsid w:val="199A4090"/>
    <w:rsid w:val="1A033113"/>
    <w:rsid w:val="1A432B38"/>
    <w:rsid w:val="1A5B79AD"/>
    <w:rsid w:val="1A761C15"/>
    <w:rsid w:val="1A9203F9"/>
    <w:rsid w:val="1AB11059"/>
    <w:rsid w:val="1ACD60CD"/>
    <w:rsid w:val="1AE259D8"/>
    <w:rsid w:val="1AFB36BE"/>
    <w:rsid w:val="1B7A5C06"/>
    <w:rsid w:val="1B7D7F7E"/>
    <w:rsid w:val="1B886580"/>
    <w:rsid w:val="1B8A786E"/>
    <w:rsid w:val="1BB42CE9"/>
    <w:rsid w:val="1BC0693E"/>
    <w:rsid w:val="1BED0625"/>
    <w:rsid w:val="1C0721E0"/>
    <w:rsid w:val="1C1C33C1"/>
    <w:rsid w:val="1C303F27"/>
    <w:rsid w:val="1C533032"/>
    <w:rsid w:val="1C78533A"/>
    <w:rsid w:val="1D2E3B5E"/>
    <w:rsid w:val="1D68470C"/>
    <w:rsid w:val="1DAE0412"/>
    <w:rsid w:val="1DB97D71"/>
    <w:rsid w:val="1DF44E39"/>
    <w:rsid w:val="1DF90BDF"/>
    <w:rsid w:val="1E092900"/>
    <w:rsid w:val="1E137711"/>
    <w:rsid w:val="1E530CCD"/>
    <w:rsid w:val="1E79668E"/>
    <w:rsid w:val="1E962CDF"/>
    <w:rsid w:val="1EA06FCF"/>
    <w:rsid w:val="1EB00660"/>
    <w:rsid w:val="1EB67CF4"/>
    <w:rsid w:val="1EC73185"/>
    <w:rsid w:val="1EEC4575"/>
    <w:rsid w:val="1EF3164A"/>
    <w:rsid w:val="1F00650B"/>
    <w:rsid w:val="1F1811C0"/>
    <w:rsid w:val="1F2E743E"/>
    <w:rsid w:val="1F3B738B"/>
    <w:rsid w:val="1F470703"/>
    <w:rsid w:val="1F58571C"/>
    <w:rsid w:val="1F59095F"/>
    <w:rsid w:val="1F7E347F"/>
    <w:rsid w:val="1FC972B5"/>
    <w:rsid w:val="1FD84B17"/>
    <w:rsid w:val="1FEA0EF5"/>
    <w:rsid w:val="2033565F"/>
    <w:rsid w:val="20CB65E1"/>
    <w:rsid w:val="20D858B3"/>
    <w:rsid w:val="20E71C8B"/>
    <w:rsid w:val="21130FE1"/>
    <w:rsid w:val="212678E0"/>
    <w:rsid w:val="21580260"/>
    <w:rsid w:val="21981467"/>
    <w:rsid w:val="21B634AE"/>
    <w:rsid w:val="21C916A0"/>
    <w:rsid w:val="21D81213"/>
    <w:rsid w:val="21E253A6"/>
    <w:rsid w:val="22027F43"/>
    <w:rsid w:val="22213B6B"/>
    <w:rsid w:val="224369FF"/>
    <w:rsid w:val="224E7685"/>
    <w:rsid w:val="226561E7"/>
    <w:rsid w:val="22A109D7"/>
    <w:rsid w:val="22BD058C"/>
    <w:rsid w:val="22E67A9C"/>
    <w:rsid w:val="230C0739"/>
    <w:rsid w:val="231F04A0"/>
    <w:rsid w:val="23991690"/>
    <w:rsid w:val="23D0417D"/>
    <w:rsid w:val="23D65920"/>
    <w:rsid w:val="2406098A"/>
    <w:rsid w:val="24642F63"/>
    <w:rsid w:val="2494471B"/>
    <w:rsid w:val="24B13E90"/>
    <w:rsid w:val="250D6240"/>
    <w:rsid w:val="25284930"/>
    <w:rsid w:val="25730577"/>
    <w:rsid w:val="25A65A51"/>
    <w:rsid w:val="25B157FF"/>
    <w:rsid w:val="25C16481"/>
    <w:rsid w:val="25D02118"/>
    <w:rsid w:val="263365D5"/>
    <w:rsid w:val="266801E1"/>
    <w:rsid w:val="267563B9"/>
    <w:rsid w:val="26E7030C"/>
    <w:rsid w:val="26F251F5"/>
    <w:rsid w:val="26F61189"/>
    <w:rsid w:val="26FF74B0"/>
    <w:rsid w:val="2710223D"/>
    <w:rsid w:val="27174B3C"/>
    <w:rsid w:val="27493457"/>
    <w:rsid w:val="27665B5F"/>
    <w:rsid w:val="276E64E2"/>
    <w:rsid w:val="27884DC3"/>
    <w:rsid w:val="27935170"/>
    <w:rsid w:val="27A401DD"/>
    <w:rsid w:val="27C80D5D"/>
    <w:rsid w:val="27D172E0"/>
    <w:rsid w:val="28784A3F"/>
    <w:rsid w:val="28A1297A"/>
    <w:rsid w:val="28B53A52"/>
    <w:rsid w:val="28C74F31"/>
    <w:rsid w:val="292B04CC"/>
    <w:rsid w:val="29710F8A"/>
    <w:rsid w:val="29BB4E26"/>
    <w:rsid w:val="29C2572B"/>
    <w:rsid w:val="29D62BAC"/>
    <w:rsid w:val="29F2051D"/>
    <w:rsid w:val="2A1E51A6"/>
    <w:rsid w:val="2A4B2692"/>
    <w:rsid w:val="2A537E37"/>
    <w:rsid w:val="2A6D2033"/>
    <w:rsid w:val="2A701C9E"/>
    <w:rsid w:val="2A962EE4"/>
    <w:rsid w:val="2ACD0453"/>
    <w:rsid w:val="2AF43B5E"/>
    <w:rsid w:val="2B3A69FE"/>
    <w:rsid w:val="2B8936B9"/>
    <w:rsid w:val="2BBA59CC"/>
    <w:rsid w:val="2BC33237"/>
    <w:rsid w:val="2BCA2644"/>
    <w:rsid w:val="2BE12008"/>
    <w:rsid w:val="2BF92F32"/>
    <w:rsid w:val="2C225780"/>
    <w:rsid w:val="2C2659A2"/>
    <w:rsid w:val="2C361CE7"/>
    <w:rsid w:val="2C4320AD"/>
    <w:rsid w:val="2C4629A8"/>
    <w:rsid w:val="2C6C71F1"/>
    <w:rsid w:val="2C845ADA"/>
    <w:rsid w:val="2CAB0320"/>
    <w:rsid w:val="2D2872D8"/>
    <w:rsid w:val="2D5C76E6"/>
    <w:rsid w:val="2DA531F0"/>
    <w:rsid w:val="2DB77A10"/>
    <w:rsid w:val="2DBA114A"/>
    <w:rsid w:val="2DED451B"/>
    <w:rsid w:val="2DEF71A4"/>
    <w:rsid w:val="2E1A0F93"/>
    <w:rsid w:val="2E425796"/>
    <w:rsid w:val="2E4668CB"/>
    <w:rsid w:val="2E5A1146"/>
    <w:rsid w:val="2E5B1E5B"/>
    <w:rsid w:val="2E5F4F98"/>
    <w:rsid w:val="2E643568"/>
    <w:rsid w:val="2E7021F2"/>
    <w:rsid w:val="2EB31B27"/>
    <w:rsid w:val="2EB81FD8"/>
    <w:rsid w:val="2EFE7D7A"/>
    <w:rsid w:val="2F335AD2"/>
    <w:rsid w:val="2F37571D"/>
    <w:rsid w:val="2F542EF1"/>
    <w:rsid w:val="2F640844"/>
    <w:rsid w:val="2F6509D0"/>
    <w:rsid w:val="2F7E2BDA"/>
    <w:rsid w:val="2F995607"/>
    <w:rsid w:val="2FB44542"/>
    <w:rsid w:val="2FB92D54"/>
    <w:rsid w:val="2FDF0E93"/>
    <w:rsid w:val="2FFC7590"/>
    <w:rsid w:val="30426514"/>
    <w:rsid w:val="30594760"/>
    <w:rsid w:val="30C822D8"/>
    <w:rsid w:val="30D16F3C"/>
    <w:rsid w:val="31352618"/>
    <w:rsid w:val="314941A3"/>
    <w:rsid w:val="31675485"/>
    <w:rsid w:val="3167717F"/>
    <w:rsid w:val="31726C5C"/>
    <w:rsid w:val="317625E0"/>
    <w:rsid w:val="319E422D"/>
    <w:rsid w:val="31AE3364"/>
    <w:rsid w:val="31CB028E"/>
    <w:rsid w:val="321351BB"/>
    <w:rsid w:val="3218123E"/>
    <w:rsid w:val="324B2C6B"/>
    <w:rsid w:val="327515D8"/>
    <w:rsid w:val="32826625"/>
    <w:rsid w:val="32B545C0"/>
    <w:rsid w:val="32C10AC4"/>
    <w:rsid w:val="332848FF"/>
    <w:rsid w:val="33361F25"/>
    <w:rsid w:val="333A41B1"/>
    <w:rsid w:val="33415A71"/>
    <w:rsid w:val="335D2E11"/>
    <w:rsid w:val="33814F8D"/>
    <w:rsid w:val="338266BF"/>
    <w:rsid w:val="33A221DE"/>
    <w:rsid w:val="33A63DF0"/>
    <w:rsid w:val="33C278A7"/>
    <w:rsid w:val="33CB02F8"/>
    <w:rsid w:val="33EF535B"/>
    <w:rsid w:val="33F81754"/>
    <w:rsid w:val="34037804"/>
    <w:rsid w:val="34181CDE"/>
    <w:rsid w:val="341A2820"/>
    <w:rsid w:val="343028E3"/>
    <w:rsid w:val="346D71B7"/>
    <w:rsid w:val="34BE0C27"/>
    <w:rsid w:val="34CE4C2F"/>
    <w:rsid w:val="35085D0E"/>
    <w:rsid w:val="3511441F"/>
    <w:rsid w:val="3548047E"/>
    <w:rsid w:val="355D6CD6"/>
    <w:rsid w:val="359B5D96"/>
    <w:rsid w:val="35B2243F"/>
    <w:rsid w:val="35E056BD"/>
    <w:rsid w:val="36203B2D"/>
    <w:rsid w:val="3621338F"/>
    <w:rsid w:val="362B59E5"/>
    <w:rsid w:val="36981AA4"/>
    <w:rsid w:val="36AA79AE"/>
    <w:rsid w:val="36D758AB"/>
    <w:rsid w:val="36D81774"/>
    <w:rsid w:val="36EE262B"/>
    <w:rsid w:val="370110E3"/>
    <w:rsid w:val="37445638"/>
    <w:rsid w:val="376827BB"/>
    <w:rsid w:val="37B207B5"/>
    <w:rsid w:val="37D2180A"/>
    <w:rsid w:val="37D27670"/>
    <w:rsid w:val="37DF37FA"/>
    <w:rsid w:val="385B4285"/>
    <w:rsid w:val="386E18A2"/>
    <w:rsid w:val="388F4FB6"/>
    <w:rsid w:val="38AA2C13"/>
    <w:rsid w:val="38AC6C67"/>
    <w:rsid w:val="38B021E3"/>
    <w:rsid w:val="38C31804"/>
    <w:rsid w:val="38F52E00"/>
    <w:rsid w:val="38F54312"/>
    <w:rsid w:val="394A4673"/>
    <w:rsid w:val="3953526F"/>
    <w:rsid w:val="3957382B"/>
    <w:rsid w:val="395C1201"/>
    <w:rsid w:val="397C2DC6"/>
    <w:rsid w:val="39B2307A"/>
    <w:rsid w:val="39D63BC2"/>
    <w:rsid w:val="39E777CC"/>
    <w:rsid w:val="3A2C4435"/>
    <w:rsid w:val="3A586A71"/>
    <w:rsid w:val="3A942A4A"/>
    <w:rsid w:val="3AA32FD6"/>
    <w:rsid w:val="3B023F88"/>
    <w:rsid w:val="3B123DD8"/>
    <w:rsid w:val="3B1E4680"/>
    <w:rsid w:val="3B5D455C"/>
    <w:rsid w:val="3B611E21"/>
    <w:rsid w:val="3B6459AA"/>
    <w:rsid w:val="3B800CD9"/>
    <w:rsid w:val="3B9062F7"/>
    <w:rsid w:val="3BB34B79"/>
    <w:rsid w:val="3C0C2372"/>
    <w:rsid w:val="3C86556E"/>
    <w:rsid w:val="3CA21824"/>
    <w:rsid w:val="3CA30612"/>
    <w:rsid w:val="3CAF5C0A"/>
    <w:rsid w:val="3CFC0724"/>
    <w:rsid w:val="3D2C7B38"/>
    <w:rsid w:val="3D3251B2"/>
    <w:rsid w:val="3D475F4B"/>
    <w:rsid w:val="3D5041CD"/>
    <w:rsid w:val="3D6651F6"/>
    <w:rsid w:val="3D6A0C69"/>
    <w:rsid w:val="3D845873"/>
    <w:rsid w:val="3D864DFE"/>
    <w:rsid w:val="3D8B325F"/>
    <w:rsid w:val="3DAA521D"/>
    <w:rsid w:val="3DB93349"/>
    <w:rsid w:val="3DE637F5"/>
    <w:rsid w:val="3E044ECA"/>
    <w:rsid w:val="3E17733E"/>
    <w:rsid w:val="3E2B7513"/>
    <w:rsid w:val="3E3E0791"/>
    <w:rsid w:val="3E574395"/>
    <w:rsid w:val="3E8968BF"/>
    <w:rsid w:val="3E8E57B5"/>
    <w:rsid w:val="3EB33728"/>
    <w:rsid w:val="3ECC53AA"/>
    <w:rsid w:val="3ED94707"/>
    <w:rsid w:val="3EE44315"/>
    <w:rsid w:val="3EF814B4"/>
    <w:rsid w:val="3F7C1A35"/>
    <w:rsid w:val="3F876C14"/>
    <w:rsid w:val="3FA2527C"/>
    <w:rsid w:val="3FA357B9"/>
    <w:rsid w:val="40064A19"/>
    <w:rsid w:val="40D43712"/>
    <w:rsid w:val="40F3031D"/>
    <w:rsid w:val="412874F2"/>
    <w:rsid w:val="417B0AEA"/>
    <w:rsid w:val="41D50910"/>
    <w:rsid w:val="41EC09FC"/>
    <w:rsid w:val="422E53AC"/>
    <w:rsid w:val="42371CAB"/>
    <w:rsid w:val="42407911"/>
    <w:rsid w:val="428A1284"/>
    <w:rsid w:val="42F83EEA"/>
    <w:rsid w:val="43115475"/>
    <w:rsid w:val="43334BED"/>
    <w:rsid w:val="43432C09"/>
    <w:rsid w:val="43771229"/>
    <w:rsid w:val="43826458"/>
    <w:rsid w:val="43A33325"/>
    <w:rsid w:val="43F9146D"/>
    <w:rsid w:val="440170A3"/>
    <w:rsid w:val="440B4FC8"/>
    <w:rsid w:val="444E6FA5"/>
    <w:rsid w:val="44563951"/>
    <w:rsid w:val="4492219C"/>
    <w:rsid w:val="4496304A"/>
    <w:rsid w:val="449810E8"/>
    <w:rsid w:val="44C90404"/>
    <w:rsid w:val="454C00BB"/>
    <w:rsid w:val="45CA4C26"/>
    <w:rsid w:val="45EB5F8A"/>
    <w:rsid w:val="461D69D9"/>
    <w:rsid w:val="461D7C5F"/>
    <w:rsid w:val="462A180E"/>
    <w:rsid w:val="464048B3"/>
    <w:rsid w:val="46F36F86"/>
    <w:rsid w:val="46F51CFE"/>
    <w:rsid w:val="46FE5345"/>
    <w:rsid w:val="473C166C"/>
    <w:rsid w:val="474C7367"/>
    <w:rsid w:val="47653A95"/>
    <w:rsid w:val="47794B25"/>
    <w:rsid w:val="47D46D28"/>
    <w:rsid w:val="47EF4E0A"/>
    <w:rsid w:val="482703AC"/>
    <w:rsid w:val="48390A7E"/>
    <w:rsid w:val="48971D34"/>
    <w:rsid w:val="489E63DD"/>
    <w:rsid w:val="48B936F4"/>
    <w:rsid w:val="48C414C7"/>
    <w:rsid w:val="48F54A16"/>
    <w:rsid w:val="48F63655"/>
    <w:rsid w:val="491C61D7"/>
    <w:rsid w:val="491E0C33"/>
    <w:rsid w:val="491F09FD"/>
    <w:rsid w:val="49215598"/>
    <w:rsid w:val="49470A15"/>
    <w:rsid w:val="49B1134D"/>
    <w:rsid w:val="49BE390F"/>
    <w:rsid w:val="49C20D29"/>
    <w:rsid w:val="49D655F0"/>
    <w:rsid w:val="4A1C29A9"/>
    <w:rsid w:val="4A376852"/>
    <w:rsid w:val="4A4D2844"/>
    <w:rsid w:val="4A51016F"/>
    <w:rsid w:val="4AA8171D"/>
    <w:rsid w:val="4ADF6F8E"/>
    <w:rsid w:val="4AF57F71"/>
    <w:rsid w:val="4B8137BE"/>
    <w:rsid w:val="4B960E56"/>
    <w:rsid w:val="4BBC74F0"/>
    <w:rsid w:val="4BC51723"/>
    <w:rsid w:val="4BD258F2"/>
    <w:rsid w:val="4BD64B17"/>
    <w:rsid w:val="4BDE5B75"/>
    <w:rsid w:val="4C4D1CEF"/>
    <w:rsid w:val="4CA50490"/>
    <w:rsid w:val="4CAC68E5"/>
    <w:rsid w:val="4CCC66A5"/>
    <w:rsid w:val="4CD15D1B"/>
    <w:rsid w:val="4CD77387"/>
    <w:rsid w:val="4D2B6B0B"/>
    <w:rsid w:val="4D6112C8"/>
    <w:rsid w:val="4D663FDA"/>
    <w:rsid w:val="4D7240AF"/>
    <w:rsid w:val="4D930C30"/>
    <w:rsid w:val="4D9C2526"/>
    <w:rsid w:val="4DAE3777"/>
    <w:rsid w:val="4DBD17E6"/>
    <w:rsid w:val="4DD95A7F"/>
    <w:rsid w:val="4E4241EE"/>
    <w:rsid w:val="4E5D75D5"/>
    <w:rsid w:val="4E9451C5"/>
    <w:rsid w:val="4F8C0F11"/>
    <w:rsid w:val="4F97214F"/>
    <w:rsid w:val="4FD97513"/>
    <w:rsid w:val="502D31D7"/>
    <w:rsid w:val="502E465E"/>
    <w:rsid w:val="506A2AFE"/>
    <w:rsid w:val="506D2881"/>
    <w:rsid w:val="50892F6A"/>
    <w:rsid w:val="50954286"/>
    <w:rsid w:val="50D459D4"/>
    <w:rsid w:val="50F52226"/>
    <w:rsid w:val="50FF2408"/>
    <w:rsid w:val="514A62BA"/>
    <w:rsid w:val="52067C23"/>
    <w:rsid w:val="52515DBC"/>
    <w:rsid w:val="52577FBC"/>
    <w:rsid w:val="526B4D1C"/>
    <w:rsid w:val="52A852A9"/>
    <w:rsid w:val="52DE64B1"/>
    <w:rsid w:val="52E02B54"/>
    <w:rsid w:val="52F63BB6"/>
    <w:rsid w:val="533F349A"/>
    <w:rsid w:val="53491883"/>
    <w:rsid w:val="537577FD"/>
    <w:rsid w:val="53781723"/>
    <w:rsid w:val="53A46600"/>
    <w:rsid w:val="53B33B50"/>
    <w:rsid w:val="53E17684"/>
    <w:rsid w:val="54C56319"/>
    <w:rsid w:val="55825EE2"/>
    <w:rsid w:val="55950ABA"/>
    <w:rsid w:val="55A34F00"/>
    <w:rsid w:val="55A92818"/>
    <w:rsid w:val="55F10BEA"/>
    <w:rsid w:val="561F2B3F"/>
    <w:rsid w:val="563D4B51"/>
    <w:rsid w:val="566A584A"/>
    <w:rsid w:val="5675066C"/>
    <w:rsid w:val="56B72B57"/>
    <w:rsid w:val="56BD3C46"/>
    <w:rsid w:val="56EA37C9"/>
    <w:rsid w:val="57061CCA"/>
    <w:rsid w:val="57077EE6"/>
    <w:rsid w:val="570F30D6"/>
    <w:rsid w:val="573317A8"/>
    <w:rsid w:val="5765363E"/>
    <w:rsid w:val="57735397"/>
    <w:rsid w:val="57741D82"/>
    <w:rsid w:val="57774A4A"/>
    <w:rsid w:val="57894A90"/>
    <w:rsid w:val="57950336"/>
    <w:rsid w:val="57B53942"/>
    <w:rsid w:val="57BC36B3"/>
    <w:rsid w:val="57F57F8A"/>
    <w:rsid w:val="582165A1"/>
    <w:rsid w:val="583A1E0E"/>
    <w:rsid w:val="584B64EC"/>
    <w:rsid w:val="586620C8"/>
    <w:rsid w:val="58765C5B"/>
    <w:rsid w:val="58AD4AF5"/>
    <w:rsid w:val="58CD2D0A"/>
    <w:rsid w:val="58D906CC"/>
    <w:rsid w:val="58DD7FD9"/>
    <w:rsid w:val="58F86605"/>
    <w:rsid w:val="58FC2A8C"/>
    <w:rsid w:val="58FF53CC"/>
    <w:rsid w:val="591D1D9A"/>
    <w:rsid w:val="594159E5"/>
    <w:rsid w:val="5960230F"/>
    <w:rsid w:val="59820DB0"/>
    <w:rsid w:val="59E35308"/>
    <w:rsid w:val="59F736C2"/>
    <w:rsid w:val="59F91D9F"/>
    <w:rsid w:val="5A082717"/>
    <w:rsid w:val="5A086CF3"/>
    <w:rsid w:val="5A510527"/>
    <w:rsid w:val="5A5E5B30"/>
    <w:rsid w:val="5AAC11F7"/>
    <w:rsid w:val="5AB6785F"/>
    <w:rsid w:val="5ABD5454"/>
    <w:rsid w:val="5AD44F78"/>
    <w:rsid w:val="5AD47E10"/>
    <w:rsid w:val="5B02320C"/>
    <w:rsid w:val="5B255422"/>
    <w:rsid w:val="5B4D3DF5"/>
    <w:rsid w:val="5B4D6AD9"/>
    <w:rsid w:val="5B607A28"/>
    <w:rsid w:val="5B9279DD"/>
    <w:rsid w:val="5BA45EDC"/>
    <w:rsid w:val="5BC11016"/>
    <w:rsid w:val="5BC934AE"/>
    <w:rsid w:val="5BF827B7"/>
    <w:rsid w:val="5C4331E5"/>
    <w:rsid w:val="5C8E458C"/>
    <w:rsid w:val="5CB928D8"/>
    <w:rsid w:val="5D350EAB"/>
    <w:rsid w:val="5D64556E"/>
    <w:rsid w:val="5D951E96"/>
    <w:rsid w:val="5DE970D7"/>
    <w:rsid w:val="5DF866B7"/>
    <w:rsid w:val="5E230800"/>
    <w:rsid w:val="5E3B5AF0"/>
    <w:rsid w:val="5E7F650D"/>
    <w:rsid w:val="5ECE29A1"/>
    <w:rsid w:val="5EEC77D9"/>
    <w:rsid w:val="5F3729F1"/>
    <w:rsid w:val="5FA54D4C"/>
    <w:rsid w:val="5FA6729F"/>
    <w:rsid w:val="5FF47D19"/>
    <w:rsid w:val="603A11F0"/>
    <w:rsid w:val="604C110A"/>
    <w:rsid w:val="60811D6D"/>
    <w:rsid w:val="60950881"/>
    <w:rsid w:val="60B116A4"/>
    <w:rsid w:val="60EC2CF2"/>
    <w:rsid w:val="60ED5FBB"/>
    <w:rsid w:val="60F85020"/>
    <w:rsid w:val="610A4C7F"/>
    <w:rsid w:val="6147779B"/>
    <w:rsid w:val="615904FD"/>
    <w:rsid w:val="615A6FF1"/>
    <w:rsid w:val="6172208A"/>
    <w:rsid w:val="619C1D31"/>
    <w:rsid w:val="61DC3879"/>
    <w:rsid w:val="62B47227"/>
    <w:rsid w:val="62F30779"/>
    <w:rsid w:val="62FE72EA"/>
    <w:rsid w:val="6345175E"/>
    <w:rsid w:val="6360236C"/>
    <w:rsid w:val="637F1CD3"/>
    <w:rsid w:val="63C75138"/>
    <w:rsid w:val="640E09FE"/>
    <w:rsid w:val="642167B4"/>
    <w:rsid w:val="6424218B"/>
    <w:rsid w:val="64CD62A5"/>
    <w:rsid w:val="64E738E4"/>
    <w:rsid w:val="654079E2"/>
    <w:rsid w:val="65936255"/>
    <w:rsid w:val="65995AF2"/>
    <w:rsid w:val="65A02E86"/>
    <w:rsid w:val="65E9543A"/>
    <w:rsid w:val="66005C9D"/>
    <w:rsid w:val="66027123"/>
    <w:rsid w:val="664571D6"/>
    <w:rsid w:val="668B1EA9"/>
    <w:rsid w:val="66950DE9"/>
    <w:rsid w:val="669B13D7"/>
    <w:rsid w:val="66B27F22"/>
    <w:rsid w:val="66F334D3"/>
    <w:rsid w:val="66F97647"/>
    <w:rsid w:val="670A0A13"/>
    <w:rsid w:val="671A4C04"/>
    <w:rsid w:val="67735EE3"/>
    <w:rsid w:val="67A62304"/>
    <w:rsid w:val="67E03507"/>
    <w:rsid w:val="67EC408F"/>
    <w:rsid w:val="683406DE"/>
    <w:rsid w:val="68A51374"/>
    <w:rsid w:val="68C462F1"/>
    <w:rsid w:val="68E11616"/>
    <w:rsid w:val="68EC49A5"/>
    <w:rsid w:val="69011C68"/>
    <w:rsid w:val="6911000F"/>
    <w:rsid w:val="6A043D3E"/>
    <w:rsid w:val="6AE17E57"/>
    <w:rsid w:val="6AF65B34"/>
    <w:rsid w:val="6AFE1016"/>
    <w:rsid w:val="6AFF6083"/>
    <w:rsid w:val="6B2C3675"/>
    <w:rsid w:val="6B33506F"/>
    <w:rsid w:val="6B6063C9"/>
    <w:rsid w:val="6B650E43"/>
    <w:rsid w:val="6B7F1AF5"/>
    <w:rsid w:val="6BE36608"/>
    <w:rsid w:val="6BED679D"/>
    <w:rsid w:val="6BF20707"/>
    <w:rsid w:val="6BF54B38"/>
    <w:rsid w:val="6C0F508E"/>
    <w:rsid w:val="6C1E1291"/>
    <w:rsid w:val="6C1F1BB5"/>
    <w:rsid w:val="6C6169ED"/>
    <w:rsid w:val="6CB65AF8"/>
    <w:rsid w:val="6CC17256"/>
    <w:rsid w:val="6CCD6419"/>
    <w:rsid w:val="6CD4234C"/>
    <w:rsid w:val="6D0D284C"/>
    <w:rsid w:val="6D140FEE"/>
    <w:rsid w:val="6D32132E"/>
    <w:rsid w:val="6D3731A5"/>
    <w:rsid w:val="6D4735BF"/>
    <w:rsid w:val="6D6A78D9"/>
    <w:rsid w:val="6DF158AE"/>
    <w:rsid w:val="6DFE19FC"/>
    <w:rsid w:val="6E023C8A"/>
    <w:rsid w:val="6E1B3196"/>
    <w:rsid w:val="6E22598D"/>
    <w:rsid w:val="6E3561DC"/>
    <w:rsid w:val="6E413BE6"/>
    <w:rsid w:val="6E4422F6"/>
    <w:rsid w:val="6E695CDF"/>
    <w:rsid w:val="6E957195"/>
    <w:rsid w:val="6E973E91"/>
    <w:rsid w:val="6ED177DA"/>
    <w:rsid w:val="6EED067D"/>
    <w:rsid w:val="6EF068DA"/>
    <w:rsid w:val="6F0E4F7A"/>
    <w:rsid w:val="6F1E12D7"/>
    <w:rsid w:val="6FC31F19"/>
    <w:rsid w:val="704C6CF1"/>
    <w:rsid w:val="70584223"/>
    <w:rsid w:val="707E27BF"/>
    <w:rsid w:val="708741CD"/>
    <w:rsid w:val="70A82328"/>
    <w:rsid w:val="70AB424A"/>
    <w:rsid w:val="70B34FB0"/>
    <w:rsid w:val="70BD6558"/>
    <w:rsid w:val="70D746AC"/>
    <w:rsid w:val="70EB6288"/>
    <w:rsid w:val="711616A4"/>
    <w:rsid w:val="71174061"/>
    <w:rsid w:val="71283721"/>
    <w:rsid w:val="716067B0"/>
    <w:rsid w:val="7188169E"/>
    <w:rsid w:val="71A07640"/>
    <w:rsid w:val="71AE405B"/>
    <w:rsid w:val="71D427FF"/>
    <w:rsid w:val="71FF0628"/>
    <w:rsid w:val="72570D93"/>
    <w:rsid w:val="725D1030"/>
    <w:rsid w:val="726567DA"/>
    <w:rsid w:val="726616CE"/>
    <w:rsid w:val="727C55A1"/>
    <w:rsid w:val="72832582"/>
    <w:rsid w:val="729E49EA"/>
    <w:rsid w:val="72B7141E"/>
    <w:rsid w:val="72B94802"/>
    <w:rsid w:val="72FD6249"/>
    <w:rsid w:val="72FE0A87"/>
    <w:rsid w:val="732706F9"/>
    <w:rsid w:val="732914DC"/>
    <w:rsid w:val="736949E6"/>
    <w:rsid w:val="73A26B67"/>
    <w:rsid w:val="73B93EE5"/>
    <w:rsid w:val="73C80FB1"/>
    <w:rsid w:val="73CE6C6D"/>
    <w:rsid w:val="73E95163"/>
    <w:rsid w:val="73EF671C"/>
    <w:rsid w:val="740B1FF0"/>
    <w:rsid w:val="7430307F"/>
    <w:rsid w:val="74340B92"/>
    <w:rsid w:val="745942EE"/>
    <w:rsid w:val="74620891"/>
    <w:rsid w:val="74777001"/>
    <w:rsid w:val="747D102B"/>
    <w:rsid w:val="74831720"/>
    <w:rsid w:val="749C517E"/>
    <w:rsid w:val="74E000D4"/>
    <w:rsid w:val="74F16F2F"/>
    <w:rsid w:val="75603AB2"/>
    <w:rsid w:val="75953045"/>
    <w:rsid w:val="75C8041E"/>
    <w:rsid w:val="75CD1C51"/>
    <w:rsid w:val="75E928C0"/>
    <w:rsid w:val="763A7319"/>
    <w:rsid w:val="766F725C"/>
    <w:rsid w:val="76790233"/>
    <w:rsid w:val="768B2C0A"/>
    <w:rsid w:val="76A82D1F"/>
    <w:rsid w:val="76B3535B"/>
    <w:rsid w:val="76F71702"/>
    <w:rsid w:val="77196389"/>
    <w:rsid w:val="771F2D6B"/>
    <w:rsid w:val="772E7193"/>
    <w:rsid w:val="7734199B"/>
    <w:rsid w:val="77484CAB"/>
    <w:rsid w:val="779623AD"/>
    <w:rsid w:val="7798638F"/>
    <w:rsid w:val="77C86594"/>
    <w:rsid w:val="782A0C8C"/>
    <w:rsid w:val="78497340"/>
    <w:rsid w:val="78A07BDA"/>
    <w:rsid w:val="78E6519B"/>
    <w:rsid w:val="78FC707F"/>
    <w:rsid w:val="79435A80"/>
    <w:rsid w:val="795F7AAC"/>
    <w:rsid w:val="796E3EF0"/>
    <w:rsid w:val="79702026"/>
    <w:rsid w:val="79914F54"/>
    <w:rsid w:val="79CF4BFA"/>
    <w:rsid w:val="79FB43E1"/>
    <w:rsid w:val="7A2902FC"/>
    <w:rsid w:val="7A3D2C79"/>
    <w:rsid w:val="7A40147F"/>
    <w:rsid w:val="7A5007FA"/>
    <w:rsid w:val="7A9C6A54"/>
    <w:rsid w:val="7ABB7BAF"/>
    <w:rsid w:val="7AF83B85"/>
    <w:rsid w:val="7AFD57B8"/>
    <w:rsid w:val="7B0034EA"/>
    <w:rsid w:val="7B5F5B2A"/>
    <w:rsid w:val="7B6E49EB"/>
    <w:rsid w:val="7B91378B"/>
    <w:rsid w:val="7B917B48"/>
    <w:rsid w:val="7C500030"/>
    <w:rsid w:val="7C7A0AC6"/>
    <w:rsid w:val="7CCF49B2"/>
    <w:rsid w:val="7D790A9C"/>
    <w:rsid w:val="7DBF07E9"/>
    <w:rsid w:val="7DDA6374"/>
    <w:rsid w:val="7DF2702E"/>
    <w:rsid w:val="7E110A28"/>
    <w:rsid w:val="7E3C05B4"/>
    <w:rsid w:val="7E520F7B"/>
    <w:rsid w:val="7E5B25DC"/>
    <w:rsid w:val="7E7B17E9"/>
    <w:rsid w:val="7E7F4A5A"/>
    <w:rsid w:val="7EAE6777"/>
    <w:rsid w:val="7EB34F90"/>
    <w:rsid w:val="7ED008BC"/>
    <w:rsid w:val="7EE747ED"/>
    <w:rsid w:val="7EEB65CE"/>
    <w:rsid w:val="7EF82FD5"/>
    <w:rsid w:val="7F157B86"/>
    <w:rsid w:val="7F235680"/>
    <w:rsid w:val="7F491649"/>
    <w:rsid w:val="7F645C38"/>
    <w:rsid w:val="7F7215CA"/>
    <w:rsid w:val="7F800765"/>
    <w:rsid w:val="7F975F77"/>
    <w:rsid w:val="7F9E036E"/>
    <w:rsid w:val="7FA6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5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8"/>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link w:val="51"/>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6"/>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9"/>
    <w:qFormat/>
    <w:uiPriority w:val="0"/>
    <w:pPr>
      <w:spacing w:after="120"/>
    </w:pPr>
    <w:rPr>
      <w:rFonts w:ascii="@微软简标宋" w:hAnsi="@微软简标宋" w:eastAsia="@微软简标宋" w:cs="@微软简标宋"/>
      <w:szCs w:val="24"/>
      <w:lang w:val="zh-CN"/>
    </w:rPr>
  </w:style>
  <w:style w:type="paragraph" w:styleId="7">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8">
    <w:name w:val="annotation text"/>
    <w:basedOn w:val="1"/>
    <w:link w:val="49"/>
    <w:qFormat/>
    <w:uiPriority w:val="99"/>
    <w:pPr>
      <w:jc w:val="left"/>
    </w:pPr>
    <w:rPr>
      <w:rFonts w:ascii="Arial" w:hAnsi="Arial" w:eastAsia="黑体" w:cs="Arial"/>
    </w:rPr>
  </w:style>
  <w:style w:type="paragraph" w:styleId="9">
    <w:name w:val="Body Text Indent"/>
    <w:basedOn w:val="1"/>
    <w:next w:val="10"/>
    <w:link w:val="7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42"/>
    <w:qFormat/>
    <w:uiPriority w:val="99"/>
    <w:rPr>
      <w:rFonts w:ascii="宋体" w:hAnsi="Courier New" w:eastAsia="宋体" w:cs="黑体"/>
      <w:szCs w:val="22"/>
    </w:rPr>
  </w:style>
  <w:style w:type="paragraph" w:styleId="14">
    <w:name w:val="Date"/>
    <w:basedOn w:val="1"/>
    <w:next w:val="1"/>
    <w:link w:val="46"/>
    <w:qFormat/>
    <w:uiPriority w:val="0"/>
    <w:rPr>
      <w:rFonts w:ascii="Arial" w:hAnsi="Arial" w:eastAsia="宋体" w:cs="Arial"/>
      <w:b/>
      <w:sz w:val="28"/>
    </w:rPr>
  </w:style>
  <w:style w:type="paragraph" w:styleId="15">
    <w:name w:val="Balloon Text"/>
    <w:basedOn w:val="1"/>
    <w:link w:val="39"/>
    <w:unhideWhenUsed/>
    <w:qFormat/>
    <w:uiPriority w:val="99"/>
    <w:rPr>
      <w:sz w:val="18"/>
      <w:szCs w:val="18"/>
    </w:rPr>
  </w:style>
  <w:style w:type="paragraph" w:styleId="16">
    <w:name w:val="footer"/>
    <w:basedOn w:val="1"/>
    <w:link w:val="41"/>
    <w:unhideWhenUsed/>
    <w:qFormat/>
    <w:uiPriority w:val="99"/>
    <w:pPr>
      <w:tabs>
        <w:tab w:val="center" w:pos="4153"/>
        <w:tab w:val="right" w:pos="8306"/>
      </w:tabs>
      <w:snapToGrid w:val="0"/>
      <w:jc w:val="left"/>
    </w:pPr>
    <w:rPr>
      <w:sz w:val="18"/>
      <w:szCs w:val="18"/>
    </w:rPr>
  </w:style>
  <w:style w:type="paragraph" w:styleId="17">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Normal (Web)"/>
    <w:basedOn w:val="1"/>
    <w:qFormat/>
    <w:uiPriority w:val="0"/>
    <w:pPr>
      <w:spacing w:beforeAutospacing="1" w:afterAutospacing="1"/>
      <w:jc w:val="left"/>
    </w:pPr>
    <w:rPr>
      <w:kern w:val="0"/>
      <w:sz w:val="24"/>
    </w:rPr>
  </w:style>
  <w:style w:type="paragraph" w:styleId="21">
    <w:name w:val="index 1"/>
    <w:basedOn w:val="1"/>
    <w:next w:val="1"/>
    <w:qFormat/>
    <w:uiPriority w:val="0"/>
    <w:pPr>
      <w:jc w:val="center"/>
    </w:pPr>
    <w:rPr>
      <w:rFonts w:ascii="Arial" w:hAnsi="Arial" w:eastAsia="Arial" w:cs="Arial"/>
      <w:b/>
      <w:bCs/>
      <w:sz w:val="28"/>
    </w:rPr>
  </w:style>
  <w:style w:type="paragraph" w:styleId="22">
    <w:name w:val="annotation subject"/>
    <w:basedOn w:val="8"/>
    <w:next w:val="8"/>
    <w:link w:val="59"/>
    <w:unhideWhenUsed/>
    <w:qFormat/>
    <w:uiPriority w:val="99"/>
    <w:rPr>
      <w:rFonts w:ascii="@仿宋_GB2312" w:hAnsi="@仿宋_GB2312" w:eastAsia="@仿宋_GB2312" w:cs="@仿宋_GB2312"/>
      <w:b/>
      <w:bCs/>
    </w:rPr>
  </w:style>
  <w:style w:type="paragraph" w:styleId="23">
    <w:name w:val="Body Text First Indent"/>
    <w:basedOn w:val="2"/>
    <w:link w:val="71"/>
    <w:unhideWhenUsed/>
    <w:qFormat/>
    <w:uiPriority w:val="99"/>
    <w:pPr>
      <w:ind w:firstLine="420" w:firstLineChars="100"/>
    </w:pPr>
  </w:style>
  <w:style w:type="paragraph" w:styleId="24">
    <w:name w:val="Body Text First Indent 2"/>
    <w:basedOn w:val="9"/>
    <w:link w:val="72"/>
    <w:unhideWhenUsed/>
    <w:qFormat/>
    <w:uiPriority w:val="99"/>
    <w:pPr>
      <w:ind w:left="420" w:firstLine="420" w:firstLineChars="200"/>
    </w:pPr>
    <w:rPr>
      <w:rFonts w:ascii="Times New Roman" w:cs="Times New Roman"/>
    </w:rPr>
  </w:style>
  <w:style w:type="table" w:styleId="26">
    <w:name w:val="Table Grid"/>
    <w:basedOn w:val="2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bCs/>
    </w:rPr>
  </w:style>
  <w:style w:type="character" w:styleId="29">
    <w:name w:val="Hyperlink"/>
    <w:basedOn w:val="27"/>
    <w:unhideWhenUsed/>
    <w:qFormat/>
    <w:uiPriority w:val="99"/>
    <w:rPr>
      <w:color w:val="0000FF"/>
      <w:u w:val="single"/>
    </w:rPr>
  </w:style>
  <w:style w:type="character" w:styleId="30">
    <w:name w:val="annotation reference"/>
    <w:basedOn w:val="27"/>
    <w:unhideWhenUsed/>
    <w:qFormat/>
    <w:uiPriority w:val="99"/>
    <w:rPr>
      <w:sz w:val="21"/>
      <w:szCs w:val="21"/>
    </w:rPr>
  </w:style>
  <w:style w:type="paragraph" w:customStyle="1" w:styleId="31">
    <w:name w:val="正文（缩进）"/>
    <w:basedOn w:val="1"/>
    <w:qFormat/>
    <w:uiPriority w:val="0"/>
    <w:pPr>
      <w:widowControl/>
      <w:spacing w:before="156" w:after="156"/>
      <w:ind w:firstLine="480" w:firstLineChars="200"/>
      <w:jc w:val="left"/>
    </w:pPr>
    <w:rPr>
      <w:kern w:val="0"/>
      <w:sz w:val="24"/>
      <w:szCs w:val="2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列表段落1"/>
    <w:basedOn w:val="1"/>
    <w:qFormat/>
    <w:uiPriority w:val="34"/>
    <w:pPr>
      <w:ind w:firstLine="420" w:firstLineChars="200"/>
    </w:pPr>
  </w:style>
  <w:style w:type="paragraph" w:customStyle="1" w:styleId="35">
    <w:name w:val="Char Char Char Char Char Char Char1 Char"/>
    <w:basedOn w:val="1"/>
    <w:qFormat/>
    <w:uiPriority w:val="0"/>
    <w:rPr>
      <w:rFonts w:ascii="Arial" w:hAnsi="Arial" w:eastAsia="宋体" w:cs="Arial"/>
      <w:sz w:val="24"/>
    </w:rPr>
  </w:style>
  <w:style w:type="paragraph" w:customStyle="1" w:styleId="36">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7">
    <w:name w:val="Char"/>
    <w:basedOn w:val="1"/>
    <w:qFormat/>
    <w:uiPriority w:val="0"/>
    <w:rPr>
      <w:rFonts w:ascii="Tahoma" w:hAnsi="Tahoma"/>
      <w:sz w:val="24"/>
    </w:rPr>
  </w:style>
  <w:style w:type="paragraph" w:customStyle="1" w:styleId="38">
    <w:name w:val="列出段落1"/>
    <w:basedOn w:val="1"/>
    <w:qFormat/>
    <w:uiPriority w:val="34"/>
    <w:pPr>
      <w:ind w:firstLine="420" w:firstLineChars="200"/>
    </w:pPr>
  </w:style>
  <w:style w:type="character" w:customStyle="1" w:styleId="39">
    <w:name w:val="批注框文本 Char"/>
    <w:basedOn w:val="27"/>
    <w:link w:val="15"/>
    <w:qFormat/>
    <w:uiPriority w:val="99"/>
    <w:rPr>
      <w:rFonts w:ascii="@仿宋_GB2312" w:hAnsi="@仿宋_GB2312" w:eastAsia="@仿宋_GB2312" w:cs="@仿宋_GB2312"/>
      <w:sz w:val="18"/>
      <w:szCs w:val="18"/>
    </w:rPr>
  </w:style>
  <w:style w:type="character" w:customStyle="1" w:styleId="40">
    <w:name w:val="页眉 Char"/>
    <w:basedOn w:val="27"/>
    <w:link w:val="17"/>
    <w:qFormat/>
    <w:uiPriority w:val="99"/>
    <w:rPr>
      <w:rFonts w:ascii="@仿宋_GB2312" w:hAnsi="@仿宋_GB2312" w:eastAsia="@仿宋_GB2312" w:cs="@仿宋_GB2312"/>
      <w:sz w:val="18"/>
      <w:szCs w:val="18"/>
    </w:rPr>
  </w:style>
  <w:style w:type="character" w:customStyle="1" w:styleId="41">
    <w:name w:val="页脚 Char"/>
    <w:basedOn w:val="27"/>
    <w:link w:val="16"/>
    <w:qFormat/>
    <w:uiPriority w:val="99"/>
    <w:rPr>
      <w:rFonts w:ascii="@仿宋_GB2312" w:hAnsi="@仿宋_GB2312" w:eastAsia="@仿宋_GB2312" w:cs="@仿宋_GB2312"/>
      <w:sz w:val="18"/>
      <w:szCs w:val="18"/>
    </w:rPr>
  </w:style>
  <w:style w:type="character" w:customStyle="1" w:styleId="42">
    <w:name w:val="纯文本 Char"/>
    <w:link w:val="13"/>
    <w:qFormat/>
    <w:uiPriority w:val="99"/>
    <w:rPr>
      <w:rFonts w:ascii="宋体" w:hAnsi="Courier New"/>
    </w:rPr>
  </w:style>
  <w:style w:type="character" w:customStyle="1" w:styleId="43">
    <w:name w:val="纯文本 字符1"/>
    <w:basedOn w:val="27"/>
    <w:semiHidden/>
    <w:qFormat/>
    <w:uiPriority w:val="99"/>
    <w:rPr>
      <w:rFonts w:ascii="宋体" w:hAnsi="Courier New" w:cs="Courier New"/>
      <w:szCs w:val="20"/>
    </w:rPr>
  </w:style>
  <w:style w:type="character" w:customStyle="1" w:styleId="44">
    <w:name w:val="未处理的提及1"/>
    <w:basedOn w:val="27"/>
    <w:unhideWhenUsed/>
    <w:qFormat/>
    <w:uiPriority w:val="99"/>
    <w:rPr>
      <w:color w:val="605E5C"/>
      <w:shd w:val="clear" w:color="auto" w:fill="E1DFDD"/>
    </w:rPr>
  </w:style>
  <w:style w:type="character" w:customStyle="1" w:styleId="45">
    <w:name w:val="日期 字符"/>
    <w:basedOn w:val="27"/>
    <w:semiHidden/>
    <w:qFormat/>
    <w:uiPriority w:val="99"/>
    <w:rPr>
      <w:rFonts w:ascii="@仿宋_GB2312" w:hAnsi="@仿宋_GB2312" w:eastAsia="@仿宋_GB2312" w:cs="@仿宋_GB2312"/>
      <w:szCs w:val="20"/>
    </w:rPr>
  </w:style>
  <w:style w:type="character" w:customStyle="1" w:styleId="46">
    <w:name w:val="日期 Char"/>
    <w:link w:val="14"/>
    <w:qFormat/>
    <w:uiPriority w:val="0"/>
    <w:rPr>
      <w:rFonts w:ascii="Arial" w:hAnsi="Arial" w:eastAsia="宋体" w:cs="Arial"/>
      <w:b/>
      <w:sz w:val="28"/>
      <w:szCs w:val="20"/>
    </w:rPr>
  </w:style>
  <w:style w:type="character" w:customStyle="1" w:styleId="47">
    <w:name w:val="纯文本 Char1"/>
    <w:qFormat/>
    <w:locked/>
    <w:uiPriority w:val="99"/>
    <w:rPr>
      <w:rFonts w:ascii="Arial" w:hAnsi="Arial" w:eastAsia="Arial"/>
      <w:kern w:val="2"/>
      <w:sz w:val="21"/>
      <w:lang w:val="en-US" w:eastAsia="zh-CN" w:bidi="ar-SA"/>
    </w:rPr>
  </w:style>
  <w:style w:type="character" w:customStyle="1" w:styleId="48">
    <w:name w:val="批注文字 Char"/>
    <w:basedOn w:val="27"/>
    <w:semiHidden/>
    <w:qFormat/>
    <w:uiPriority w:val="99"/>
    <w:rPr>
      <w:rFonts w:ascii="@仿宋_GB2312" w:hAnsi="@仿宋_GB2312" w:eastAsia="@仿宋_GB2312" w:cs="@仿宋_GB2312"/>
      <w:szCs w:val="20"/>
    </w:rPr>
  </w:style>
  <w:style w:type="character" w:customStyle="1" w:styleId="49">
    <w:name w:val="批注文字 Char1"/>
    <w:link w:val="8"/>
    <w:qFormat/>
    <w:uiPriority w:val="99"/>
    <w:rPr>
      <w:rFonts w:ascii="Arial" w:hAnsi="Arial" w:eastAsia="黑体" w:cs="Arial"/>
      <w:szCs w:val="20"/>
    </w:rPr>
  </w:style>
  <w:style w:type="character" w:customStyle="1" w:styleId="50">
    <w:name w:val="标题 1 Char"/>
    <w:basedOn w:val="27"/>
    <w:link w:val="3"/>
    <w:qFormat/>
    <w:uiPriority w:val="9"/>
    <w:rPr>
      <w:rFonts w:ascii="@仿宋_GB2312" w:hAnsi="@仿宋_GB2312" w:eastAsia="@仿宋_GB2312" w:cs="@仿宋_GB2312"/>
      <w:b/>
      <w:bCs/>
      <w:kern w:val="44"/>
      <w:sz w:val="44"/>
      <w:szCs w:val="44"/>
    </w:rPr>
  </w:style>
  <w:style w:type="character" w:customStyle="1" w:styleId="51">
    <w:name w:val="标题 3 Char"/>
    <w:basedOn w:val="27"/>
    <w:link w:val="5"/>
    <w:qFormat/>
    <w:uiPriority w:val="9"/>
    <w:rPr>
      <w:rFonts w:ascii="@仿宋_GB2312" w:hAnsi="@仿宋_GB2312" w:eastAsia="@仿宋_GB2312" w:cs="@仿宋_GB2312"/>
      <w:b/>
      <w:bCs/>
      <w:sz w:val="32"/>
      <w:szCs w:val="32"/>
    </w:rPr>
  </w:style>
  <w:style w:type="character" w:customStyle="1" w:styleId="52">
    <w:name w:val="fontstyle01"/>
    <w:basedOn w:val="27"/>
    <w:qFormat/>
    <w:uiPriority w:val="0"/>
    <w:rPr>
      <w:rFonts w:hint="eastAsia" w:ascii="宋体" w:hAnsi="宋体" w:eastAsia="宋体"/>
      <w:color w:val="000000"/>
      <w:sz w:val="22"/>
      <w:szCs w:val="22"/>
    </w:rPr>
  </w:style>
  <w:style w:type="character" w:customStyle="1" w:styleId="53">
    <w:name w:val="fontstyle21"/>
    <w:basedOn w:val="27"/>
    <w:qFormat/>
    <w:uiPriority w:val="0"/>
    <w:rPr>
      <w:rFonts w:hint="default" w:ascii="TimesNewRomanPSMT" w:hAnsi="TimesNewRomanPSMT"/>
      <w:color w:val="000000"/>
      <w:sz w:val="22"/>
      <w:szCs w:val="22"/>
    </w:rPr>
  </w:style>
  <w:style w:type="character" w:customStyle="1" w:styleId="54">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5">
    <w:name w:val="标题 4 字符"/>
    <w:basedOn w:val="27"/>
    <w:semiHidden/>
    <w:qFormat/>
    <w:uiPriority w:val="9"/>
    <w:rPr>
      <w:rFonts w:ascii="Cambria" w:hAnsi="Cambria" w:eastAsia="宋体" w:cs="黑体"/>
      <w:b/>
      <w:bCs/>
      <w:sz w:val="28"/>
      <w:szCs w:val="28"/>
    </w:rPr>
  </w:style>
  <w:style w:type="character" w:customStyle="1" w:styleId="56">
    <w:name w:val="标题 4 Char1"/>
    <w:link w:val="6"/>
    <w:qFormat/>
    <w:uiPriority w:val="0"/>
    <w:rPr>
      <w:rFonts w:ascii="@仿宋_GB2312" w:hAnsi="@仿宋_GB2312" w:eastAsia="@仿宋_GB2312" w:cs="@仿宋_GB2312"/>
      <w:b/>
      <w:bCs/>
      <w:sz w:val="28"/>
      <w:szCs w:val="28"/>
    </w:rPr>
  </w:style>
  <w:style w:type="character" w:customStyle="1" w:styleId="57">
    <w:name w:val="标题 4 Char"/>
    <w:qFormat/>
    <w:uiPriority w:val="0"/>
    <w:rPr>
      <w:rFonts w:ascii="Arial" w:hAnsi="Arial" w:eastAsia="Arial"/>
      <w:b/>
      <w:bCs/>
      <w:kern w:val="2"/>
      <w:sz w:val="28"/>
      <w:szCs w:val="28"/>
      <w:lang w:val="en-US" w:eastAsia="zh-CN" w:bidi="ar-SA"/>
    </w:rPr>
  </w:style>
  <w:style w:type="character" w:customStyle="1" w:styleId="58">
    <w:name w:val="fontstyle11"/>
    <w:basedOn w:val="27"/>
    <w:qFormat/>
    <w:uiPriority w:val="0"/>
    <w:rPr>
      <w:rFonts w:hint="eastAsia" w:ascii="宋体" w:hAnsi="宋体" w:eastAsia="宋体"/>
      <w:color w:val="000000"/>
      <w:sz w:val="22"/>
      <w:szCs w:val="22"/>
    </w:rPr>
  </w:style>
  <w:style w:type="character" w:customStyle="1" w:styleId="59">
    <w:name w:val="批注主题 Char"/>
    <w:basedOn w:val="49"/>
    <w:link w:val="22"/>
    <w:qFormat/>
    <w:uiPriority w:val="99"/>
    <w:rPr>
      <w:rFonts w:ascii="@仿宋_GB2312" w:hAnsi="@仿宋_GB2312" w:eastAsia="@仿宋_GB2312" w:cs="@仿宋_GB2312"/>
      <w:b/>
      <w:bCs/>
      <w:szCs w:val="20"/>
    </w:rPr>
  </w:style>
  <w:style w:type="table" w:customStyle="1" w:styleId="60">
    <w:name w:val="网格表 1 浅色1"/>
    <w:basedOn w:val="25"/>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1">
    <w:name w:val="网格型1"/>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2">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3">
    <w:name w:val="List Paragraph"/>
    <w:basedOn w:val="1"/>
    <w:qFormat/>
    <w:uiPriority w:val="34"/>
    <w:pPr>
      <w:ind w:firstLine="420" w:firstLineChars="200"/>
    </w:pPr>
  </w:style>
  <w:style w:type="character" w:customStyle="1" w:styleId="64">
    <w:name w:val="font41"/>
    <w:basedOn w:val="27"/>
    <w:qFormat/>
    <w:uiPriority w:val="0"/>
    <w:rPr>
      <w:rFonts w:hint="default" w:ascii="Times New Roman" w:hAnsi="Times New Roman" w:cs="Times New Roman"/>
      <w:color w:val="000000"/>
      <w:sz w:val="20"/>
      <w:szCs w:val="20"/>
      <w:u w:val="none"/>
    </w:rPr>
  </w:style>
  <w:style w:type="character" w:customStyle="1" w:styleId="65">
    <w:name w:val="font51"/>
    <w:basedOn w:val="27"/>
    <w:qFormat/>
    <w:uiPriority w:val="0"/>
    <w:rPr>
      <w:rFonts w:hint="default" w:ascii="Times New Roman" w:hAnsi="Times New Roman" w:cs="Times New Roman"/>
      <w:color w:val="000000"/>
      <w:sz w:val="20"/>
      <w:szCs w:val="20"/>
      <w:u w:val="none"/>
    </w:rPr>
  </w:style>
  <w:style w:type="character" w:customStyle="1" w:styleId="66">
    <w:name w:val="font11"/>
    <w:basedOn w:val="27"/>
    <w:qFormat/>
    <w:uiPriority w:val="0"/>
    <w:rPr>
      <w:rFonts w:hint="eastAsia" w:ascii="宋体" w:hAnsi="宋体" w:eastAsia="宋体" w:cs="宋体"/>
      <w:color w:val="000000"/>
      <w:sz w:val="20"/>
      <w:szCs w:val="20"/>
      <w:u w:val="none"/>
    </w:rPr>
  </w:style>
  <w:style w:type="character" w:customStyle="1" w:styleId="67">
    <w:name w:val="font31"/>
    <w:basedOn w:val="27"/>
    <w:qFormat/>
    <w:uiPriority w:val="0"/>
    <w:rPr>
      <w:rFonts w:hint="eastAsia" w:ascii="宋体" w:hAnsi="宋体" w:eastAsia="宋体" w:cs="宋体"/>
      <w:color w:val="FF0000"/>
      <w:sz w:val="20"/>
      <w:szCs w:val="20"/>
      <w:u w:val="none"/>
    </w:rPr>
  </w:style>
  <w:style w:type="character" w:customStyle="1" w:styleId="68">
    <w:name w:val="标题 2 Char"/>
    <w:basedOn w:val="27"/>
    <w:link w:val="4"/>
    <w:qFormat/>
    <w:uiPriority w:val="0"/>
    <w:rPr>
      <w:rFonts w:ascii="Arial" w:hAnsi="Arial" w:eastAsia="黑体" w:cs="Arial"/>
      <w:b/>
      <w:bCs/>
      <w:kern w:val="2"/>
      <w:sz w:val="32"/>
      <w:szCs w:val="32"/>
    </w:rPr>
  </w:style>
  <w:style w:type="character" w:customStyle="1" w:styleId="69">
    <w:name w:val="正文文本 Char"/>
    <w:basedOn w:val="27"/>
    <w:link w:val="2"/>
    <w:qFormat/>
    <w:uiPriority w:val="0"/>
    <w:rPr>
      <w:rFonts w:ascii="@微软简标宋" w:hAnsi="@微软简标宋" w:eastAsia="@微软简标宋" w:cs="@微软简标宋"/>
      <w:kern w:val="2"/>
      <w:sz w:val="21"/>
      <w:szCs w:val="24"/>
      <w:lang w:val="zh-CN"/>
    </w:rPr>
  </w:style>
  <w:style w:type="character" w:customStyle="1" w:styleId="70">
    <w:name w:val="正文文本缩进 Char"/>
    <w:basedOn w:val="27"/>
    <w:link w:val="9"/>
    <w:qFormat/>
    <w:uiPriority w:val="99"/>
    <w:rPr>
      <w:rFonts w:ascii="楷体_GB2312" w:hAnsi="@仿宋_GB2312" w:eastAsia="楷体_GB2312" w:cs="@仿宋_GB2312"/>
      <w:kern w:val="2"/>
      <w:sz w:val="32"/>
    </w:rPr>
  </w:style>
  <w:style w:type="character" w:customStyle="1" w:styleId="71">
    <w:name w:val="正文首行缩进 Char"/>
    <w:basedOn w:val="69"/>
    <w:link w:val="23"/>
    <w:qFormat/>
    <w:uiPriority w:val="99"/>
    <w:rPr>
      <w:rFonts w:ascii="@微软简标宋" w:hAnsi="@微软简标宋" w:eastAsia="@微软简标宋" w:cs="@微软简标宋"/>
      <w:kern w:val="2"/>
      <w:sz w:val="21"/>
      <w:szCs w:val="24"/>
      <w:lang w:val="zh-CN"/>
    </w:rPr>
  </w:style>
  <w:style w:type="character" w:customStyle="1" w:styleId="72">
    <w:name w:val="正文首行缩进 2 Char"/>
    <w:basedOn w:val="70"/>
    <w:link w:val="24"/>
    <w:qFormat/>
    <w:uiPriority w:val="99"/>
    <w:rPr>
      <w:rFonts w:ascii="楷体_GB2312" w:hAnsi="@仿宋_GB2312" w:eastAsia="楷体_GB2312" w:cs="@仿宋_GB2312"/>
      <w:kern w:val="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9</Pages>
  <Words>23423</Words>
  <Characters>24656</Characters>
  <Lines>269</Lines>
  <Paragraphs>75</Paragraphs>
  <TotalTime>4</TotalTime>
  <ScaleCrop>false</ScaleCrop>
  <LinksUpToDate>false</LinksUpToDate>
  <CharactersWithSpaces>24898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2024-11-18T08:26:00Z</dcterms:created>
  <dc:creator>Anakin</dc:creator>
  <cp:lastModifiedBy>admin</cp:lastModifiedBy>
  <cp:lastPrinted>2019-12-03T09:59:00Z</cp:lastPrinted>
  <dcterms:modified xsi:type="dcterms:W3CDTF">2024-11-25T08:01:39Z</dcterms:modified>
  <dc:title>某项目（项目编号：某编号）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9669E705545542028D6DAB5DD77D1B83</vt:lpwstr>
  </property>
</Properties>
</file>