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1"/>
        <w:rPr>
          <w:rFonts w:ascii="宋体" w:hAnsi="宋体" w:eastAsia="宋体"/>
          <w:b/>
          <w:sz w:val="28"/>
        </w:rPr>
      </w:pPr>
      <w:bookmarkStart w:id="0" w:name="_Toc4912"/>
      <w:r>
        <w:rPr>
          <w:rFonts w:hint="eastAsia" w:ascii="宋体" w:hAnsi="宋体" w:eastAsia="宋体"/>
          <w:b/>
          <w:sz w:val="28"/>
        </w:rPr>
        <w:t>采购需求</w:t>
      </w:r>
      <w:bookmarkEnd w:id="0"/>
    </w:p>
    <w:p>
      <w:pPr>
        <w:spacing w:line="360" w:lineRule="auto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>
      <w:pPr>
        <w:spacing w:line="360" w:lineRule="auto"/>
        <w:ind w:firstLine="435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本采购需求中提出的服务方案仅为参考，如无明确限制，投标</w:t>
      </w:r>
      <w:r>
        <w:rPr>
          <w:rFonts w:hint="eastAsia" w:ascii="宋体" w:hAnsi="宋体" w:eastAsia="宋体"/>
          <w:sz w:val="24"/>
        </w:rPr>
        <w:t>人</w:t>
      </w:r>
      <w:r>
        <w:rPr>
          <w:rFonts w:ascii="宋体" w:hAnsi="宋体" w:eastAsia="宋体"/>
          <w:sz w:val="24"/>
        </w:rPr>
        <w:t>可以进行优化，提供满足采购人实际需要的更优（或者性能实质上不低于的）服务方案，且此方案须经评标委员会评审认可</w:t>
      </w:r>
      <w:r>
        <w:rPr>
          <w:rFonts w:hint="eastAsia" w:ascii="宋体" w:hAnsi="宋体" w:eastAsia="宋体"/>
          <w:sz w:val="24"/>
        </w:rPr>
        <w:t>。</w:t>
      </w:r>
    </w:p>
    <w:p/>
    <w:p>
      <w:pPr>
        <w:adjustRightInd w:val="0"/>
        <w:spacing w:line="360" w:lineRule="auto"/>
        <w:jc w:val="left"/>
        <w:textAlignment w:val="baseline"/>
        <w:outlineLvl w:val="0"/>
        <w:rPr>
          <w:rFonts w:ascii="宋体" w:hAnsi="宋体" w:eastAsia="宋体" w:cs="宋体"/>
          <w:b/>
          <w:bCs/>
          <w:szCs w:val="21"/>
        </w:rPr>
      </w:pPr>
      <w:bookmarkStart w:id="1" w:name="_Hlk23621890"/>
      <w:r>
        <w:rPr>
          <w:rFonts w:hint="eastAsia" w:ascii="宋体" w:hAnsi="宋体" w:eastAsia="宋体" w:cs="宋体"/>
          <w:b/>
          <w:bCs/>
          <w:szCs w:val="21"/>
        </w:rPr>
        <w:t>一、采购需求前附表</w:t>
      </w:r>
    </w:p>
    <w:tbl>
      <w:tblPr>
        <w:tblStyle w:val="24"/>
        <w:tblW w:w="460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064"/>
        <w:gridCol w:w="5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7" w:hRule="atLeast"/>
          <w:jc w:val="center"/>
        </w:trPr>
        <w:tc>
          <w:tcPr>
            <w:tcW w:w="483" w:type="pct"/>
            <w:noWrap w:val="0"/>
            <w:vAlign w:val="center"/>
          </w:tcPr>
          <w:p>
            <w:pPr>
              <w:pStyle w:val="3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kern w:val="2"/>
                <w:sz w:val="21"/>
                <w:szCs w:val="21"/>
              </w:rPr>
              <w:t>序号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 w:val="0"/>
                <w:sz w:val="21"/>
                <w:szCs w:val="21"/>
              </w:rPr>
              <w:t>条款名称</w:t>
            </w:r>
          </w:p>
        </w:tc>
        <w:tc>
          <w:tcPr>
            <w:tcW w:w="3200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 w:val="0"/>
                <w:sz w:val="21"/>
                <w:szCs w:val="21"/>
              </w:rPr>
              <w:t>内容、说明与要求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483" w:type="pct"/>
            <w:noWrap w:val="0"/>
            <w:vAlign w:val="center"/>
          </w:tcPr>
          <w:p>
            <w:pPr>
              <w:pStyle w:val="3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1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rPr>
                <w:rFonts w:ascii="宋体" w:hAnsi="宋体" w:eastAsia="宋体"/>
                <w:b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付款方式</w:t>
            </w:r>
          </w:p>
        </w:tc>
        <w:tc>
          <w:tcPr>
            <w:tcW w:w="3200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服务结束</w:t>
            </w: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  <w:lang w:val="en-US" w:eastAsia="zh-CN"/>
              </w:rPr>
              <w:t>且采购人验收合格后</w:t>
            </w: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，采购人一次性付清</w:t>
            </w: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  <w:lang w:val="en-US" w:eastAsia="zh-CN"/>
              </w:rPr>
              <w:t>全部</w:t>
            </w: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的款项。</w:t>
            </w:r>
          </w:p>
          <w:p>
            <w:pPr>
              <w:pStyle w:val="32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（付款前，中标人须向采购人提供等额的增值税专用发票。）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83" w:type="pct"/>
            <w:noWrap w:val="0"/>
            <w:vAlign w:val="center"/>
          </w:tcPr>
          <w:p>
            <w:pPr>
              <w:pStyle w:val="3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2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rPr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  <w:szCs w:val="21"/>
              </w:rPr>
              <w:t>服务地点</w:t>
            </w:r>
          </w:p>
        </w:tc>
        <w:tc>
          <w:tcPr>
            <w:tcW w:w="3200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 w:val="0"/>
                <w:sz w:val="21"/>
                <w:szCs w:val="21"/>
              </w:rPr>
              <w:t>合肥市内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83" w:type="pct"/>
            <w:noWrap w:val="0"/>
            <w:vAlign w:val="center"/>
          </w:tcPr>
          <w:p>
            <w:pPr>
              <w:pStyle w:val="33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Cs/>
                <w:kern w:val="2"/>
                <w:sz w:val="21"/>
                <w:szCs w:val="21"/>
              </w:rPr>
              <w:t>3</w:t>
            </w:r>
          </w:p>
        </w:tc>
        <w:tc>
          <w:tcPr>
            <w:tcW w:w="1315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rPr>
                <w:rFonts w:ascii="宋体" w:hAnsi="宋体" w:eastAsia="宋体"/>
                <w:b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服务期限</w:t>
            </w:r>
          </w:p>
        </w:tc>
        <w:tc>
          <w:tcPr>
            <w:tcW w:w="3200" w:type="pct"/>
            <w:noWrap w:val="0"/>
            <w:vAlign w:val="center"/>
          </w:tcPr>
          <w:p>
            <w:pPr>
              <w:pStyle w:val="32"/>
              <w:widowControl w:val="0"/>
              <w:spacing w:before="0" w:beforeAutospacing="0" w:after="0" w:afterAutospacing="0"/>
              <w:jc w:val="both"/>
              <w:rPr>
                <w:rFonts w:ascii="宋体" w:hAnsi="宋体" w:eastAsia="宋体"/>
                <w:b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合同生效之日起</w:t>
            </w: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eastAsia="宋体"/>
                <w:b w:val="0"/>
                <w:sz w:val="21"/>
                <w:szCs w:val="21"/>
                <w:highlight w:val="none"/>
              </w:rPr>
              <w:t>日内完成全部服务内容。</w:t>
            </w:r>
          </w:p>
        </w:tc>
      </w:tr>
      <w:bookmarkEnd w:id="1"/>
    </w:tbl>
    <w:p>
      <w:pPr>
        <w:adjustRightInd w:val="0"/>
        <w:spacing w:line="360" w:lineRule="auto"/>
        <w:textAlignment w:val="baseline"/>
        <w:rPr>
          <w:rFonts w:ascii="宋体" w:hAnsi="宋体" w:eastAsia="宋体" w:cs="宋体"/>
          <w:szCs w:val="21"/>
          <w:shd w:val="clear" w:color="auto" w:fill="FFFFFF"/>
        </w:rPr>
      </w:pPr>
    </w:p>
    <w:p>
      <w:pPr>
        <w:adjustRightInd w:val="0"/>
        <w:spacing w:line="360" w:lineRule="auto"/>
        <w:jc w:val="left"/>
        <w:textAlignment w:val="baseline"/>
        <w:outlineLvl w:val="0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二、项目现状</w:t>
      </w:r>
    </w:p>
    <w:p>
      <w:pPr>
        <w:adjustRightInd w:val="0"/>
        <w:spacing w:line="360" w:lineRule="auto"/>
        <w:ind w:firstLine="420" w:firstLineChars="200"/>
        <w:textAlignment w:val="baseline"/>
        <w:rPr>
          <w:rFonts w:ascii="宋体" w:hAnsi="宋体" w:eastAsia="宋体" w:cs="宋体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Cs w:val="21"/>
          <w:shd w:val="clear" w:color="auto" w:fill="FFFFFF"/>
        </w:rPr>
        <w:t>中国科学技术大学校园10kV变电所内现共有41瓶七氟丙烷灭火器（容量为120L-150L），均为2020年之前充装检测，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根据《气瓶安全技术规程》（T</w:t>
      </w:r>
      <w:r>
        <w:rPr>
          <w:rFonts w:ascii="宋体" w:hAnsi="宋体" w:eastAsia="宋体" w:cs="宋体"/>
          <w:szCs w:val="21"/>
          <w:highlight w:val="none"/>
          <w:shd w:val="clear" w:color="auto" w:fill="FFFFFF"/>
        </w:rPr>
        <w:t>SG23-2021）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  <w:lang w:val="en-US" w:eastAsia="zh-CN"/>
        </w:rPr>
        <w:t>及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《气瓶安全技术监察规程》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  <w:lang w:eastAsia="zh-CN"/>
        </w:rPr>
        <w:t>（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TSGR0006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  <w:lang w:eastAsia="zh-CN"/>
        </w:rPr>
        <w:t>）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中要求，消防气体灭火系统（七氟丙烷、高压二氧化碳、IG541）各类气瓶的检验周期是三年一检，目前变电所内41瓶七氟丙烷灭火器均己到检测周期。</w:t>
      </w:r>
    </w:p>
    <w:tbl>
      <w:tblPr>
        <w:tblStyle w:val="24"/>
        <w:tblW w:w="864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1598"/>
        <w:gridCol w:w="2250"/>
        <w:gridCol w:w="1027"/>
        <w:gridCol w:w="2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640" w:type="dxa"/>
            <w:gridSpan w:val="5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七氟丙烷灭火器统计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场地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生产日期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容量（公斤）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目前状况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1号所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2017年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135*4+126*5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9瓶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低于工作压力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2号所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2017年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110*10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低于工作压力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3号所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2017年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111*6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低于工作压力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5号所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2017年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113.5*10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低于工作压力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6号所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2020年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150*6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6瓶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压力处于临界点</w:t>
            </w:r>
          </w:p>
        </w:tc>
      </w:tr>
    </w:tbl>
    <w:p>
      <w:pPr>
        <w:adjustRightInd w:val="0"/>
        <w:spacing w:line="360" w:lineRule="auto"/>
        <w:jc w:val="left"/>
        <w:textAlignment w:val="baseline"/>
        <w:outlineLvl w:val="0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三、服务内容和要求</w:t>
      </w:r>
    </w:p>
    <w:p>
      <w:pPr>
        <w:adjustRightInd w:val="0"/>
        <w:spacing w:line="360" w:lineRule="auto"/>
        <w:ind w:firstLine="420" w:firstLineChars="200"/>
        <w:textAlignment w:val="baseline"/>
        <w:rPr>
          <w:rFonts w:ascii="宋体" w:hAnsi="宋体" w:eastAsia="宋体" w:cs="宋体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szCs w:val="21"/>
          <w:shd w:val="clear" w:color="auto" w:fill="FFFFFF"/>
        </w:rPr>
        <w:t>本次采购拟对到期的41瓶七氟丙烷钢瓶进行检测（包括阀头气密性试验和维护）、药剂的补充充装，并出具合格检测报告。</w:t>
      </w:r>
    </w:p>
    <w:tbl>
      <w:tblPr>
        <w:tblStyle w:val="24"/>
        <w:tblW w:w="876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9"/>
      </w:tblGrid>
      <w:tr>
        <w:trPr>
          <w:trHeight w:val="576" w:hRule="atLeast"/>
        </w:trPr>
        <w:tc>
          <w:tcPr>
            <w:tcW w:w="87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维护保养内容</w:t>
            </w:r>
          </w:p>
        </w:tc>
      </w:tr>
      <w:tr>
        <w:trPr>
          <w:trHeight w:val="2215" w:hRule="atLeast"/>
        </w:trPr>
        <w:tc>
          <w:tcPr>
            <w:tcW w:w="8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1、气瓶检查；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2、气瓶瓶头阀拆洗、更换易损、易老化部件；</w:t>
            </w:r>
            <w:bookmarkStart w:id="2" w:name="_GoBack"/>
            <w:bookmarkEnd w:id="2"/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3、气瓶瓶头阀维修后，气密试验；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4、气瓶瓶头阀维修后，动作试验；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5、气瓶补冲氮气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eastAsia="zh-CN" w:bidi="ar"/>
              </w:rPr>
              <w:t>；</w:t>
            </w:r>
          </w:p>
          <w:p>
            <w:pPr>
              <w:jc w:val="both"/>
              <w:rPr>
                <w:rFonts w:ascii="宋体" w:hAnsi="宋体" w:eastAsia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6、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灭火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none"/>
                <w:lang w:bidi="ar"/>
              </w:rPr>
              <w:t>药剂补充。</w:t>
            </w:r>
          </w:p>
        </w:tc>
      </w:tr>
      <w:tr>
        <w:trPr>
          <w:trHeight w:val="2200" w:hRule="atLeast"/>
        </w:trPr>
        <w:tc>
          <w:tcPr>
            <w:tcW w:w="876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备注：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（1）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上表中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不包含检测过程中发现的气瓶金属配件的损坏更换费用，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如发生则由采购人与中标人双方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协商收取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如协商未能达成一致，则甲乙双方共同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市场询价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确定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如因中标人操作失误原因导致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金属配件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损坏，则由乙方承担全部更换费用。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（2）七氟丙烷灭火药剂检测过程中，倒瓶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产生药剂损失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同时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bidi="ar"/>
              </w:rPr>
              <w:t>如发现现有气瓶药剂量不够或纯度不满足99.6%以上标准时，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须由投标人补充至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额定充装量。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highlight w:val="none"/>
                <w:lang w:val="en-US" w:eastAsia="zh-CN" w:bidi="ar"/>
              </w:rPr>
              <w:t>上述费用由投标人自行踏勘现场并进行充分预估，报价一次性包死，中标后不予调整。</w:t>
            </w:r>
          </w:p>
        </w:tc>
      </w:tr>
    </w:tbl>
    <w:p>
      <w:pPr>
        <w:adjustRightInd w:val="0"/>
        <w:spacing w:line="360" w:lineRule="auto"/>
        <w:jc w:val="left"/>
        <w:textAlignment w:val="baseline"/>
        <w:rPr>
          <w:rFonts w:ascii="宋体" w:hAnsi="宋体" w:eastAsia="宋体" w:cs="宋体"/>
          <w:b/>
          <w:bCs/>
          <w:szCs w:val="21"/>
        </w:rPr>
      </w:pPr>
    </w:p>
    <w:p>
      <w:pPr>
        <w:adjustRightInd w:val="0"/>
        <w:spacing w:line="360" w:lineRule="auto"/>
        <w:jc w:val="left"/>
        <w:textAlignment w:val="baseline"/>
        <w:outlineLvl w:val="0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四、报价要求</w:t>
      </w:r>
    </w:p>
    <w:p>
      <w:pPr>
        <w:adjustRightInd w:val="0"/>
        <w:spacing w:line="360" w:lineRule="auto"/>
        <w:ind w:firstLine="420" w:firstLineChars="200"/>
        <w:textAlignment w:val="baseline"/>
        <w:rPr>
          <w:rFonts w:ascii="宋体" w:hAnsi="宋体" w:eastAsia="宋体" w:cs="宋体"/>
          <w:szCs w:val="21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szCs w:val="21"/>
          <w:shd w:val="clear" w:color="auto" w:fill="FFFFFF"/>
        </w:rPr>
        <w:t>（1）投标人应充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分考虑项目实施过程中可能出现的各类风险，合理地报出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  <w:lang w:val="en-US" w:eastAsia="zh-CN"/>
        </w:rPr>
        <w:t>投标总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价（综合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  <w:lang w:val="en-US" w:eastAsia="zh-CN"/>
        </w:rPr>
        <w:t>报价中须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包括气瓶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  <w:lang w:val="en-US" w:eastAsia="zh-CN"/>
        </w:rPr>
        <w:t>拆除、重装、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检测、维护、药剂补充、气瓶搬运、人工费、运输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  <w:lang w:val="en-US" w:eastAsia="zh-CN"/>
        </w:rPr>
        <w:t>费</w:t>
      </w: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、保险、税金等为了完成本项目所需的全部费用），且该综合服务单价在中标后不予调整。投标人不得以上述暂定量与实际数量存在数量差距等为理由，向采购人提出索赔。</w:t>
      </w:r>
    </w:p>
    <w:p>
      <w:pPr>
        <w:adjustRightInd w:val="0"/>
        <w:spacing w:line="360" w:lineRule="auto"/>
        <w:ind w:firstLine="420" w:firstLineChars="200"/>
        <w:textAlignment w:val="baseline"/>
        <w:rPr>
          <w:rFonts w:ascii="宋体" w:hAnsi="宋体" w:eastAsia="宋体" w:cs="宋体"/>
          <w:szCs w:val="21"/>
          <w:highlight w:val="none"/>
          <w:shd w:val="clear" w:color="auto" w:fill="FFFFFF"/>
        </w:rPr>
      </w:pP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（2）以上各项最终合计结算总价，不超过本项目最高限价。</w:t>
      </w:r>
    </w:p>
    <w:p>
      <w:pPr>
        <w:adjustRightInd w:val="0"/>
        <w:spacing w:line="360" w:lineRule="auto"/>
        <w:ind w:firstLine="420" w:firstLineChars="200"/>
        <w:textAlignment w:val="baseline"/>
        <w:rPr>
          <w:rFonts w:ascii="宋体" w:hAnsi="宋体" w:eastAsia="宋体"/>
          <w:sz w:val="24"/>
        </w:rPr>
      </w:pPr>
      <w:r>
        <w:rPr>
          <w:rFonts w:hint="eastAsia" w:ascii="宋体" w:hAnsi="宋体" w:eastAsia="宋体" w:cs="宋体"/>
          <w:szCs w:val="21"/>
          <w:highlight w:val="none"/>
          <w:shd w:val="clear" w:color="auto" w:fill="FFFFFF"/>
        </w:rPr>
        <w:t>（3）由于七氟丙烷药剂价格随市场变化而有所波动，故本次投标报价在开标之日起120天内均须有效，中标后综合单价不予调整。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altName w:val="@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rPr>
        <w:rFonts w:ascii="宋体" w:hAnsi="宋体" w:eastAsia="宋体"/>
        <w:sz w:val="21"/>
        <w:szCs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6"/>
                            <w:rPr>
                              <w:rFonts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第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</w:rPr>
                            <w:t>20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第 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</w:rPr>
                      <w:t>20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  <w:rPr>
        <w:rFonts w:ascii="宋体" w:hAnsi="宋体" w:eastAsia="宋体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F63D03"/>
    <w:multiLevelType w:val="multilevel"/>
    <w:tmpl w:val="CFF63D03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iMGI1ZTA4NGIxM2EyYmI4NjI4Mzk0YjFlYTk0MzYifQ=="/>
  </w:docVars>
  <w:rsids>
    <w:rsidRoot w:val="675F16EA"/>
    <w:rsid w:val="0000043F"/>
    <w:rsid w:val="000037F9"/>
    <w:rsid w:val="000049DA"/>
    <w:rsid w:val="000056B7"/>
    <w:rsid w:val="000131F7"/>
    <w:rsid w:val="00014039"/>
    <w:rsid w:val="00016B6C"/>
    <w:rsid w:val="00020B57"/>
    <w:rsid w:val="00030359"/>
    <w:rsid w:val="00042139"/>
    <w:rsid w:val="00042B14"/>
    <w:rsid w:val="00044F49"/>
    <w:rsid w:val="000450C3"/>
    <w:rsid w:val="00050A3F"/>
    <w:rsid w:val="000513C9"/>
    <w:rsid w:val="000648D2"/>
    <w:rsid w:val="00070E0E"/>
    <w:rsid w:val="0007307D"/>
    <w:rsid w:val="00076DB7"/>
    <w:rsid w:val="00080FEB"/>
    <w:rsid w:val="00084E1F"/>
    <w:rsid w:val="00094D41"/>
    <w:rsid w:val="00097CB9"/>
    <w:rsid w:val="000A6252"/>
    <w:rsid w:val="000A6693"/>
    <w:rsid w:val="000A7970"/>
    <w:rsid w:val="000A7D94"/>
    <w:rsid w:val="000B1511"/>
    <w:rsid w:val="000C1DB1"/>
    <w:rsid w:val="000D3F37"/>
    <w:rsid w:val="000E0947"/>
    <w:rsid w:val="000E3C74"/>
    <w:rsid w:val="000E3F9B"/>
    <w:rsid w:val="000E6689"/>
    <w:rsid w:val="000E6A4A"/>
    <w:rsid w:val="000F172B"/>
    <w:rsid w:val="000F2198"/>
    <w:rsid w:val="000F39B6"/>
    <w:rsid w:val="000F6B7B"/>
    <w:rsid w:val="00100B0F"/>
    <w:rsid w:val="0010187C"/>
    <w:rsid w:val="001037E3"/>
    <w:rsid w:val="0012143A"/>
    <w:rsid w:val="00137887"/>
    <w:rsid w:val="00140687"/>
    <w:rsid w:val="00146421"/>
    <w:rsid w:val="001479BF"/>
    <w:rsid w:val="00155F64"/>
    <w:rsid w:val="00157856"/>
    <w:rsid w:val="00160729"/>
    <w:rsid w:val="00166ED8"/>
    <w:rsid w:val="001714C9"/>
    <w:rsid w:val="0018119B"/>
    <w:rsid w:val="001844AB"/>
    <w:rsid w:val="001853C7"/>
    <w:rsid w:val="001944B8"/>
    <w:rsid w:val="00196DA3"/>
    <w:rsid w:val="001A68E5"/>
    <w:rsid w:val="001B2A54"/>
    <w:rsid w:val="001B5014"/>
    <w:rsid w:val="001B7327"/>
    <w:rsid w:val="001C3EBE"/>
    <w:rsid w:val="001C6D03"/>
    <w:rsid w:val="001D22EA"/>
    <w:rsid w:val="001D53B4"/>
    <w:rsid w:val="001F28D2"/>
    <w:rsid w:val="001F2F45"/>
    <w:rsid w:val="001F3023"/>
    <w:rsid w:val="001F35F6"/>
    <w:rsid w:val="001F74CA"/>
    <w:rsid w:val="002003B6"/>
    <w:rsid w:val="0020244A"/>
    <w:rsid w:val="002049B4"/>
    <w:rsid w:val="0020520B"/>
    <w:rsid w:val="002076AD"/>
    <w:rsid w:val="00213C55"/>
    <w:rsid w:val="00220207"/>
    <w:rsid w:val="00223CF4"/>
    <w:rsid w:val="00224C4A"/>
    <w:rsid w:val="0023407E"/>
    <w:rsid w:val="00240B40"/>
    <w:rsid w:val="00244182"/>
    <w:rsid w:val="00244925"/>
    <w:rsid w:val="00245629"/>
    <w:rsid w:val="0025582D"/>
    <w:rsid w:val="00260B94"/>
    <w:rsid w:val="00264F2E"/>
    <w:rsid w:val="00271245"/>
    <w:rsid w:val="00274A9E"/>
    <w:rsid w:val="0027532D"/>
    <w:rsid w:val="00276BA1"/>
    <w:rsid w:val="00284B7A"/>
    <w:rsid w:val="002861A4"/>
    <w:rsid w:val="00294C71"/>
    <w:rsid w:val="002A1A1D"/>
    <w:rsid w:val="002A28AD"/>
    <w:rsid w:val="002A56A0"/>
    <w:rsid w:val="002B5318"/>
    <w:rsid w:val="002B6D27"/>
    <w:rsid w:val="002D2965"/>
    <w:rsid w:val="002D3D02"/>
    <w:rsid w:val="002D4CB5"/>
    <w:rsid w:val="002D684B"/>
    <w:rsid w:val="002D7A08"/>
    <w:rsid w:val="002E3B26"/>
    <w:rsid w:val="002E4AB8"/>
    <w:rsid w:val="002E7FC4"/>
    <w:rsid w:val="002F605E"/>
    <w:rsid w:val="00310070"/>
    <w:rsid w:val="003110EC"/>
    <w:rsid w:val="00312A45"/>
    <w:rsid w:val="003137EC"/>
    <w:rsid w:val="003206A6"/>
    <w:rsid w:val="00320A79"/>
    <w:rsid w:val="0032560D"/>
    <w:rsid w:val="00326593"/>
    <w:rsid w:val="00327C92"/>
    <w:rsid w:val="00331D3D"/>
    <w:rsid w:val="00333292"/>
    <w:rsid w:val="003344E7"/>
    <w:rsid w:val="0033580B"/>
    <w:rsid w:val="003365E7"/>
    <w:rsid w:val="003378D5"/>
    <w:rsid w:val="003473D7"/>
    <w:rsid w:val="0035048C"/>
    <w:rsid w:val="00351AC8"/>
    <w:rsid w:val="00353075"/>
    <w:rsid w:val="00356D4B"/>
    <w:rsid w:val="00363213"/>
    <w:rsid w:val="00363E02"/>
    <w:rsid w:val="00373A96"/>
    <w:rsid w:val="003826C2"/>
    <w:rsid w:val="00382776"/>
    <w:rsid w:val="00383728"/>
    <w:rsid w:val="003903BB"/>
    <w:rsid w:val="00394128"/>
    <w:rsid w:val="003942CA"/>
    <w:rsid w:val="00394ADC"/>
    <w:rsid w:val="00395235"/>
    <w:rsid w:val="0039561A"/>
    <w:rsid w:val="00397C7D"/>
    <w:rsid w:val="003A004F"/>
    <w:rsid w:val="003A75A7"/>
    <w:rsid w:val="003B4130"/>
    <w:rsid w:val="003B4D1C"/>
    <w:rsid w:val="003B715B"/>
    <w:rsid w:val="003D1D14"/>
    <w:rsid w:val="003D6C7C"/>
    <w:rsid w:val="003D6EFB"/>
    <w:rsid w:val="003D7E52"/>
    <w:rsid w:val="003E25C6"/>
    <w:rsid w:val="003F1F10"/>
    <w:rsid w:val="003F46D6"/>
    <w:rsid w:val="004011AA"/>
    <w:rsid w:val="0040202C"/>
    <w:rsid w:val="00404423"/>
    <w:rsid w:val="00406508"/>
    <w:rsid w:val="0041456E"/>
    <w:rsid w:val="00414F7E"/>
    <w:rsid w:val="00416380"/>
    <w:rsid w:val="004164F8"/>
    <w:rsid w:val="00426F05"/>
    <w:rsid w:val="004410D9"/>
    <w:rsid w:val="004427B7"/>
    <w:rsid w:val="0044349F"/>
    <w:rsid w:val="00445F1F"/>
    <w:rsid w:val="00451F60"/>
    <w:rsid w:val="00452BB2"/>
    <w:rsid w:val="0045656D"/>
    <w:rsid w:val="00462D98"/>
    <w:rsid w:val="004707CA"/>
    <w:rsid w:val="00471209"/>
    <w:rsid w:val="00472A44"/>
    <w:rsid w:val="00473A89"/>
    <w:rsid w:val="004756A5"/>
    <w:rsid w:val="00475899"/>
    <w:rsid w:val="00482C78"/>
    <w:rsid w:val="004874AE"/>
    <w:rsid w:val="00494D24"/>
    <w:rsid w:val="004951D1"/>
    <w:rsid w:val="004960BB"/>
    <w:rsid w:val="004A0FDA"/>
    <w:rsid w:val="004A1D01"/>
    <w:rsid w:val="004A27D0"/>
    <w:rsid w:val="004A4D67"/>
    <w:rsid w:val="004B24D8"/>
    <w:rsid w:val="004B76B8"/>
    <w:rsid w:val="004D2FCB"/>
    <w:rsid w:val="004D3D4B"/>
    <w:rsid w:val="004D5498"/>
    <w:rsid w:val="004D66A5"/>
    <w:rsid w:val="004D6B00"/>
    <w:rsid w:val="004E1D50"/>
    <w:rsid w:val="004E51D4"/>
    <w:rsid w:val="00501382"/>
    <w:rsid w:val="00510798"/>
    <w:rsid w:val="005229BF"/>
    <w:rsid w:val="00523AF8"/>
    <w:rsid w:val="00524A11"/>
    <w:rsid w:val="00527768"/>
    <w:rsid w:val="005327FB"/>
    <w:rsid w:val="00533FCA"/>
    <w:rsid w:val="005616B5"/>
    <w:rsid w:val="005761EE"/>
    <w:rsid w:val="0059223D"/>
    <w:rsid w:val="00593DB8"/>
    <w:rsid w:val="00597B15"/>
    <w:rsid w:val="005A044C"/>
    <w:rsid w:val="005A6058"/>
    <w:rsid w:val="005B34C9"/>
    <w:rsid w:val="005C6B43"/>
    <w:rsid w:val="005D0200"/>
    <w:rsid w:val="005D44EF"/>
    <w:rsid w:val="005D5112"/>
    <w:rsid w:val="005D72A8"/>
    <w:rsid w:val="005E7A3F"/>
    <w:rsid w:val="005F3914"/>
    <w:rsid w:val="005F3B5A"/>
    <w:rsid w:val="005F6AB4"/>
    <w:rsid w:val="00606DAB"/>
    <w:rsid w:val="00607471"/>
    <w:rsid w:val="00610A66"/>
    <w:rsid w:val="00613177"/>
    <w:rsid w:val="00613F7C"/>
    <w:rsid w:val="00614BF2"/>
    <w:rsid w:val="00623DE2"/>
    <w:rsid w:val="00624576"/>
    <w:rsid w:val="00627601"/>
    <w:rsid w:val="006300D0"/>
    <w:rsid w:val="00632012"/>
    <w:rsid w:val="00634694"/>
    <w:rsid w:val="00636517"/>
    <w:rsid w:val="00637690"/>
    <w:rsid w:val="00637EE7"/>
    <w:rsid w:val="00640E1E"/>
    <w:rsid w:val="0064389A"/>
    <w:rsid w:val="00645442"/>
    <w:rsid w:val="006525CD"/>
    <w:rsid w:val="00653F7F"/>
    <w:rsid w:val="006606E4"/>
    <w:rsid w:val="00662EE8"/>
    <w:rsid w:val="00663813"/>
    <w:rsid w:val="00664AFD"/>
    <w:rsid w:val="00667567"/>
    <w:rsid w:val="00672CC7"/>
    <w:rsid w:val="0067391A"/>
    <w:rsid w:val="00674173"/>
    <w:rsid w:val="00685585"/>
    <w:rsid w:val="00690DB1"/>
    <w:rsid w:val="00693404"/>
    <w:rsid w:val="006953D9"/>
    <w:rsid w:val="006A3251"/>
    <w:rsid w:val="006B1242"/>
    <w:rsid w:val="006B149D"/>
    <w:rsid w:val="006B1DBC"/>
    <w:rsid w:val="006B39B2"/>
    <w:rsid w:val="006B7D9A"/>
    <w:rsid w:val="006C06D9"/>
    <w:rsid w:val="006C5716"/>
    <w:rsid w:val="006C64B2"/>
    <w:rsid w:val="006C74A9"/>
    <w:rsid w:val="006D07DE"/>
    <w:rsid w:val="006E06D9"/>
    <w:rsid w:val="006E1D40"/>
    <w:rsid w:val="006E2E1F"/>
    <w:rsid w:val="006F5F03"/>
    <w:rsid w:val="006F5F44"/>
    <w:rsid w:val="006F5FFF"/>
    <w:rsid w:val="00710804"/>
    <w:rsid w:val="00711FC6"/>
    <w:rsid w:val="007130B1"/>
    <w:rsid w:val="00715071"/>
    <w:rsid w:val="00717AA5"/>
    <w:rsid w:val="007231E9"/>
    <w:rsid w:val="00727C59"/>
    <w:rsid w:val="00734E5D"/>
    <w:rsid w:val="00736013"/>
    <w:rsid w:val="00756245"/>
    <w:rsid w:val="00761662"/>
    <w:rsid w:val="00764043"/>
    <w:rsid w:val="007757CF"/>
    <w:rsid w:val="0078128F"/>
    <w:rsid w:val="0078683C"/>
    <w:rsid w:val="00790EDB"/>
    <w:rsid w:val="00791538"/>
    <w:rsid w:val="0079326E"/>
    <w:rsid w:val="00796EDE"/>
    <w:rsid w:val="007A511E"/>
    <w:rsid w:val="007A5A58"/>
    <w:rsid w:val="007B14D1"/>
    <w:rsid w:val="007B1C56"/>
    <w:rsid w:val="007B666E"/>
    <w:rsid w:val="007C3CD5"/>
    <w:rsid w:val="007C61EF"/>
    <w:rsid w:val="007D1C0D"/>
    <w:rsid w:val="007D2D23"/>
    <w:rsid w:val="007E27D6"/>
    <w:rsid w:val="007E3921"/>
    <w:rsid w:val="007E3E47"/>
    <w:rsid w:val="00801028"/>
    <w:rsid w:val="00803793"/>
    <w:rsid w:val="00804000"/>
    <w:rsid w:val="0080656A"/>
    <w:rsid w:val="00811BAA"/>
    <w:rsid w:val="00817A01"/>
    <w:rsid w:val="00825E35"/>
    <w:rsid w:val="008263EB"/>
    <w:rsid w:val="008306EF"/>
    <w:rsid w:val="00830A4E"/>
    <w:rsid w:val="008334F8"/>
    <w:rsid w:val="00835129"/>
    <w:rsid w:val="00835FFD"/>
    <w:rsid w:val="00855C4B"/>
    <w:rsid w:val="0086440C"/>
    <w:rsid w:val="00875542"/>
    <w:rsid w:val="00876659"/>
    <w:rsid w:val="0087734C"/>
    <w:rsid w:val="00880790"/>
    <w:rsid w:val="00882141"/>
    <w:rsid w:val="00883570"/>
    <w:rsid w:val="008876EC"/>
    <w:rsid w:val="008922A8"/>
    <w:rsid w:val="00895BD5"/>
    <w:rsid w:val="008A16C4"/>
    <w:rsid w:val="008A4525"/>
    <w:rsid w:val="008A4B8C"/>
    <w:rsid w:val="008A6FED"/>
    <w:rsid w:val="008A7CF5"/>
    <w:rsid w:val="008B39C5"/>
    <w:rsid w:val="008B51AA"/>
    <w:rsid w:val="008C2C78"/>
    <w:rsid w:val="008C67F2"/>
    <w:rsid w:val="008D064A"/>
    <w:rsid w:val="008D2B0F"/>
    <w:rsid w:val="008D5986"/>
    <w:rsid w:val="008E449E"/>
    <w:rsid w:val="008F187F"/>
    <w:rsid w:val="008F37DC"/>
    <w:rsid w:val="008F402F"/>
    <w:rsid w:val="008F76E8"/>
    <w:rsid w:val="0090050D"/>
    <w:rsid w:val="0090600D"/>
    <w:rsid w:val="009078A1"/>
    <w:rsid w:val="00911E9C"/>
    <w:rsid w:val="00917405"/>
    <w:rsid w:val="00917F22"/>
    <w:rsid w:val="00920F7C"/>
    <w:rsid w:val="009267A8"/>
    <w:rsid w:val="00934CAE"/>
    <w:rsid w:val="0094257D"/>
    <w:rsid w:val="0095467C"/>
    <w:rsid w:val="00954853"/>
    <w:rsid w:val="00954A61"/>
    <w:rsid w:val="00955C6F"/>
    <w:rsid w:val="009621C6"/>
    <w:rsid w:val="00966C7B"/>
    <w:rsid w:val="009701DC"/>
    <w:rsid w:val="009715D8"/>
    <w:rsid w:val="00974B84"/>
    <w:rsid w:val="009753CD"/>
    <w:rsid w:val="00995BF9"/>
    <w:rsid w:val="009A0CAF"/>
    <w:rsid w:val="009A2207"/>
    <w:rsid w:val="009A71BB"/>
    <w:rsid w:val="009B6C42"/>
    <w:rsid w:val="009D2998"/>
    <w:rsid w:val="009D31F7"/>
    <w:rsid w:val="009D32C2"/>
    <w:rsid w:val="009D50DB"/>
    <w:rsid w:val="009E2932"/>
    <w:rsid w:val="009E2EFA"/>
    <w:rsid w:val="009E3A0A"/>
    <w:rsid w:val="009F2855"/>
    <w:rsid w:val="009F3E91"/>
    <w:rsid w:val="00A1499B"/>
    <w:rsid w:val="00A17305"/>
    <w:rsid w:val="00A21BB9"/>
    <w:rsid w:val="00A22D57"/>
    <w:rsid w:val="00A314C2"/>
    <w:rsid w:val="00A33AAC"/>
    <w:rsid w:val="00A63E86"/>
    <w:rsid w:val="00A6485B"/>
    <w:rsid w:val="00A757C3"/>
    <w:rsid w:val="00A75E5B"/>
    <w:rsid w:val="00A7684A"/>
    <w:rsid w:val="00A83B69"/>
    <w:rsid w:val="00A852EB"/>
    <w:rsid w:val="00A86533"/>
    <w:rsid w:val="00A91CA2"/>
    <w:rsid w:val="00A92FB8"/>
    <w:rsid w:val="00A948F1"/>
    <w:rsid w:val="00AA0B61"/>
    <w:rsid w:val="00AA18F9"/>
    <w:rsid w:val="00AA1D7D"/>
    <w:rsid w:val="00AA2790"/>
    <w:rsid w:val="00AB139D"/>
    <w:rsid w:val="00AB3EFB"/>
    <w:rsid w:val="00AC0B05"/>
    <w:rsid w:val="00AC4353"/>
    <w:rsid w:val="00AD079A"/>
    <w:rsid w:val="00AD1890"/>
    <w:rsid w:val="00AD28DB"/>
    <w:rsid w:val="00AE2149"/>
    <w:rsid w:val="00AE33AE"/>
    <w:rsid w:val="00AE3F91"/>
    <w:rsid w:val="00B0053D"/>
    <w:rsid w:val="00B039E3"/>
    <w:rsid w:val="00B06D36"/>
    <w:rsid w:val="00B22838"/>
    <w:rsid w:val="00B33E95"/>
    <w:rsid w:val="00B3720B"/>
    <w:rsid w:val="00B4013B"/>
    <w:rsid w:val="00B50317"/>
    <w:rsid w:val="00B5558A"/>
    <w:rsid w:val="00B56513"/>
    <w:rsid w:val="00B64376"/>
    <w:rsid w:val="00B7401F"/>
    <w:rsid w:val="00B806C3"/>
    <w:rsid w:val="00B80D6F"/>
    <w:rsid w:val="00B84FCA"/>
    <w:rsid w:val="00B9089F"/>
    <w:rsid w:val="00B91AEE"/>
    <w:rsid w:val="00B93AEE"/>
    <w:rsid w:val="00B95F5A"/>
    <w:rsid w:val="00B95FDD"/>
    <w:rsid w:val="00B96EAD"/>
    <w:rsid w:val="00BA636F"/>
    <w:rsid w:val="00BA645B"/>
    <w:rsid w:val="00BA79F5"/>
    <w:rsid w:val="00BB3AB6"/>
    <w:rsid w:val="00BB766D"/>
    <w:rsid w:val="00BC007B"/>
    <w:rsid w:val="00BC26BA"/>
    <w:rsid w:val="00BC35F8"/>
    <w:rsid w:val="00BC7D7F"/>
    <w:rsid w:val="00BD33A9"/>
    <w:rsid w:val="00BF376F"/>
    <w:rsid w:val="00BF46A6"/>
    <w:rsid w:val="00BF71FB"/>
    <w:rsid w:val="00C06545"/>
    <w:rsid w:val="00C077C7"/>
    <w:rsid w:val="00C108CF"/>
    <w:rsid w:val="00C134AF"/>
    <w:rsid w:val="00C16996"/>
    <w:rsid w:val="00C220FC"/>
    <w:rsid w:val="00C23A7E"/>
    <w:rsid w:val="00C24DFA"/>
    <w:rsid w:val="00C30182"/>
    <w:rsid w:val="00C37BC4"/>
    <w:rsid w:val="00C46A36"/>
    <w:rsid w:val="00C47037"/>
    <w:rsid w:val="00C53625"/>
    <w:rsid w:val="00C548BA"/>
    <w:rsid w:val="00C57784"/>
    <w:rsid w:val="00C602C1"/>
    <w:rsid w:val="00C60392"/>
    <w:rsid w:val="00C63FC0"/>
    <w:rsid w:val="00C65D7D"/>
    <w:rsid w:val="00C66392"/>
    <w:rsid w:val="00C67B2C"/>
    <w:rsid w:val="00C7112C"/>
    <w:rsid w:val="00C74C5E"/>
    <w:rsid w:val="00C827A2"/>
    <w:rsid w:val="00C827DA"/>
    <w:rsid w:val="00C82B69"/>
    <w:rsid w:val="00C83062"/>
    <w:rsid w:val="00C86C9C"/>
    <w:rsid w:val="00C902DE"/>
    <w:rsid w:val="00C91B28"/>
    <w:rsid w:val="00C91F3A"/>
    <w:rsid w:val="00CA7359"/>
    <w:rsid w:val="00CB20B2"/>
    <w:rsid w:val="00CB218D"/>
    <w:rsid w:val="00CB5797"/>
    <w:rsid w:val="00CC6E5D"/>
    <w:rsid w:val="00CD09E1"/>
    <w:rsid w:val="00CD7F10"/>
    <w:rsid w:val="00CE1780"/>
    <w:rsid w:val="00CE293F"/>
    <w:rsid w:val="00CE4913"/>
    <w:rsid w:val="00CE66BD"/>
    <w:rsid w:val="00CF0671"/>
    <w:rsid w:val="00CF44AD"/>
    <w:rsid w:val="00CF4FC0"/>
    <w:rsid w:val="00D027E0"/>
    <w:rsid w:val="00D1072F"/>
    <w:rsid w:val="00D108A5"/>
    <w:rsid w:val="00D11F57"/>
    <w:rsid w:val="00D14585"/>
    <w:rsid w:val="00D20EFF"/>
    <w:rsid w:val="00D32658"/>
    <w:rsid w:val="00D42C58"/>
    <w:rsid w:val="00D46B47"/>
    <w:rsid w:val="00D53ED8"/>
    <w:rsid w:val="00D56B9A"/>
    <w:rsid w:val="00D64857"/>
    <w:rsid w:val="00D6493A"/>
    <w:rsid w:val="00D67875"/>
    <w:rsid w:val="00D71E86"/>
    <w:rsid w:val="00D731C6"/>
    <w:rsid w:val="00D73CC6"/>
    <w:rsid w:val="00D745C5"/>
    <w:rsid w:val="00D75327"/>
    <w:rsid w:val="00D80C36"/>
    <w:rsid w:val="00D81A32"/>
    <w:rsid w:val="00D84E23"/>
    <w:rsid w:val="00D86EE1"/>
    <w:rsid w:val="00D95E90"/>
    <w:rsid w:val="00D96126"/>
    <w:rsid w:val="00DA2FD5"/>
    <w:rsid w:val="00DB4B1C"/>
    <w:rsid w:val="00DB5085"/>
    <w:rsid w:val="00DB619F"/>
    <w:rsid w:val="00DB7882"/>
    <w:rsid w:val="00DC1062"/>
    <w:rsid w:val="00DC132C"/>
    <w:rsid w:val="00DC65BA"/>
    <w:rsid w:val="00DD43F0"/>
    <w:rsid w:val="00DD44DE"/>
    <w:rsid w:val="00DE09AB"/>
    <w:rsid w:val="00DE4A3F"/>
    <w:rsid w:val="00DE5A99"/>
    <w:rsid w:val="00DF4367"/>
    <w:rsid w:val="00DF4901"/>
    <w:rsid w:val="00E0574A"/>
    <w:rsid w:val="00E1243D"/>
    <w:rsid w:val="00E12742"/>
    <w:rsid w:val="00E146D4"/>
    <w:rsid w:val="00E22B44"/>
    <w:rsid w:val="00E30ACD"/>
    <w:rsid w:val="00E32735"/>
    <w:rsid w:val="00E66E36"/>
    <w:rsid w:val="00E702ED"/>
    <w:rsid w:val="00E709A4"/>
    <w:rsid w:val="00E772DB"/>
    <w:rsid w:val="00E86012"/>
    <w:rsid w:val="00E86BAB"/>
    <w:rsid w:val="00E94E10"/>
    <w:rsid w:val="00E96743"/>
    <w:rsid w:val="00E96A42"/>
    <w:rsid w:val="00EA38D8"/>
    <w:rsid w:val="00EA49C5"/>
    <w:rsid w:val="00EB5027"/>
    <w:rsid w:val="00EC1836"/>
    <w:rsid w:val="00EC3990"/>
    <w:rsid w:val="00EC484B"/>
    <w:rsid w:val="00EC4F03"/>
    <w:rsid w:val="00EC52E5"/>
    <w:rsid w:val="00ED0B62"/>
    <w:rsid w:val="00ED15FA"/>
    <w:rsid w:val="00EE37EE"/>
    <w:rsid w:val="00EE6E9A"/>
    <w:rsid w:val="00EF2AC4"/>
    <w:rsid w:val="00EF397E"/>
    <w:rsid w:val="00EF7980"/>
    <w:rsid w:val="00F067F4"/>
    <w:rsid w:val="00F06F68"/>
    <w:rsid w:val="00F1362B"/>
    <w:rsid w:val="00F22225"/>
    <w:rsid w:val="00F24C2D"/>
    <w:rsid w:val="00F3120E"/>
    <w:rsid w:val="00F32A81"/>
    <w:rsid w:val="00F46998"/>
    <w:rsid w:val="00F52B9C"/>
    <w:rsid w:val="00F5382D"/>
    <w:rsid w:val="00F53D9C"/>
    <w:rsid w:val="00F5462B"/>
    <w:rsid w:val="00F57205"/>
    <w:rsid w:val="00F634AD"/>
    <w:rsid w:val="00F63677"/>
    <w:rsid w:val="00F6731E"/>
    <w:rsid w:val="00F75B81"/>
    <w:rsid w:val="00F804C4"/>
    <w:rsid w:val="00F816F3"/>
    <w:rsid w:val="00F81E05"/>
    <w:rsid w:val="00F824F3"/>
    <w:rsid w:val="00F82F83"/>
    <w:rsid w:val="00F92B30"/>
    <w:rsid w:val="00F933B9"/>
    <w:rsid w:val="00F94674"/>
    <w:rsid w:val="00F94919"/>
    <w:rsid w:val="00F94A59"/>
    <w:rsid w:val="00FA0CAF"/>
    <w:rsid w:val="00FA25B6"/>
    <w:rsid w:val="00FA2FAF"/>
    <w:rsid w:val="00FA4E1D"/>
    <w:rsid w:val="00FA64B1"/>
    <w:rsid w:val="00FA70F3"/>
    <w:rsid w:val="00FA71CD"/>
    <w:rsid w:val="00FB0453"/>
    <w:rsid w:val="00FB0C07"/>
    <w:rsid w:val="00FB2191"/>
    <w:rsid w:val="00FB298D"/>
    <w:rsid w:val="00FC1439"/>
    <w:rsid w:val="00FC724B"/>
    <w:rsid w:val="00FC7910"/>
    <w:rsid w:val="00FD01E0"/>
    <w:rsid w:val="00FF0DA7"/>
    <w:rsid w:val="00FF44E0"/>
    <w:rsid w:val="00FF6C72"/>
    <w:rsid w:val="01BA5321"/>
    <w:rsid w:val="037A57D8"/>
    <w:rsid w:val="03B8655B"/>
    <w:rsid w:val="06827A9B"/>
    <w:rsid w:val="070A0598"/>
    <w:rsid w:val="073825BF"/>
    <w:rsid w:val="082E6961"/>
    <w:rsid w:val="089812AB"/>
    <w:rsid w:val="08BD1197"/>
    <w:rsid w:val="09A74567"/>
    <w:rsid w:val="0A4F72F0"/>
    <w:rsid w:val="0D0423DC"/>
    <w:rsid w:val="0DBD3B1F"/>
    <w:rsid w:val="0DD93637"/>
    <w:rsid w:val="0FB726AC"/>
    <w:rsid w:val="10271E93"/>
    <w:rsid w:val="120F5F32"/>
    <w:rsid w:val="123F3AD6"/>
    <w:rsid w:val="12A000E8"/>
    <w:rsid w:val="13224B8D"/>
    <w:rsid w:val="13DD1064"/>
    <w:rsid w:val="141475B0"/>
    <w:rsid w:val="143650C6"/>
    <w:rsid w:val="147D6F9F"/>
    <w:rsid w:val="15C71A9A"/>
    <w:rsid w:val="16BB555E"/>
    <w:rsid w:val="1927058C"/>
    <w:rsid w:val="19B82418"/>
    <w:rsid w:val="1B4C4605"/>
    <w:rsid w:val="1B4D142C"/>
    <w:rsid w:val="1B78205C"/>
    <w:rsid w:val="1C4F7CEC"/>
    <w:rsid w:val="1C7B44D7"/>
    <w:rsid w:val="1E782815"/>
    <w:rsid w:val="1E8E4F8C"/>
    <w:rsid w:val="1F6D5355"/>
    <w:rsid w:val="206C3D59"/>
    <w:rsid w:val="20DD736E"/>
    <w:rsid w:val="20E604C2"/>
    <w:rsid w:val="214B6E0F"/>
    <w:rsid w:val="216B6728"/>
    <w:rsid w:val="22471451"/>
    <w:rsid w:val="227F3263"/>
    <w:rsid w:val="233805B3"/>
    <w:rsid w:val="24A73C4C"/>
    <w:rsid w:val="2544134D"/>
    <w:rsid w:val="264F11B6"/>
    <w:rsid w:val="27AE53A5"/>
    <w:rsid w:val="287D0B63"/>
    <w:rsid w:val="28C75BF0"/>
    <w:rsid w:val="291F3954"/>
    <w:rsid w:val="2C263D52"/>
    <w:rsid w:val="2CEA6BC9"/>
    <w:rsid w:val="2D665A7D"/>
    <w:rsid w:val="2E892AD4"/>
    <w:rsid w:val="2F9B08A9"/>
    <w:rsid w:val="31C4126F"/>
    <w:rsid w:val="31E42E61"/>
    <w:rsid w:val="322E7602"/>
    <w:rsid w:val="322F4BD4"/>
    <w:rsid w:val="32970153"/>
    <w:rsid w:val="332174AF"/>
    <w:rsid w:val="334E7FBD"/>
    <w:rsid w:val="33584942"/>
    <w:rsid w:val="338579AC"/>
    <w:rsid w:val="34AD1501"/>
    <w:rsid w:val="3524732D"/>
    <w:rsid w:val="35D11294"/>
    <w:rsid w:val="36E82967"/>
    <w:rsid w:val="394E375F"/>
    <w:rsid w:val="39986DCE"/>
    <w:rsid w:val="39F24BF2"/>
    <w:rsid w:val="39F6692F"/>
    <w:rsid w:val="3A48424A"/>
    <w:rsid w:val="3A5C48E8"/>
    <w:rsid w:val="3BED0689"/>
    <w:rsid w:val="3C8E0C5A"/>
    <w:rsid w:val="3CD25C66"/>
    <w:rsid w:val="3CDD5F53"/>
    <w:rsid w:val="3CE2305D"/>
    <w:rsid w:val="3EC17AB2"/>
    <w:rsid w:val="3F52068E"/>
    <w:rsid w:val="40A222C7"/>
    <w:rsid w:val="40A31EF2"/>
    <w:rsid w:val="414E2E72"/>
    <w:rsid w:val="421F46AD"/>
    <w:rsid w:val="425A5592"/>
    <w:rsid w:val="43C76121"/>
    <w:rsid w:val="43F54170"/>
    <w:rsid w:val="44413C67"/>
    <w:rsid w:val="444769DC"/>
    <w:rsid w:val="44F957F1"/>
    <w:rsid w:val="45C54D1E"/>
    <w:rsid w:val="45F224AE"/>
    <w:rsid w:val="472D7140"/>
    <w:rsid w:val="474D24C2"/>
    <w:rsid w:val="496D713E"/>
    <w:rsid w:val="497A3C78"/>
    <w:rsid w:val="499A1881"/>
    <w:rsid w:val="49E91AC8"/>
    <w:rsid w:val="4A277E23"/>
    <w:rsid w:val="4B634DD1"/>
    <w:rsid w:val="4C7418AC"/>
    <w:rsid w:val="4CC12A23"/>
    <w:rsid w:val="4D2D6FFD"/>
    <w:rsid w:val="4E765CB1"/>
    <w:rsid w:val="51310535"/>
    <w:rsid w:val="518A2D89"/>
    <w:rsid w:val="519948ED"/>
    <w:rsid w:val="51C0720C"/>
    <w:rsid w:val="534F5DD6"/>
    <w:rsid w:val="57272B15"/>
    <w:rsid w:val="57416B71"/>
    <w:rsid w:val="58B11485"/>
    <w:rsid w:val="58C6432E"/>
    <w:rsid w:val="59BA4A06"/>
    <w:rsid w:val="5A69413D"/>
    <w:rsid w:val="5AD153D0"/>
    <w:rsid w:val="5B424A67"/>
    <w:rsid w:val="5B916378"/>
    <w:rsid w:val="5BCA0821"/>
    <w:rsid w:val="5BDC7EEF"/>
    <w:rsid w:val="5C96556D"/>
    <w:rsid w:val="5F430BFA"/>
    <w:rsid w:val="60720BBC"/>
    <w:rsid w:val="60A555D8"/>
    <w:rsid w:val="612A284E"/>
    <w:rsid w:val="612A6CB8"/>
    <w:rsid w:val="61571B12"/>
    <w:rsid w:val="636A2BB7"/>
    <w:rsid w:val="63C74DBD"/>
    <w:rsid w:val="64746BE2"/>
    <w:rsid w:val="65283DE3"/>
    <w:rsid w:val="65FA2661"/>
    <w:rsid w:val="666612B3"/>
    <w:rsid w:val="66B766B6"/>
    <w:rsid w:val="675F16EA"/>
    <w:rsid w:val="68161E40"/>
    <w:rsid w:val="6874032A"/>
    <w:rsid w:val="68C25896"/>
    <w:rsid w:val="68EE5418"/>
    <w:rsid w:val="68F96AB2"/>
    <w:rsid w:val="69084FA1"/>
    <w:rsid w:val="69F733AA"/>
    <w:rsid w:val="6A343BB0"/>
    <w:rsid w:val="6A4D298C"/>
    <w:rsid w:val="6AE43156"/>
    <w:rsid w:val="6B8E021F"/>
    <w:rsid w:val="6D104C32"/>
    <w:rsid w:val="6F141745"/>
    <w:rsid w:val="6F9B5303"/>
    <w:rsid w:val="71D04450"/>
    <w:rsid w:val="72045AED"/>
    <w:rsid w:val="745D2A44"/>
    <w:rsid w:val="758C04E3"/>
    <w:rsid w:val="758E2ADB"/>
    <w:rsid w:val="76E0460A"/>
    <w:rsid w:val="77727DD4"/>
    <w:rsid w:val="777F282B"/>
    <w:rsid w:val="78E86CD4"/>
    <w:rsid w:val="790800C4"/>
    <w:rsid w:val="7A317598"/>
    <w:rsid w:val="7A5A5A28"/>
    <w:rsid w:val="7AA8721A"/>
    <w:rsid w:val="7E425F23"/>
    <w:rsid w:val="7F413799"/>
    <w:rsid w:val="DFFFCC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iPriority="99" w:name="Document Map"/>
    <w:lsdException w:qFormat="1"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4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9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4">
    <w:name w:val="heading 3"/>
    <w:basedOn w:val="1"/>
    <w:next w:val="1"/>
    <w:link w:val="49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4"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60" w:lineRule="auto"/>
      <w:outlineLvl w:val="5"/>
    </w:pPr>
    <w:rPr>
      <w:rFonts w:ascii="Arial" w:hAnsi="Arial"/>
      <w:b/>
      <w:sz w:val="24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 w:hAnsi="Times New Roman" w:eastAsia="宋体" w:cs="Times New Roman"/>
      <w:kern w:val="0"/>
      <w:sz w:val="24"/>
    </w:rPr>
  </w:style>
  <w:style w:type="paragraph" w:styleId="8">
    <w:name w:val="Document Map"/>
    <w:basedOn w:val="1"/>
    <w:link w:val="6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9">
    <w:name w:val="annotation text"/>
    <w:basedOn w:val="1"/>
    <w:link w:val="46"/>
    <w:qFormat/>
    <w:uiPriority w:val="0"/>
    <w:pPr>
      <w:jc w:val="left"/>
    </w:pPr>
    <w:rPr>
      <w:rFonts w:ascii="Arial" w:hAnsi="Arial" w:eastAsia="黑体" w:cs="Arial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Body Text Indent"/>
    <w:basedOn w:val="1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12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rFonts w:ascii="Calibri" w:hAnsi="Calibri" w:eastAsia="宋体" w:cs="Times New Roman"/>
      <w:kern w:val="0"/>
      <w:sz w:val="22"/>
      <w:szCs w:val="22"/>
    </w:rPr>
  </w:style>
  <w:style w:type="paragraph" w:styleId="13">
    <w:name w:val="Plain Text"/>
    <w:basedOn w:val="1"/>
    <w:link w:val="36"/>
    <w:qFormat/>
    <w:uiPriority w:val="99"/>
    <w:rPr>
      <w:rFonts w:ascii="宋体" w:hAnsi="Courier New" w:eastAsia="宋体" w:cs="Times New Roman"/>
      <w:szCs w:val="22"/>
    </w:rPr>
  </w:style>
  <w:style w:type="paragraph" w:styleId="14">
    <w:name w:val="Date"/>
    <w:basedOn w:val="1"/>
    <w:next w:val="1"/>
    <w:link w:val="43"/>
    <w:qFormat/>
    <w:uiPriority w:val="0"/>
    <w:rPr>
      <w:rFonts w:ascii="Arial" w:hAnsi="Arial" w:eastAsia="宋体" w:cs="Arial"/>
      <w:b/>
      <w:sz w:val="28"/>
    </w:rPr>
  </w:style>
  <w:style w:type="paragraph" w:styleId="15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nhideWhenUsed/>
    <w:qFormat/>
    <w:uiPriority w:val="39"/>
    <w:pPr>
      <w:widowControl/>
      <w:spacing w:after="100" w:line="276" w:lineRule="auto"/>
      <w:jc w:val="left"/>
    </w:pPr>
    <w:rPr>
      <w:rFonts w:ascii="Calibri" w:hAnsi="Calibri" w:eastAsia="宋体" w:cs="Times New Roman"/>
      <w:kern w:val="0"/>
      <w:sz w:val="22"/>
      <w:szCs w:val="22"/>
    </w:rPr>
  </w:style>
  <w:style w:type="paragraph" w:styleId="19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 w:eastAsia="宋体" w:cs="Times New Roman"/>
      <w:kern w:val="0"/>
      <w:sz w:val="22"/>
      <w:szCs w:val="22"/>
    </w:rPr>
  </w:style>
  <w:style w:type="paragraph" w:styleId="2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1">
    <w:name w:val="index 1"/>
    <w:basedOn w:val="1"/>
    <w:next w:val="1"/>
    <w:qFormat/>
    <w:uiPriority w:val="0"/>
    <w:pPr>
      <w:jc w:val="center"/>
    </w:pPr>
    <w:rPr>
      <w:rFonts w:ascii="Arial" w:hAnsi="Arial" w:eastAsia="Arial" w:cs="Arial"/>
      <w:b/>
      <w:bCs/>
      <w:sz w:val="28"/>
    </w:rPr>
  </w:style>
  <w:style w:type="paragraph" w:styleId="22">
    <w:name w:val="annotation subject"/>
    <w:basedOn w:val="9"/>
    <w:next w:val="9"/>
    <w:link w:val="64"/>
    <w:semiHidden/>
    <w:unhideWhenUsed/>
    <w:uiPriority w:val="99"/>
    <w:rPr>
      <w:rFonts w:ascii="@仿宋_GB2312" w:hAnsi="@仿宋_GB2312" w:eastAsia="@仿宋_GB2312" w:cs="@仿宋_GB2312"/>
      <w:b/>
      <w:bCs/>
    </w:rPr>
  </w:style>
  <w:style w:type="paragraph" w:styleId="23">
    <w:name w:val="Body Text First Indent 2"/>
    <w:basedOn w:val="11"/>
    <w:qFormat/>
    <w:uiPriority w:val="0"/>
    <w:pPr>
      <w:ind w:firstLine="420"/>
    </w:pPr>
  </w:style>
  <w:style w:type="table" w:styleId="25">
    <w:name w:val="Table Grid"/>
    <w:basedOn w:val="24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7">
    <w:name w:val="Strong"/>
    <w:qFormat/>
    <w:uiPriority w:val="0"/>
    <w:rPr>
      <w:b/>
      <w:bCs/>
    </w:rPr>
  </w:style>
  <w:style w:type="character" w:styleId="28">
    <w:name w:val="Hyperlink"/>
    <w:unhideWhenUsed/>
    <w:qFormat/>
    <w:uiPriority w:val="99"/>
    <w:rPr>
      <w:color w:val="0000FF"/>
      <w:u w:val="single"/>
    </w:rPr>
  </w:style>
  <w:style w:type="character" w:styleId="29">
    <w:name w:val="annotation reference"/>
    <w:semiHidden/>
    <w:unhideWhenUsed/>
    <w:uiPriority w:val="99"/>
    <w:rPr>
      <w:sz w:val="21"/>
      <w:szCs w:val="21"/>
    </w:rPr>
  </w:style>
  <w:style w:type="character" w:customStyle="1" w:styleId="30">
    <w:name w:val="批注框文本 字符"/>
    <w:link w:val="15"/>
    <w:semiHidden/>
    <w:qFormat/>
    <w:uiPriority w:val="99"/>
    <w:rPr>
      <w:rFonts w:ascii="@仿宋_GB2312" w:hAnsi="@仿宋_GB2312" w:eastAsia="@仿宋_GB2312" w:cs="@仿宋_GB2312"/>
      <w:sz w:val="18"/>
      <w:szCs w:val="18"/>
    </w:rPr>
  </w:style>
  <w:style w:type="paragraph" w:customStyle="1" w:styleId="31">
    <w:name w:val="正文（缩进）"/>
    <w:basedOn w:val="1"/>
    <w:qFormat/>
    <w:uiPriority w:val="0"/>
    <w:pPr>
      <w:widowControl/>
      <w:spacing w:before="156" w:after="156"/>
      <w:ind w:firstLine="480" w:firstLineChars="200"/>
      <w:jc w:val="left"/>
    </w:pPr>
    <w:rPr>
      <w:kern w:val="0"/>
      <w:sz w:val="24"/>
      <w:szCs w:val="24"/>
    </w:rPr>
  </w:style>
  <w:style w:type="paragraph" w:customStyle="1" w:styleId="32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33">
    <w:name w:val="D&amp;L"/>
    <w:basedOn w:val="17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34">
    <w:name w:val="页眉 字符"/>
    <w:link w:val="17"/>
    <w:qFormat/>
    <w:uiPriority w:val="99"/>
    <w:rPr>
      <w:rFonts w:ascii="@仿宋_GB2312" w:hAnsi="@仿宋_GB2312" w:eastAsia="@仿宋_GB2312" w:cs="@仿宋_GB2312"/>
      <w:sz w:val="18"/>
      <w:szCs w:val="18"/>
    </w:rPr>
  </w:style>
  <w:style w:type="character" w:customStyle="1" w:styleId="35">
    <w:name w:val="页脚 字符"/>
    <w:link w:val="16"/>
    <w:qFormat/>
    <w:uiPriority w:val="99"/>
    <w:rPr>
      <w:rFonts w:ascii="@仿宋_GB2312" w:hAnsi="@仿宋_GB2312" w:eastAsia="@仿宋_GB2312" w:cs="@仿宋_GB2312"/>
      <w:sz w:val="18"/>
      <w:szCs w:val="18"/>
    </w:rPr>
  </w:style>
  <w:style w:type="character" w:customStyle="1" w:styleId="36">
    <w:name w:val="纯文本 字符"/>
    <w:link w:val="13"/>
    <w:qFormat/>
    <w:uiPriority w:val="0"/>
    <w:rPr>
      <w:rFonts w:ascii="宋体" w:hAnsi="Courier New"/>
    </w:rPr>
  </w:style>
  <w:style w:type="character" w:customStyle="1" w:styleId="37">
    <w:name w:val="纯文本 字符1"/>
    <w:semiHidden/>
    <w:qFormat/>
    <w:uiPriority w:val="99"/>
    <w:rPr>
      <w:rFonts w:ascii="宋体" w:hAnsi="Courier New" w:cs="Courier New"/>
      <w:szCs w:val="20"/>
    </w:rPr>
  </w:style>
  <w:style w:type="character" w:customStyle="1" w:styleId="38">
    <w:name w:val="未处理的提及1"/>
    <w:semiHidden/>
    <w:unhideWhenUsed/>
    <w:qFormat/>
    <w:uiPriority w:val="99"/>
    <w:rPr>
      <w:color w:val="605E5C"/>
      <w:shd w:val="clear" w:color="auto" w:fill="E1DFDD"/>
    </w:rPr>
  </w:style>
  <w:style w:type="paragraph" w:styleId="39">
    <w:name w:val="List Paragraph"/>
    <w:basedOn w:val="1"/>
    <w:qFormat/>
    <w:uiPriority w:val="34"/>
    <w:pPr>
      <w:ind w:firstLine="420" w:firstLineChars="200"/>
    </w:pPr>
  </w:style>
  <w:style w:type="paragraph" w:customStyle="1" w:styleId="40">
    <w:name w:val="Char Char Char Char Char Char Char1 Char"/>
    <w:basedOn w:val="1"/>
    <w:qFormat/>
    <w:uiPriority w:val="0"/>
    <w:rPr>
      <w:rFonts w:ascii="Arial" w:hAnsi="Arial" w:eastAsia="宋体" w:cs="Arial"/>
      <w:sz w:val="24"/>
    </w:rPr>
  </w:style>
  <w:style w:type="table" w:customStyle="1" w:styleId="41">
    <w:name w:val="网格表 1 浅色1"/>
    <w:basedOn w:val="24"/>
    <w:qFormat/>
    <w:uiPriority w:val="46"/>
    <w:tblPr>
      <w:tblBorders>
        <w:top w:val="single" w:color="999999" w:sz="4" w:space="0"/>
        <w:left w:val="single" w:color="999999" w:sz="4" w:space="0"/>
        <w:bottom w:val="single" w:color="999999" w:sz="4" w:space="0"/>
        <w:right w:val="single" w:color="999999" w:sz="4" w:space="0"/>
        <w:insideH w:val="single" w:color="999999" w:sz="4" w:space="0"/>
        <w:insideV w:val="single" w:color="999999" w:sz="4" w:space="0"/>
      </w:tblBorders>
    </w:tblPr>
    <w:tblStylePr w:type="firstRow">
      <w:rPr>
        <w:b/>
        <w:bCs/>
      </w:rPr>
      <w:tcPr>
        <w:tcBorders>
          <w:left w:val="single" w:color="666666" w:sz="12" w:space="0"/>
        </w:tcBorders>
      </w:tcPr>
    </w:tblStylePr>
    <w:tblStylePr w:type="lastRow">
      <w:rPr>
        <w:b/>
        <w:bCs/>
      </w:rPr>
      <w:tcPr>
        <w:tcBorders>
          <w:top w:val="double" w:color="666666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42">
    <w:name w:val="日期 字符"/>
    <w:semiHidden/>
    <w:qFormat/>
    <w:uiPriority w:val="99"/>
    <w:rPr>
      <w:rFonts w:ascii="@仿宋_GB2312" w:hAnsi="@仿宋_GB2312" w:eastAsia="@仿宋_GB2312" w:cs="@仿宋_GB2312"/>
      <w:szCs w:val="20"/>
    </w:rPr>
  </w:style>
  <w:style w:type="character" w:customStyle="1" w:styleId="43">
    <w:name w:val="日期 字符1"/>
    <w:link w:val="14"/>
    <w:qFormat/>
    <w:uiPriority w:val="0"/>
    <w:rPr>
      <w:rFonts w:ascii="Arial" w:hAnsi="Arial" w:eastAsia="宋体" w:cs="Arial"/>
      <w:b/>
      <w:sz w:val="28"/>
      <w:szCs w:val="20"/>
    </w:rPr>
  </w:style>
  <w:style w:type="character" w:customStyle="1" w:styleId="44">
    <w:name w:val="纯文本 Char1"/>
    <w:qFormat/>
    <w:locked/>
    <w:uiPriority w:val="99"/>
    <w:rPr>
      <w:rFonts w:ascii="Arial" w:hAnsi="Arial" w:eastAsia="Arial"/>
      <w:kern w:val="2"/>
      <w:sz w:val="21"/>
      <w:lang w:val="en-US" w:eastAsia="zh-CN" w:bidi="ar-SA"/>
    </w:rPr>
  </w:style>
  <w:style w:type="character" w:customStyle="1" w:styleId="45">
    <w:name w:val="批注文字 Char"/>
    <w:semiHidden/>
    <w:qFormat/>
    <w:uiPriority w:val="99"/>
    <w:rPr>
      <w:rFonts w:ascii="@仿宋_GB2312" w:hAnsi="@仿宋_GB2312" w:eastAsia="@仿宋_GB2312" w:cs="@仿宋_GB2312"/>
      <w:szCs w:val="20"/>
    </w:rPr>
  </w:style>
  <w:style w:type="character" w:customStyle="1" w:styleId="46">
    <w:name w:val="批注文字 字符"/>
    <w:link w:val="9"/>
    <w:qFormat/>
    <w:uiPriority w:val="0"/>
    <w:rPr>
      <w:rFonts w:ascii="Arial" w:hAnsi="Arial" w:eastAsia="黑体" w:cs="Arial"/>
      <w:szCs w:val="20"/>
    </w:rPr>
  </w:style>
  <w:style w:type="character" w:customStyle="1" w:styleId="47">
    <w:name w:val="标题 1 字符"/>
    <w:link w:val="2"/>
    <w:qFormat/>
    <w:uiPriority w:val="9"/>
    <w:rPr>
      <w:rFonts w:ascii="@仿宋_GB2312" w:hAnsi="@仿宋_GB2312" w:eastAsia="@仿宋_GB2312" w:cs="@仿宋_GB2312"/>
      <w:b/>
      <w:bCs/>
      <w:kern w:val="44"/>
      <w:sz w:val="44"/>
      <w:szCs w:val="44"/>
    </w:rPr>
  </w:style>
  <w:style w:type="paragraph" w:customStyle="1" w:styleId="48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 w:cs="Times New Roman"/>
      <w:color w:val="365F91"/>
      <w:kern w:val="0"/>
      <w:sz w:val="28"/>
      <w:szCs w:val="28"/>
    </w:rPr>
  </w:style>
  <w:style w:type="character" w:customStyle="1" w:styleId="49">
    <w:name w:val="标题 3 字符"/>
    <w:link w:val="4"/>
    <w:semiHidden/>
    <w:qFormat/>
    <w:uiPriority w:val="9"/>
    <w:rPr>
      <w:rFonts w:ascii="@仿宋_GB2312" w:hAnsi="@仿宋_GB2312" w:eastAsia="@仿宋_GB2312" w:cs="@仿宋_GB2312"/>
      <w:b/>
      <w:bCs/>
      <w:sz w:val="32"/>
      <w:szCs w:val="32"/>
    </w:rPr>
  </w:style>
  <w:style w:type="character" w:customStyle="1" w:styleId="50">
    <w:name w:val="fontstyle01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character" w:customStyle="1" w:styleId="51">
    <w:name w:val="fontstyle21"/>
    <w:qFormat/>
    <w:uiPriority w:val="0"/>
    <w:rPr>
      <w:rFonts w:hint="default" w:ascii="TimesNewRomanPSMT" w:hAnsi="TimesNewRomanPSMT"/>
      <w:color w:val="000000"/>
      <w:sz w:val="22"/>
      <w:szCs w:val="22"/>
    </w:rPr>
  </w:style>
  <w:style w:type="character" w:customStyle="1" w:styleId="52">
    <w:name w:val="正文文本 (2) + Sylfaen2"/>
    <w:qFormat/>
    <w:uiPriority w:val="99"/>
    <w:rPr>
      <w:rFonts w:ascii="Sylfaen" w:hAnsi="Sylfaen" w:eastAsia="MingLiU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53">
    <w:name w:val="标题 4 字符"/>
    <w:semiHidden/>
    <w:qFormat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54">
    <w:name w:val="标题 4 字符1"/>
    <w:link w:val="5"/>
    <w:qFormat/>
    <w:uiPriority w:val="0"/>
    <w:rPr>
      <w:rFonts w:ascii="@仿宋_GB2312" w:hAnsi="@仿宋_GB2312" w:eastAsia="@仿宋_GB2312" w:cs="@仿宋_GB2312"/>
      <w:b/>
      <w:bCs/>
      <w:sz w:val="28"/>
      <w:szCs w:val="28"/>
    </w:rPr>
  </w:style>
  <w:style w:type="paragraph" w:styleId="55">
    <w:name w:val="No Spacing"/>
    <w:qFormat/>
    <w:uiPriority w:val="0"/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customStyle="1" w:styleId="56">
    <w:name w:val="_Style 8"/>
    <w:basedOn w:val="1"/>
    <w:next w:val="39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57">
    <w:name w:val="列表段落1"/>
    <w:basedOn w:val="1"/>
    <w:qFormat/>
    <w:uiPriority w:val="0"/>
    <w:pPr>
      <w:ind w:firstLine="420" w:firstLineChars="200"/>
    </w:pPr>
  </w:style>
  <w:style w:type="paragraph" w:customStyle="1" w:styleId="58">
    <w:name w:val="_Style 5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59">
    <w:name w:val="标题 2 字符"/>
    <w:link w:val="3"/>
    <w:qFormat/>
    <w:uiPriority w:val="0"/>
    <w:rPr>
      <w:rFonts w:ascii="Arial" w:hAnsi="Arial" w:eastAsia="黑体" w:cs="Arial"/>
      <w:b/>
      <w:bCs/>
      <w:sz w:val="32"/>
      <w:szCs w:val="32"/>
    </w:rPr>
  </w:style>
  <w:style w:type="paragraph" w:customStyle="1" w:styleId="60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Times New Roman"/>
      <w:color w:val="00000A"/>
      <w:kern w:val="0"/>
    </w:rPr>
  </w:style>
  <w:style w:type="character" w:customStyle="1" w:styleId="62">
    <w:name w:val="文档结构图 字符"/>
    <w:link w:val="8"/>
    <w:semiHidden/>
    <w:qFormat/>
    <w:uiPriority w:val="99"/>
    <w:rPr>
      <w:rFonts w:ascii="宋体" w:hAnsi="@仿宋_GB2312" w:cs="@仿宋_GB2312"/>
      <w:kern w:val="2"/>
      <w:sz w:val="18"/>
      <w:szCs w:val="18"/>
    </w:rPr>
  </w:style>
  <w:style w:type="character" w:customStyle="1" w:styleId="63">
    <w:name w:val="font5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4">
    <w:name w:val="批注主题 字符"/>
    <w:link w:val="22"/>
    <w:semiHidden/>
    <w:uiPriority w:val="99"/>
    <w:rPr>
      <w:rFonts w:ascii="@仿宋_GB2312" w:hAnsi="@仿宋_GB2312" w:eastAsia="@仿宋_GB2312" w:cs="@仿宋_GB2312"/>
      <w:b/>
      <w:bCs/>
      <w:kern w:val="2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ocuments\WeChat%20Files\wxid_xk21j5l797xe52\FileStorage\File\2023-12\&#25307;&#26631;&#25991;&#20214;&#8212;&#8212;&#20013;&#22269;&#31185;&#23398;&#25216;&#26415;&#22823;&#23398;&#21464;&#30005;&#25152;&#19971;&#27679;&#19993;&#28919;&#35013;&#32622;&#38050;&#29942;&#26816;&#27979;&#21450;&#33647;&#21058;&#20805;&#35013;&#39033;&#30446;12.6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招标文件——中国科学技术大学变电所七氟丙烷装置钢瓶检测及药剂充装项目12.6.dot</Template>
  <Pages>41</Pages>
  <Words>19552</Words>
  <Characters>20529</Characters>
  <Lines>158</Lines>
  <Paragraphs>44</Paragraphs>
  <TotalTime>31</TotalTime>
  <ScaleCrop>false</ScaleCrop>
  <LinksUpToDate>false</LinksUpToDate>
  <CharactersWithSpaces>20948</CharactersWithSpaces>
  <Application>WPS Office_12.1.0.15990_F1E327BC-269C-435d-A152-05C5408002CA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2023-12-06T02:55:00Z</dcterms:created>
  <dc:creator>吴玉玲</dc:creator>
  <cp:lastModifiedBy>NTKO</cp:lastModifiedBy>
  <dcterms:modified xsi:type="dcterms:W3CDTF">2023-12-08T08:14:22Z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F41419BAADE3477199633DFBFF25DCD3_11</vt:lpwstr>
  </property>
</Properties>
</file>