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1"/>
        <w:rPr>
          <w:rFonts w:ascii="华文中宋" w:hAnsi="华文中宋" w:eastAsia="华文中宋" w:cs="Times New Roman"/>
          <w:b/>
          <w:bCs/>
          <w:kern w:val="44"/>
          <w:sz w:val="28"/>
          <w:szCs w:val="28"/>
        </w:rPr>
      </w:pPr>
      <w:bookmarkStart w:id="0" w:name="_Toc17676"/>
      <w:bookmarkStart w:id="1" w:name="_Toc27454"/>
      <w:bookmarkStart w:id="8" w:name="_GoBack"/>
      <w:bookmarkEnd w:id="8"/>
      <w:r>
        <w:rPr>
          <w:rFonts w:hint="eastAsia" w:ascii="华文中宋" w:hAnsi="华文中宋" w:eastAsia="华文中宋" w:cs="Times New Roman"/>
          <w:b/>
          <w:bCs/>
          <w:kern w:val="44"/>
          <w:sz w:val="28"/>
          <w:szCs w:val="28"/>
        </w:rPr>
        <w:t>采购需求</w:t>
      </w:r>
      <w:bookmarkEnd w:id="0"/>
      <w:bookmarkEnd w:id="1"/>
    </w:p>
    <w:p>
      <w:pPr>
        <w:spacing w:line="360" w:lineRule="auto"/>
        <w:rPr>
          <w:rFonts w:ascii="宋体" w:hAnsi="宋体" w:eastAsia="宋体" w:cs="宋体"/>
          <w:b/>
          <w:sz w:val="24"/>
          <w:szCs w:val="24"/>
        </w:rPr>
      </w:pPr>
      <w:r>
        <w:rPr>
          <w:rFonts w:hint="eastAsia" w:ascii="宋体" w:hAnsi="宋体" w:eastAsia="宋体" w:cs="宋体"/>
          <w:b/>
          <w:sz w:val="24"/>
          <w:szCs w:val="24"/>
        </w:rPr>
        <w:t>前注：</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本采购需求中提出的服务方案仅为参考，如无明确限制，投标人可以进行优化，提供满足采购人实际需要的更优（或者性能实质上不低于的）服务方案，且此方案须经评标委员会评审认可。</w:t>
      </w:r>
    </w:p>
    <w:p>
      <w:pPr>
        <w:spacing w:line="360" w:lineRule="auto"/>
        <w:ind w:firstLine="435"/>
        <w:outlineLvl w:val="2"/>
        <w:rPr>
          <w:rFonts w:ascii="宋体" w:hAnsi="宋体" w:eastAsia="宋体" w:cs="宋体"/>
          <w:b/>
          <w:bCs/>
          <w:color w:val="FF0000"/>
          <w:sz w:val="24"/>
          <w:szCs w:val="24"/>
        </w:rPr>
      </w:pPr>
      <w:r>
        <w:rPr>
          <w:rFonts w:hint="eastAsia" w:ascii="宋体" w:hAnsi="宋体" w:eastAsia="宋体" w:cs="宋体"/>
          <w:b/>
          <w:bCs/>
          <w:color w:val="FF0000"/>
          <w:sz w:val="24"/>
          <w:szCs w:val="24"/>
        </w:rPr>
        <w:t>第1包：安徽理工大学省级线上和线上线下混合式一流课程录课及运行服务</w:t>
      </w:r>
    </w:p>
    <w:p>
      <w:pPr>
        <w:spacing w:line="360" w:lineRule="auto"/>
        <w:ind w:firstLine="437"/>
        <w:rPr>
          <w:rFonts w:ascii="宋体" w:hAnsi="宋体" w:eastAsia="宋体" w:cs="宋体"/>
          <w:b/>
          <w:sz w:val="24"/>
          <w:szCs w:val="24"/>
        </w:rPr>
      </w:pPr>
      <w:r>
        <w:rPr>
          <w:rFonts w:hint="eastAsia" w:ascii="宋体" w:hAnsi="宋体" w:eastAsia="宋体" w:cs="宋体"/>
          <w:b/>
          <w:sz w:val="24"/>
          <w:szCs w:val="24"/>
        </w:rPr>
        <w:t>一、采购需求前附表</w:t>
      </w:r>
      <w:r>
        <w:rPr>
          <w:rFonts w:hint="eastAsia" w:ascii="Times New Roman" w:hAnsi="Times New Roman" w:cs="Times New Roman" w:eastAsiaTheme="minorEastAsia"/>
          <w:b/>
          <w:bCs/>
          <w:color w:val="FF0000"/>
          <w:sz w:val="24"/>
          <w:szCs w:val="22"/>
        </w:rPr>
        <w:t>（</w:t>
      </w:r>
      <w:r>
        <w:rPr>
          <w:rFonts w:ascii="Times New Roman" w:hAnsi="Times New Roman" w:cs="Times New Roman" w:eastAsiaTheme="minorEastAsia"/>
          <w:b/>
          <w:bCs/>
          <w:color w:val="FF0000"/>
          <w:sz w:val="24"/>
          <w:szCs w:val="22"/>
        </w:rPr>
        <w:t>采购需求前附表</w:t>
      </w:r>
      <w:r>
        <w:rPr>
          <w:rFonts w:hint="eastAsia" w:ascii="Times New Roman" w:hAnsi="Times New Roman" w:cs="Times New Roman" w:eastAsiaTheme="minorEastAsia"/>
          <w:b/>
          <w:bCs/>
          <w:color w:val="FF0000"/>
          <w:sz w:val="24"/>
          <w:szCs w:val="22"/>
        </w:rPr>
        <w:t>中规定的内容不允许负偏离）</w:t>
      </w:r>
    </w:p>
    <w:tbl>
      <w:tblPr>
        <w:tblStyle w:val="4"/>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2138"/>
        <w:gridCol w:w="5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
                <w:kern w:val="2"/>
                <w:szCs w:val="24"/>
              </w:rPr>
            </w:pPr>
            <w:r>
              <w:rPr>
                <w:rFonts w:hint="eastAsia" w:ascii="宋体" w:hAnsi="宋体" w:eastAsia="宋体" w:cs="宋体"/>
                <w:b/>
                <w:kern w:val="2"/>
                <w:szCs w:val="24"/>
              </w:rPr>
              <w:t>序号</w:t>
            </w:r>
          </w:p>
        </w:tc>
        <w:tc>
          <w:tcPr>
            <w:tcW w:w="2138"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条款名称</w:t>
            </w:r>
          </w:p>
        </w:tc>
        <w:tc>
          <w:tcPr>
            <w:tcW w:w="5977"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1</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付款方式</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宋体" w:hAnsi="宋体" w:eastAsia="宋体" w:cs="宋体"/>
                <w:b w:val="0"/>
                <w:bCs w:val="0"/>
                <w:sz w:val="24"/>
                <w:szCs w:val="24"/>
              </w:rPr>
              <w:t>合同签订生效并具备实施条件后采购人根据项目实际情况于5个工作日内支付合同价款的40%作为预付款</w:t>
            </w:r>
            <w:r>
              <w:rPr>
                <w:rFonts w:hint="eastAsia" w:ascii="宋体" w:hAnsi="宋体" w:eastAsia="宋体" w:cs="宋体"/>
                <w:sz w:val="24"/>
                <w:szCs w:val="24"/>
              </w:rPr>
              <w:t>（中标人须提交银行、保险公司、担保公司等金融机构出具的预付款保函或其他担保措施，以上各类机构出具的以担保函、保证保险承担责任的方式均须满足无条件见索即付条件）</w:t>
            </w:r>
            <w:r>
              <w:rPr>
                <w:rFonts w:hint="eastAsia" w:ascii="宋体" w:hAnsi="宋体" w:eastAsia="宋体" w:cs="宋体"/>
                <w:b w:val="0"/>
                <w:bCs w:val="0"/>
                <w:sz w:val="24"/>
                <w:szCs w:val="24"/>
              </w:rPr>
              <w:t>，</w:t>
            </w:r>
            <w:r>
              <w:rPr>
                <w:rFonts w:hint="eastAsia" w:ascii="Arial" w:hAnsi="Arial" w:eastAsia="宋体" w:cs="Arial"/>
                <w:b w:val="0"/>
                <w:bCs w:val="0"/>
                <w:sz w:val="24"/>
                <w:szCs w:val="24"/>
              </w:rPr>
              <w:t>每门课程制作完成并达到验收标准，且同步上线课程平台、推广平台后，每季度据实结算剩余尾款。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2</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服务地点</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安徽理工大学或采购人指定地点。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3</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服务期限</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每门课程须在90天内完成课程制作并达到验收标准，具体制作时间由采购方确定。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4</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lang w:val="zh-CN"/>
              </w:rPr>
              <w:t>免费质保期</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验收合格后1年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
                <w:kern w:val="2"/>
                <w:szCs w:val="24"/>
              </w:rPr>
            </w:pPr>
            <w:r>
              <w:rPr>
                <w:rFonts w:hint="eastAsia" w:ascii="宋体" w:hAnsi="宋体" w:eastAsia="宋体" w:cs="宋体"/>
                <w:b/>
                <w:kern w:val="2"/>
                <w:szCs w:val="24"/>
              </w:rPr>
              <w:t>5</w:t>
            </w:r>
          </w:p>
        </w:tc>
        <w:tc>
          <w:tcPr>
            <w:tcW w:w="2138"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本项目采购标的所属行业</w:t>
            </w:r>
          </w:p>
        </w:tc>
        <w:tc>
          <w:tcPr>
            <w:tcW w:w="5977" w:type="dxa"/>
            <w:vAlign w:val="center"/>
          </w:tcPr>
          <w:p>
            <w:pPr>
              <w:pStyle w:val="8"/>
              <w:widowControl w:val="0"/>
              <w:spacing w:before="0" w:beforeAutospacing="0" w:after="0" w:afterAutospacing="0" w:line="360" w:lineRule="auto"/>
              <w:jc w:val="both"/>
              <w:rPr>
                <w:rFonts w:ascii="Arial" w:hAnsi="Arial" w:eastAsia="宋体" w:cs="Arial"/>
                <w:bCs w:val="0"/>
                <w:sz w:val="24"/>
                <w:szCs w:val="24"/>
              </w:rPr>
            </w:pPr>
            <w:r>
              <w:rPr>
                <w:rFonts w:hint="eastAsia" w:ascii="Arial" w:hAnsi="Arial" w:eastAsia="宋体" w:cs="Arial"/>
                <w:bCs w:val="0"/>
                <w:sz w:val="24"/>
                <w:szCs w:val="24"/>
              </w:rPr>
              <w:t>软件和信息技术服务业</w:t>
            </w:r>
          </w:p>
        </w:tc>
      </w:tr>
    </w:tbl>
    <w:p>
      <w:pPr>
        <w:spacing w:line="360" w:lineRule="auto"/>
        <w:ind w:firstLine="437"/>
        <w:rPr>
          <w:rFonts w:ascii="Arial" w:hAnsi="Arial" w:eastAsia="宋体" w:cs="Arial"/>
          <w:b/>
          <w:sz w:val="24"/>
          <w:szCs w:val="18"/>
        </w:rPr>
      </w:pPr>
      <w:r>
        <w:rPr>
          <w:rFonts w:hint="eastAsia" w:ascii="Arial" w:hAnsi="Arial" w:eastAsia="宋体" w:cs="Arial"/>
          <w:b/>
          <w:sz w:val="24"/>
          <w:szCs w:val="18"/>
        </w:rPr>
        <w:t>二、服务指标重要性表述</w:t>
      </w:r>
    </w:p>
    <w:tbl>
      <w:tblPr>
        <w:tblStyle w:val="5"/>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1"/>
        <w:gridCol w:w="1260"/>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1"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标识重要性</w:t>
            </w:r>
          </w:p>
        </w:tc>
        <w:tc>
          <w:tcPr>
            <w:tcW w:w="1260"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标识符号</w:t>
            </w:r>
          </w:p>
        </w:tc>
        <w:tc>
          <w:tcPr>
            <w:tcW w:w="6061"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代表意思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631"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重要指标项</w:t>
            </w:r>
          </w:p>
        </w:tc>
        <w:tc>
          <w:tcPr>
            <w:tcW w:w="1260"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w:t>
            </w:r>
          </w:p>
        </w:tc>
        <w:tc>
          <w:tcPr>
            <w:tcW w:w="6061" w:type="dxa"/>
            <w:vAlign w:val="center"/>
          </w:tcPr>
          <w:p>
            <w:pPr>
              <w:pStyle w:val="8"/>
              <w:widowControl w:val="0"/>
              <w:spacing w:before="0" w:beforeAutospacing="0" w:after="0" w:afterAutospacing="0" w:line="360" w:lineRule="auto"/>
              <w:jc w:val="both"/>
              <w:rPr>
                <w:rFonts w:ascii="宋体" w:hAnsi="宋体" w:eastAsia="宋体" w:cs="宋体"/>
                <w:sz w:val="24"/>
                <w:szCs w:val="24"/>
              </w:rPr>
            </w:pPr>
            <w:r>
              <w:rPr>
                <w:rFonts w:ascii="Times New Roman" w:hAnsi="Times New Roman" w:cs="Times New Roman" w:eastAsiaTheme="minorEastAsia"/>
                <w:sz w:val="24"/>
                <w:szCs w:val="22"/>
              </w:rPr>
              <w:t>作为评分项，详见“第四章评标方法和标准”中评分细则。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1"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一般技术指标（无标识项）</w:t>
            </w:r>
          </w:p>
        </w:tc>
        <w:tc>
          <w:tcPr>
            <w:tcW w:w="1260"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无</w:t>
            </w:r>
          </w:p>
        </w:tc>
        <w:tc>
          <w:tcPr>
            <w:tcW w:w="6061" w:type="dxa"/>
            <w:vAlign w:val="center"/>
          </w:tcPr>
          <w:p>
            <w:pPr>
              <w:pStyle w:val="8"/>
              <w:widowControl w:val="0"/>
              <w:spacing w:before="0" w:beforeAutospacing="0" w:after="0" w:afterAutospacing="0" w:line="360" w:lineRule="auto"/>
              <w:jc w:val="both"/>
              <w:rPr>
                <w:rFonts w:ascii="Times New Roman" w:hAnsi="Times New Roman" w:cs="Times New Roman" w:eastAsiaTheme="minorEastAsia"/>
                <w:sz w:val="24"/>
                <w:szCs w:val="22"/>
              </w:rPr>
            </w:pPr>
            <w:r>
              <w:rPr>
                <w:rFonts w:ascii="Times New Roman" w:hAnsi="Times New Roman" w:cs="Times New Roman" w:eastAsiaTheme="minorEastAsia"/>
                <w:sz w:val="24"/>
                <w:szCs w:val="22"/>
              </w:rPr>
              <w:t>作为基础指标，</w:t>
            </w:r>
            <w:r>
              <w:rPr>
                <w:rFonts w:hint="eastAsia" w:ascii="Times New Roman" w:hAnsi="Times New Roman" w:cs="Times New Roman" w:eastAsiaTheme="minorEastAsia"/>
                <w:sz w:val="24"/>
                <w:szCs w:val="22"/>
              </w:rPr>
              <w:t>8</w:t>
            </w:r>
            <w:r>
              <w:rPr>
                <w:rFonts w:ascii="Times New Roman" w:hAnsi="Times New Roman" w:cs="Times New Roman" w:eastAsiaTheme="minorEastAsia"/>
                <w:sz w:val="24"/>
                <w:szCs w:val="22"/>
              </w:rPr>
              <w:t>项以上</w:t>
            </w:r>
            <w:r>
              <w:rPr>
                <w:rFonts w:hint="eastAsia" w:ascii="Times New Roman" w:hAnsi="Times New Roman" w:cs="Times New Roman" w:eastAsiaTheme="minorEastAsia"/>
                <w:sz w:val="24"/>
                <w:szCs w:val="22"/>
              </w:rPr>
              <w:t>（不含8项）不满足或未</w:t>
            </w:r>
            <w:r>
              <w:rPr>
                <w:rFonts w:ascii="Times New Roman" w:hAnsi="Times New Roman" w:cs="Times New Roman" w:eastAsiaTheme="minorEastAsia"/>
                <w:sz w:val="24"/>
                <w:szCs w:val="22"/>
              </w:rPr>
              <w:t>响应，将导致</w:t>
            </w:r>
            <w:r>
              <w:rPr>
                <w:rFonts w:hint="eastAsia" w:ascii="Times New Roman" w:hAnsi="Times New Roman" w:cs="Times New Roman" w:eastAsiaTheme="minorEastAsia"/>
                <w:sz w:val="24"/>
                <w:szCs w:val="22"/>
              </w:rPr>
              <w:t>投标</w:t>
            </w:r>
            <w:r>
              <w:rPr>
                <w:rFonts w:ascii="Times New Roman" w:hAnsi="Times New Roman" w:cs="Times New Roman" w:eastAsiaTheme="minorEastAsia"/>
                <w:sz w:val="24"/>
                <w:szCs w:val="22"/>
              </w:rPr>
              <w:t>无效。</w:t>
            </w:r>
          </w:p>
          <w:p>
            <w:pPr>
              <w:pStyle w:val="8"/>
              <w:widowControl w:val="0"/>
              <w:spacing w:before="0" w:beforeAutospacing="0" w:after="0" w:afterAutospacing="0" w:line="360" w:lineRule="auto"/>
              <w:jc w:val="both"/>
              <w:rPr>
                <w:rFonts w:ascii="宋体" w:hAnsi="宋体" w:eastAsia="宋体" w:cs="宋体"/>
                <w:sz w:val="24"/>
                <w:szCs w:val="24"/>
              </w:rPr>
            </w:pPr>
            <w:r>
              <w:rPr>
                <w:rFonts w:hint="eastAsia" w:ascii="Times New Roman" w:hAnsi="Times New Roman" w:cs="Times New Roman" w:eastAsiaTheme="minorEastAsia"/>
                <w:sz w:val="24"/>
                <w:szCs w:val="22"/>
              </w:rPr>
              <w:t>注：以投标响应表及采购需求中要求提供的证明材料作为评审依据。</w:t>
            </w:r>
          </w:p>
        </w:tc>
      </w:tr>
    </w:tbl>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三、总体要求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投标人用现代化的影视手段，对传统的教学进行视频化编排，以课堂内容为核心，针对各类教学视频标准要求拍摄制作成所需要的教学视频。视频拍摄制作技术须达到国家级精品慕课要求和国内主流MOOC课程制作标准要求拍摄制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2、投标人须具有固定的拍摄制作团队，包括：项目经理、编导、摄像、后期等相关制作人员。拍摄前须提供详细的拍摄计划，并保证与主讲教师有效沟通，后期须尊重主讲教师的修改意见；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3、投标人所拍摄的课程视频可根据学校需求制作成各类形式，如：慕课课程、精品在线开放课程、精品视频公开课、资源共享课、微课程等；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4、投标人根据需要须支持多机位拍摄；</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5、投标人在淮南等周边城市有自建或租赁精装修有隔音效果的录制场地，如精装修拍摄影棚、抠像拍摄影棚等。</w:t>
      </w:r>
      <w:r>
        <w:rPr>
          <w:rFonts w:hint="eastAsia" w:ascii="宋体" w:hAnsi="宋体" w:eastAsia="宋体" w:cs="宋体"/>
          <w:b/>
          <w:bCs/>
          <w:sz w:val="24"/>
          <w:szCs w:val="24"/>
        </w:rPr>
        <w:t>投标文件中提供详细地址和图片，并提供精装修场地证明材料（包含但不限于房产证，租赁合同等）；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投标人能满足多种拍摄需求，如课堂实录、场景摆拍、抠像拍摄、外景拍摄、实训/实验拍摄、出差国内外地取景拍摄等；能满足多种制作形式，如课堂授课型、实景教学、虚拟背景授课、屏幕录屏、二维动画、三维动画拍摄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★7、投标人须具有一定的课程运行经验，以满足学校相关扩展性需求，</w:t>
      </w:r>
      <w:r>
        <w:rPr>
          <w:rFonts w:hint="eastAsia" w:ascii="宋体" w:hAnsi="宋体" w:eastAsia="宋体" w:cs="宋体"/>
          <w:b/>
          <w:bCs/>
          <w:sz w:val="24"/>
          <w:szCs w:val="24"/>
        </w:rPr>
        <w:t>投标文件中提供自有知识产权的课程运行服务平台证明材料；</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★8、投标人须承诺视频录制方将完整的视频作品拷贝给采购人，采购人享有所有作品的版权，未经采购人同意不得将作品以任何形式上传至其他网站</w:t>
      </w:r>
      <w:r>
        <w:rPr>
          <w:rFonts w:hint="eastAsia" w:ascii="宋体" w:hAnsi="宋体" w:eastAsia="宋体" w:cs="宋体"/>
          <w:b/>
          <w:bCs/>
          <w:sz w:val="24"/>
          <w:szCs w:val="24"/>
        </w:rPr>
        <w:t>（须提供承诺函，格式自拟）</w:t>
      </w:r>
      <w:r>
        <w:rPr>
          <w:rFonts w:hint="eastAsia" w:ascii="宋体" w:hAnsi="宋体" w:eastAsia="宋体" w:cs="宋体"/>
          <w:sz w:val="24"/>
          <w:szCs w:val="24"/>
        </w:rPr>
        <w:t>。</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9、为保证课程建设质量，把控课程建设各关键节点，确保课程按时按质完成，要求投标人具有证书覆盖范围含有在线课程制作的五星级售后服务认证证书。保证课程制作各环节模块、任务节点的信息数据流畅，项目进度可实时在线查看，对流程上各岗位人员、制作节点可实现线上实时溯源。投标文件中须提供五星级售后服务认证证书扫描件并加盖投标人公章。</w:t>
      </w:r>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四、服务需求</w:t>
      </w:r>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（一）服务对象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投标人需要服务的对象是我校10门省级线上和线上线下混合式课程。采购预算90万元，最高限价90万元，每门课程不超过9.0万元。</w:t>
      </w:r>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（二）服务内容</w:t>
      </w:r>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1、课程建设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投标人可提供课程建设所需要的拍摄制作等服务，建设成课程运行所需要的线上教学资源体系，开展混合式教学。</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投标人同时提供对应课程的国家级或省级精品在线开放课程资源，资源可供学校课程团队进行本地化改造，开展混合式课程教学设计与实施。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前期拍摄制作要求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（1）课程编导与教师制定拍摄方式，安排拍摄场地。依据老师需求商定拍摄方式和拍摄环境，及时联系教师，确定拍摄场地和时间；</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课程编导与教师确定课程的内容并帮助老师美化和修改教学PPT。商定课程内容设计的安排，包括章节框架、知识点和具体的拍摄单元。课程编辑配合教师收集详细的课程资料、图片、视频、文档等。根据老师的课程内容，设计教学场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（3）根据拍摄技术标准和课程内容，设计贴合教师授课特点的拍摄形式，与老师沟通说明拍摄要求，并协助提供着装意见；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（4）录制每门课程均采用专业级高清摄像机拍摄,所用摄像机分辨率1920X1080，录制视频宽高比16:9，视频帧率为25帧/秒。专业录音设备，领夹话筒等；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（5）拍摄时应根据“总体要求第6条”结合实际情况选择适当的拍摄方式，与后期制作统筹策划，确保成片中的多媒体演示及板书完整、清晰。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拍摄过程要求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制定拍摄计划及拍摄地点。在整个的课程拍摄过程中，老师基本上只需要准备好所讲的内容，对于课程如何表现，如何制作的美观，在什么样的环境下拍摄这些等问题都是由中标人与老师的沟通来确定方式并负责实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（2）中标人依据事先与教师团队最终确定的拍摄方案进行场地布局，由专业化妆师和造型师为教师打造授课形象，课程编导全程跟进，辅助授课教师熟悉拍摄坏境，适应镜头感；</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为解决老师们面对摄像机紧张的情况，在拍摄前，中标人需要给老师做相关培训，内容包括但不限于辅导老师如何在镜头前表现自己，为老师提供一些小方法进行自我适应和训练，如何准备课程知识点内容，拍摄具体流程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（4）为保证老师们的拍摄效果，现场需有提词器帮助老师解决忘词的问题。</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后期制作要求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（1）使用专业的非线性编辑系统对源视频进行最基本的处理（如颜色校正、双声道处理、渲染）。使用专业的视频编辑系统进行视频降噪、音频降噪；</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（2）使用专业的后期合成软件进行片头设计：用平面设计+后期合成，根据每个课题的内容设计出相关联的内容元素，片头不超过10秒，包括:LOGO、课程名称、讲次、主讲教师姓名、专业技术职务、单位等信息；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（3）使用专业的后期合成软件和图片处理软件进行拍摄背景设计：根据每讲的课程内容来制定出相应的拍摄背景，并且主色调要和片头、片尾还有内容相协调；</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（4）使用专业的后期合成软件进行课题条、简介条设计：根据课程内容不同，设计符合本课程的课题简介的模版，以此来介绍本讲的主要内容和老师名称；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内容编辑、资料查询（编导工作）：通篇观看源视频，根据主讲人所讲内容，理清脉络，划分片子结构，确定片子整体风格，查找相关素材资料；标记与课程内容关系不大的内容时间点，进行删除处理，并且确保不存在涉及政治和民族矛盾等字眼出现，最后编辑出最终的制作脚本；</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（6）每门课程应按照课程性质特点，制作不同的片头片尾（含背景音乐）：</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专业非线性编辑系统制作片花、引文、情景图片：根据编导所提供的制作脚本来进行片花和引文等的编辑与制作，主要有背景板、特定的背景音乐、音乐场景特效、引文字体、字体颜色、构图排版、转场特效、基本剪辑、音视频调整与衔接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&lt;2&gt;使用专业的后期合成软件制作片尾：制定相关的片尾名单，包括版权单位、制作单位、录制时间等信息；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&lt;3&gt;使用专业非线性编辑系统剪掉不必要的废镜头，制作完之后，添加必要的背景音乐，保证制作的片花无错误、无硬伤，画面美观，排版规范、逻辑完整；</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&lt;4&gt;使用专业非线性编辑系统渲染成片：所有内容编辑结束之后，生成成片，成品为高清制式。</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（7）对于视频剪辑中所引用的教育视频片段，中标人须保证无版权问题，对于所引用的教育视频资源须提供主讲人授权协议。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后期技术指标</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（1）视频信号源：</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&lt;1&gt;稳定性：全片图像同步性能稳定，无失步现象，CTL同步控制信号必须连续；图像无抖动跳跃，色彩无突变，编辑点处图像稳定；</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&lt;2&gt;信噪比：图像信噪比不低于55dB，无明显杂波；</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&lt;3&gt;色调：白平衡正确，无明显偏色，多机拍摄的镜头衔接处无明显色差；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&lt;4&gt;视频电平：视频全讯号幅度为1Ⅴp-p，最大不超过1.1Ⅴ p-p。其中，消隐电平为0V时，白电平幅度0.7Ⅴp-p，同步信号-0.3V，色同步信号幅度0.3V p-p (以消隐线上下对称)，全片一致；</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（2）音频信号源：</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&lt;1&gt;声道：中文内容音频信号记录于第1声道，音乐、音效、同期声记录于第2声道，若有其他文字解说记录于第3声道（如录音设备无第3声道，则录于第2声道）；</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&lt;2&gt;电平指标：-2db — -8db声音应无明显失真、放音过冲、过弱；</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&lt;3&gt;音频信噪比不低于48db；</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&lt;4&gt;声音和画面要求同步，无交流声或其他杂音等缺陷；</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&lt;5&gt;伴音清晰、饱满、圆润，无失真、噪声杂音干扰、音量忽大忽小现象。解说声与现场声无明显比例失调，解说声与背景音乐无明显比例失调；</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（3）视、音频交付文件：</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&lt;1&gt;交付载体。所有视频文件存储于移动硬盘内，并在盘里注明交付的内容清单（标记学校名称、课程名称、讲次及标题、主讲教师、时长等）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&lt;2&gt;视频压缩格式及技术参数：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①视频压缩采用H.264(MPEG-4Part10：profile=main,level=3.0)编码、使用二次编码、不包含字幕的 MP4格式。</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②视频码流率：动态码流的最高码率不高于2500 Kbps，最低码率不得低于1024Kbps。</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③视频分辨率：前期采用高清16:9拍摄，设定为 1920X1080。在同一课程中，各讲的视频分辨率统一，统一高清。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④视频帧率为25帧/秒，扫描方式采用逐行扫描。</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⑤音频压缩格式及技术参数：音频压缩采用AAC(MPEG4 Part3)格式，采样率48KHz，音频码流率128Kbps (恒定)，必须是双声道，必须做混音处理。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&lt;3&gt;封装:采用MP4封装。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&lt;4&gt;应提供外挂字幕文件功能：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①根据老师讲课需求对讲课的内容进行全片字幕的添加；</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 xml:space="preserve">②字幕文件格式：独立的SRT格式的字幕文件； </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 xml:space="preserve">③字幕的行数要求：每屏只有一行字幕； </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 xml:space="preserve">④字幕的字数要求：画幅比为16：9的，每行不超过20个字； </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 xml:space="preserve">⑤字幕的位置：保持每屏字幕出现位置一致； </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 xml:space="preserve">⑥字幕中的标点符号：只有书名号及书名号中的标点、间隔号、连接号、具有特殊含意的词语的引号可以出现在唱词中，在每屏唱词中用空格代替标点表示语气停顿，所有标点及空格均使用全角； </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 xml:space="preserve">⑦字幕的断句：不简单按照字数断句，以内容为断句依据； </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 xml:space="preserve">⑧字幕中的数学公式、化学分子式、物理量和单位，尽量以文本文字呈现；不宜用文本文字呈现的且在视频画面中已经通过PPT、板书等方式显示清楚的，可以不加该行字幕； </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 xml:space="preserve">⑨字幕文字：中文。如有需要，除制作中文字幕外，可另外制作英文字幕。 </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字幕要使用符合国家标准的规范字，不出现繁体字、异体字(国家规定的除外)、错别字；字幕的字体、大小、色彩搭配、摆放位置、停留时间、出入屏方式力求与其他要素（画面、解说词、音乐）配合适当，不能破坏原有画面。</w:t>
      </w:r>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2、课程运行</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需提供具有自主知识产权的数字化教学工具/平台服务，包含但不仅限于以下服务内容：数字化教学工具/平台服务，培训服务，课程上线运行咨询服务等。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数字化教学工具/平台的技术、对接服务要求：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★2.1对接</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要求数字化教学工具/平台可以与现有教务系统进行数据自动化对接，自动获取教务系统中的学生、教师、课程等信息，免去教师课程班级建立工作。</w:t>
      </w:r>
      <w:r>
        <w:rPr>
          <w:rFonts w:hint="eastAsia" w:ascii="宋体" w:hAnsi="宋体" w:eastAsia="宋体" w:cs="宋体"/>
          <w:b/>
          <w:bCs/>
          <w:sz w:val="24"/>
          <w:szCs w:val="24"/>
        </w:rPr>
        <w:t>（须提供承诺函，格式自拟）</w:t>
      </w:r>
      <w:r>
        <w:rPr>
          <w:rFonts w:hint="eastAsia" w:ascii="宋体" w:hAnsi="宋体" w:eastAsia="宋体" w:cs="宋体"/>
          <w:sz w:val="24"/>
          <w:szCs w:val="24"/>
        </w:rPr>
        <w:t>。</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2.2性能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系统容量保证满足100000用户以上，系统满足万量级用户的并发运行，系统能及时的响应用户操作请求。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2.3稳定性</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平台在架构设计、功能规划、配置设置上重点考虑教学业务需求对性能的要求，确保未来运行的高可靠性和高可用性。</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2.4规范性</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建设过程中必须统一相关的平台标准规范，优先采用已有的标准和通用规范，修订采用部分成熟的标准规范，研究制定平台操作规则。</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2.5可扩展性</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平台满足未来教学业务的扩展、变化、调整的需求，因平台业务发展和变动带来的维护、升级成本由中标人承担。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2.6数字化教学工具/平台服务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提供覆盖所有课堂教学活动的课堂互动功能，充分调动课堂气氛。在课堂结束后，为师生提供沟通交流的平台，教师可便捷地在课下向学生推送自主学习资料，系统应提供相应的监督措施及学习效果反馈。具体功能要求如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（1）课前预习</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1）制作预习资料</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&lt;1&gt;教师制作预习资料可以不完全依赖在线课程，可以基于原有教学课件和全校师生手机都安装的微信应用或APP实现预习课件的制作及推送。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教师可一键式插入清华大学等双一流高校的mooc视频，也可以通过粘贴视频网页链接插入优酷、腾讯、哔哩哔哩或YouTube等第三方视频，系统进行自动化智能识别视频内容；教师将预习材料上传至手机，并推送给学生，学生可直接在手机端查看教师的教学课件及视频、完成习题测试，数据自动进行统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&lt;3&gt;教师可以在手机端对已经编辑好的教学内容进行语音注解，包含对原有PPT、教学视频、习题等教学内容的语音解析，每个教学内容上的语音注解总条数不设上限，快速构建旁白式在线课程。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&lt;4&gt;课件支持插入本地音频、视频，发布时将同步至学生手机端，无需下载即可完成学习。</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&lt;5&gt;课件中的超链接支持点击跳转；推送至手机端的预习课件，保留原有教学内容的呈现效果。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2）课前推送预习资料</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&lt;1&gt;教师可以设置预习截止时间，在节点前没有预习的学生会收到消息提醒；预习活动发布之后，支持修改截止时间。</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教师将预习材料上传至教师手机端，教师可选择推送到学生手机端，学生收到预习通知后，可直接在手机端同一页面内一边听取教师语音注解，一边同步观看预习资料；也可以在同一页面内听取语音注解的同时完成该页面包含的习题作答；预习数据可自动进行统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3）支持多种题型模板及题型切换</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支持插入单选、多选、填空、投票、主观等多种类型习题及自定义题目分值；教师制作题目时可一键切换题目类型。多选题支持教师在学生少选时的自定义得分；填空题支持每个空单独设置分值，整个题目的答案可设置允许乱序，支持自动批复功能；投票题支持学生匿名投票功能；主观题支持学生以文字和图片的形式提交答案，当主观题用于课下预习或作业时，还支持语音形式作答；预习课件和课堂中的主观题支持分组作答。</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&lt;2&gt;主观题批改：主观题批改时，支持对文字提交内容的批注；对于学生提交的图片答案，可以点击图片进行圈点，可用不同颜色的笔迹在图片上用鼠标涂写；支持对同一班级学生提交的主观题进行批量评分。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&lt;3&gt;主观题课堂互评：主观题支持已提交答案的同学参加互评，每人/每组将收到非本人/本组的作答内容；互评相互匿名；教师在发起互评时可设置互评占比，最终得分可随时修改。</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&lt;4&gt;答案解析支持富文本答案解析，文字、图片、公式均可作为习题的答案解析上传。学生在作答之后，即可查看富文本的答案解析。</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4）教师实时查看学生预习情况</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教师可以通过移动端或者PC端实时查看学生预习详细情况。具体包括：完成预习人数、查看课件人数、班级总人数的图表数据展示；点击详情可查看已完成预习人员名单、已查看课件人员名单及未查看课件人员名单；可追溯到每位学生预习进度、预习观看时长、习题得分情况及未观看页数；可查看当前学生预习课件习题作答选项答案及得分情况；</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&lt;2&gt;教师可以通过移动端或者PC端随时预览课件。</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&lt;3&gt;可查看当前预习课件班级答题情况，客观题可查看每道题的答题率、正确率及所有题目的汇总表；可直接在移动端批阅学生主观题，可给每道题赋分并添加评语。</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5）教学备忘</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教师可以在手机端记录教学设计和心得等笔记。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6）预习详情数据报表发送邮箱</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支持教师将学生详细的预习数据以邮件的方式下载或者发送至个人邮箱。</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7）试卷库管理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支持教师在PPT端、网页端上传试卷，试卷库中的试卷可以用于课下测验和课堂考试；教师从网页端登录系统后，可以在试卷库中进行新建文件夹操作；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ppt端上传的课件和试卷可以同步到手机的课件库和试卷库。</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支持多种方式登录</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支持在系统中绑定邮箱或者手机号，进行登录。</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（2）课堂教学</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1）多种方式开启授课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支持教师多终端开启授课。老师可以下载插件端，通过扫码、手机登录、短信登录、邮箱登录进行授课；或者登录网页版进行授课，即使教师中没有安装插件也不影响课堂教学。</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2）课堂签到并实时查看加入课堂的人数和签到方式</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支持PPT端、网页端教师一键开启授课，学生可以通过扫描课堂二维码、输入课堂暗号时自动完成课堂签到，课堂授课签到时展示头像，同时显示到课人数和比例；教师手机端可实时查看学生签到情况，包括：签到人数、签到方式和签到时间，以及未签到学生的名单。</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&lt;2&gt;课堂考勤备注：可以备注学生的课堂考勤状态：已签到或未签到。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3）智能遥控课件</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&lt;1&gt;教师可以同时用手机或电脑控制教学课件的翻页及发送题目等课堂常用功能，摆脱讲台束缚；</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教师通过使用翻页笔或手机可以实现课件的翻页，调出课堂二维码让学生签到，开通/关闭弹幕功能并展现弹幕内容，随机点名，发放题目并查看答题详情等。单击上下键即可滚动，在全屏放映状态下，任何时候双击功能键即可呼出菜单栏，点选即可实现相应功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4）教学内容任意截图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教师可对电脑屏幕内容任意截图，并发送给全班同学，学生通过手机移动端查看接收内容，截图内容可作为独立的页面融入到教学课件中；</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5）实时教学反馈</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支持学生在每一页教学课件上进行标注（类似“不懂”或“收藏”等功能）反馈，学生可以点击“不懂”进行反馈，同时可以点击“收藏”方便课后复习，课后学生可以利用标注数据查看每一堂课中自己的盲点、重难点，教师也可同步收到本班同学的课堂反馈情况，及时发现问题解决问题。</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6）教师手机端页面支持查看教学课件备注</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教师在教学课件中的备注，支持在手机教师端查看。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7）课堂内容实时同步到学生端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进行课程内容讲解时，支持教师PPT课件、板书、直播语音画面等教学内容实时同步到学生的学习终端；教师在授课过程中，无需结束授课，支持临时加入习题，或修改题目正确答案等，课件会实时同步到学生端。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8）随堂小测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课堂支持限时随堂测验，支持单选，多选、投票和主观题；随堂测试结果实时显示，方便教师实时了解答题情况。（包括答题总人数，各选项的选择详情，每个学生的答题情况等数据统计）；客观题结果实时显示，方便教师实时了解学生答题情况，包括答题总人数，各选项的选择详情，每个学生的答题情况等数据统计。教师可在课上习题详情页中，查看未作答学生名单。其中，主观题支持学生个人作答或分组作答，批改方式上支持教师批改，小组互评等，同时支持课上实时批改或课下批改。</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9）随堂考试</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课堂支持随堂考试。课堂结束后，教师可以查看学生答题情况。</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10）弹幕</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教师可根据课堂教学情况随时开启弹幕；组织学生讨论，活跃课堂气氛，增加师生实时互动。弹幕可以实现前台（投影）匿名，后台（教师手机端）实名。</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11）投稿</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&lt;1&gt;支持PPT端、网页端开启投稿，学生在开始上课以后，可以随时通过投稿将图片、文字、视频发送至教师端，表达个人观点和问题思考。</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&lt;2&gt;教师可实时查看，并可以选择将文字或内容投放至大屏幕和发送至学生手机的方式与全班同学共享，投放至大屏幕的图片和文字等投稿内容支持旋转、放大缩小等操作。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12）词云</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教师可控制遥控器，生成弹幕或投稿的词云并进行投屏。</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13）投屏</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习题投屏可以同时展示题目并可隐藏正确答案；主观题/投稿投屏可隐藏学生姓名，更好地保证学生的隐私。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14）随机点名</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教师可通过PC端或手机端随机选择一名或多名学生参与课堂活动。</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15）课堂表现加分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教师可以通过遥控器对学生的课堂表现进行加分操作。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16）课堂板书</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课堂授课过程中ppt课件与板书能够自由切换，支持课堂中新建板书页，板书内容是融入到PPT教学过程中的，比如教师在第N页PPT课件讲解过程中使用板书功能，那该板书在学生端就作为独立页面嵌入到原来第N页PPT和第N+1页PPT课件中去；同时板书实时记录并投影到屏幕中；课后还能完整回放书写过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17）课堂红包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在每次随堂测试后，教师可以在手机端发红包给答题又快又好的学生，红包自动匹配给又对又快的学生，让所有学生都参与交互的情况下又能营造竞争的氛围，激励学生认真听讲。</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18）课堂小结</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记录所有课堂上的师生互动内容，生成课堂报告。可以查看到课详情，比如：学生签到情况，学生数据（包括学生成绩得分、成绩排名，答题用时、答题性情）、优秀学生和预警学生列表，随堂小测数据（包括每道题习题正确率、答题率、各选项回答人数、易错点等信息），有疑惑的课件数据，教学课件详情，考卷数据，弹幕详情，投稿详情，教学笔记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★19）课堂直播</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在教室具备音频、视频信号传输到教室电脑的条件下，教师在插件端可以选择开启语音直播/视频直播。开启语音直播时，加入班级的学生可接收教师的授课语音；开启视频直播时，可以选择摄像头、全屏、图片多画面来源，支持多个画面并存，加入班级的学生可接收到相应的画面；课后支持回放课堂直播内容。支持发送上课通知到学生微信端</w:t>
      </w:r>
      <w:r>
        <w:rPr>
          <w:rFonts w:hint="eastAsia" w:ascii="宋体" w:hAnsi="宋体" w:eastAsia="宋体" w:cs="宋体"/>
          <w:b/>
          <w:bCs/>
          <w:sz w:val="24"/>
          <w:szCs w:val="24"/>
        </w:rPr>
        <w:t>（投标文件中须提供系统截图）</w:t>
      </w:r>
      <w:r>
        <w:rPr>
          <w:rFonts w:hint="eastAsia" w:ascii="宋体" w:hAnsi="宋体" w:eastAsia="宋体" w:cs="宋体"/>
          <w:sz w:val="24"/>
          <w:szCs w:val="24"/>
        </w:rPr>
        <w:t>。</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20）课堂教学详情数据报表下载或发送邮箱</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支持将每堂课程更详细的学生学习统计数据下载或者发送至教师邮箱。</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★21）不改变教师习惯开展教学</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教师基于原有PPT，在不改变原有教学习惯的前提下，在课堂上教师即可以开启所有教学互动，实现课程教学数据全面监控。学生通过移动端即可以快速进入课堂</w:t>
      </w:r>
      <w:r>
        <w:rPr>
          <w:rFonts w:hint="eastAsia" w:ascii="宋体" w:hAnsi="宋体" w:eastAsia="宋体" w:cs="宋体"/>
          <w:b/>
          <w:bCs/>
          <w:sz w:val="24"/>
          <w:szCs w:val="24"/>
        </w:rPr>
        <w:t>（投标文件中须提供系统截图）</w:t>
      </w:r>
      <w:r>
        <w:rPr>
          <w:rFonts w:hint="eastAsia" w:ascii="宋体" w:hAnsi="宋体" w:eastAsia="宋体" w:cs="宋体"/>
          <w:sz w:val="24"/>
          <w:szCs w:val="24"/>
        </w:rPr>
        <w:t>。</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22）PPT发送延迟和清晰度设置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教师可自由选择是否延迟发送PPT；同时教师可设置幻灯片清晰度，可选择适合手机观看的“标清”或者适合大屏幕观看的“高清”。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23）课后回放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教师开启课堂直播，课后提供“直播回放”入口，能够方便师生同时回顾教师课堂上讲授的PPT，教师书写板书的过程，以及课堂直播语音、画面。</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24）学生视角</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教师手机遥控器支持查看学生视角，方便教师查看学生听课画面。</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（3）课后环节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1）测试题批量导入</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教师能以word类型的题库文件无模板化一键式批量导入课件中，系统智能化识别导入题库文件中习题题干、选项、正确答案等信息。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2）发送试卷</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教师可从试卷库选择考卷发送给指定的班级。教师可自定义答案显示时间。延迟显示答案，防止作弊；教师可以设置答卷截止日期，截止日期前没有答卷的学生会收到提醒。</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3）试卷小结</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教师可实时查看考卷数据，包括考卷预览，考卷完成情况（包括已批改人数、完成试卷人数、查看试卷人数、班级人数分析），学生得分分布情况，学生答题正确率、答题率对比图，学生答题详情数据。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★4）混合式教学课程资源库</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系统内置不少于6000门完整慕课课程视频（29万个知识点级的视频），每个知识点视频时长约为5到15分钟，教师可按照知识点进行课程拆分以单个视频一键式添加到教学课件中，应用于学生课前预习及课后复习。</w:t>
      </w:r>
      <w:r>
        <w:rPr>
          <w:rFonts w:hint="eastAsia" w:ascii="宋体" w:hAnsi="宋体" w:eastAsia="宋体" w:cs="宋体"/>
          <w:b/>
          <w:bCs/>
          <w:sz w:val="24"/>
          <w:szCs w:val="24"/>
        </w:rPr>
        <w:t>（投标文件中须提供课程清单及承诺函）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5）教学详情数据报表下载或发送邮箱</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将更详细的学生学习统计数据下载或发送至教师邮箱。</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6）群发公告</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教师可通过PC端或者移动端向班级学生群发公告；学生可通过微信端进行查看。公告可以发送图文通知、网页文章、在线视频及云盘文件等，教师可实时查看学生对此公告的查看情况。</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7）课件库管理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&lt;1&gt;支持教师在PPT端、网页端上传课件，课件库课件可以用于课前预习和课堂网页版授课；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&lt;2&gt;教师从网页端登录课堂教学互动系统后，可以在课件库中进行新建文件夹操作，方便对文件进行管理。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8）学生分组及分组管理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&lt;1&gt;教学中，教师可根据教学需求，对班级学生进行分组，支持三种分类形式：随机分组、学生自由分组和老师指定分组。</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&lt;2&gt;支持教师在课下提前创建分组，也支持课上创建新的分组。</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&lt;3&gt;教师可对已创建的分组进行成员调整和增删等管理工作。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★9）国际化英文版界面</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为方便英语专业，留学生及外国师生加入混合式教学改革和课程创新，主要操作界面支持英文版操作。</w:t>
      </w:r>
      <w:r>
        <w:rPr>
          <w:rFonts w:hint="eastAsia" w:ascii="宋体" w:hAnsi="宋体" w:eastAsia="宋体" w:cs="宋体"/>
          <w:b/>
          <w:bCs/>
          <w:sz w:val="24"/>
          <w:szCs w:val="24"/>
        </w:rPr>
        <w:t>（投标文件中须提供系统截图）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10）全周期班级管理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&lt;1&gt;教师手机端的教学日志和学生手机端的学习日志会永久保留所有教师行为方便学生复习。</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&lt;2&gt;教师可以设置协同教师，和其他老师共同教学或管理班级。</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（4）线上考试</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1）制作试卷</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&lt;1&gt;支持在PC端网页制作试卷；支持通过新建文件夹、移动试卷等功能管理自己的试卷；试卷支持编辑、重命名、移动、删除等操作。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&lt;2&gt;试卷习题支持用 word 或 excel 批量导入，添加、编辑单个习题。</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&lt;3&gt;网页端制作的试卷题型支持单选题、多选题、投票题、判断题、填空题、主观题 6 种题型；所有题型均支持富文本编辑，支持插入本地图片，本地音频和云盘音频，提供插入公式和使用代码语言的功能；所有题型均支持设置分值、答案解析。</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4&gt;多选题支持设置少选不给分或少选给部分分的判分规则，可设置给分分值；投票题支持设置是否匿名、是否计分；填空题支持设置多个空，每个空支持多个答案，不同的空支持设置不同的分值。教师可设置答案顺序打乱、模糊匹配、是否区分大小写。</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2）试卷发布</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&lt;1&gt;支持设置发布时间、考试时长、考试开始时间、考试截止时间、题目顺序、选项顺序、试卷查看权限、成绩与答案公布时间等。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&lt;2&gt;支持设置是否开启在线监考，勾选后即具有在线监考功能。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&lt;3&gt;试卷发布后，教师和学生均可在微信公众号收到试卷发布提示。</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 xml:space="preserve">3）在线监考 </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&lt;1&gt;支持证件照与摄像头拍摄照片手动核验学生身份。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&lt;2&gt;考试过程中，支持摄像头进行无感知抓拍，并对抓拍图片进行展示。</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&lt;3&gt;学生若切出考试页面，老师端将收到系统提醒。</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&lt;4&gt;按照时间轴展示学生考试状态，包含开始答题、考试异常、交卷、考试作废等状态。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&lt;5&gt;教师可手动标记异常，可将异常改为正常，可将操作异常学生考试作废。</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4）批改试卷</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&lt;1&gt;支持自动批改单选题、多选题、判断题、投票题、填空题。</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&lt;2&gt;主观题批改支持打分，圈画与批注，写评语。</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5）重置考试</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学生交卷后，支持给学生重置考试；重置考试之后，学生手机微信将会收到消息提示。</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6）试卷数据下载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支持试卷名称、学生学号、姓名、得分、考试用时、交卷时间、客观题答案等数据下载。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7）学生在线答题及查看答案</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&lt;1&gt;对于未开启“在线监考”的考试，学生端可直接在微信端、PC端网页进行答题。对于开启“在线监考”的考试，学生端只可在 PC端网页进行答题；学生需要在开始考试前30分钟进行身份核验，支持证件照片、现场拍照核验。</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&lt;2&gt;学生在主观题作答时，支持通过手机扫码的方式，将作答图片传到PC端网页进行作答。</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&lt;3&gt;学生作答时切出了考试页面，将收到系统的提醒。</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&lt;4&gt;老师批改后，学生可根据老师设置的成绩与答案公布时间查看老师的给分、批注及评语。</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2.7 数字化教学工具/平台管理系统实现全校教学大数据的实时多地采集，并提供不同层级的数据概况报表，数据详情报表。具体要求如下：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（1）系统对接</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1）与学校统一身份认证系统对接，实现管理端的统一。</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2）对接教务系统，并将已确认的学生及其选课信息一次性导入平台中，并进行定期维护和更新，以保证学生的选课信息准确无误。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★3）为学校提供界面个性化定制、专属二级登录域名。个性化定制页面包含学校主题背景，以及学校logo的登录页面；所有的教学平台页面均包含学校logo；并根据学校主视觉色系进行配色。</w:t>
      </w:r>
      <w:r>
        <w:rPr>
          <w:rFonts w:hint="eastAsia" w:ascii="宋体" w:hAnsi="宋体" w:eastAsia="宋体" w:cs="宋体"/>
          <w:b/>
          <w:bCs/>
          <w:sz w:val="24"/>
          <w:szCs w:val="24"/>
        </w:rPr>
        <w:t>（投标文件中须提供系统截图）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4）为学习者提供优质的云端网络环境。</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（2）综合数据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管理员/督导在综合数据页面，可以查看该校使用智慧教学互动系统所产生的数据情况，包括用户概况、教学活动和课堂互动情况。</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用户概况展示该校使用智慧教学互动系统的教师、学生人数和教学班级情况，及占本学期有课程的教师、学生和全校教学班级数的比例，并用图表进行图形展示；每个字段统计“数量绝对值、同总数的占比、与上个周期的环比波动”3个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教学活动主要是课前的预习课件发布、课堂活动发布、课后试卷发布、课外公告发布等四类活动，校级管理员可查看全校教师产生的教学活动总数以及每一项教学活动所产生的数据，并可以环比波动的形式查看数量对比趋势；每个字段统计“数量绝对值、同总数的占比、与上个周期的环比波动”3个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课堂互动包含但不限于投稿、习题、弹幕、随机点名、教学内容疑问标记、课堂红包等六类，校级管理员可查看全校学生课堂互动总数，并可分别查看习题、投稿、弹幕、随机点名+课件内容疑问标记+课堂红包的数量。每个字段统计“数量绝对值、同总数的占比、与上个周期的环比波动”3 个数据。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（3）今日动态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今日动态以时间轴的形式为管理员/督导用户提供全校当天教学运营监控，动态信息包括当前授课课程名称、授课教师头像、授课教师姓名、所属院系、当前课程到课率，支持按日期切换。授课结束后，查看对应教学班的课堂小结。</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（4）督导督学</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督导督学功能支持管理员以教学督导的身份进入正在授课的课堂界面。进入授课课堂页面，左侧显示当堂课的课程信息、签到详情和未签到详情，中间显示课堂学生端实时画面，右侧显示课堂互动详情，管理员产生的学习行为数据不会被记录，不会影响老师正常教学。</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2）可随机抽取部分正在使用智慧课堂教学平台进行授课的课程，实时展播这部分进行中的课堂课件等信息。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（5）数据详情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管理员/督导可以查看系统内新增用户、活跃用户、活跃班级的数据情况，并以可视化图表的形式呈现。新增·用户可以看到统计周期内各院系绑定用户的数量排名，活跃用户点击进入可以教师视角查看教学活动详情，活跃班级点击教学活动可以进入教学班动态页面，查看并下载教学详细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1）新增用户面板记录用户绑定时间，“按时间统计”模式下，管理员可以查看每天的绑定用户数量；将视角切换到“按学院统计”，还能看到统计周期内各院系绑定用户的数量排名。</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2）活跃用户面板展示用户最近一次参与的教学活动内容，可以进入教师视角查看教学活动详情；可以将视角切换到“按时间统计”和“按学院统计”。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3）活跃班级面板展示学校每天活跃的班级数量，及每个班级发送教学活动的数量。点击教学活动，可以进入教学班动态页面+，查看并下载教学详细数据。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4）课堂数据面板展示学校每天的开课数量、平均到课率、上课师生人次等数据，点击课堂可以进入课后小结查看授课记录。</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5）课件数据面板展示学校每天发送课件数量和学生的平均预习率。点击课件可以进入老师课件小结，查看课件预习数据。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6）试卷数据面板展示学校每天发送试卷数量和学生的平均完成率。点击试卷可以进入老师课件小结，查看试卷作答数据。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7）公告数据面板展示学校每天发送公告数量和平均查看率。点击公告可以查看公告内容和阅读公告详情。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8）老师课堂小结是给授课教师生成的课堂教学报告，管理员视角查看课程时，不能编辑或修改数据。课堂小结从学生考勤、授课课件、课堂习题、课堂互动、课堂考试5个维度展示课堂教学数据，并为每个同学生成听课报告和课堂得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9）课件小结可以自动检测学生每一页的预习进度，教师可以查看学生在每页课件内容的停留时间；自动统计学生答题分布；学生有不明白的知识点，也可以及时向老师反馈，提高学习效率。</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10）试卷小结为老师自动统计全班成绩分布，每道题统计学生答题分布，作答结束后，还为每个学生生成试卷成绩单，支持导出PDF，方便学生复习和学校存档。</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11）公告小结可查看公告详细内容，阅读人数详细情况，方便老师及时掌握查看公告情况。</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12）课堂互动数据面板展示课堂互动总数与上个周期的环比波动情况；习题情况、投稿情况、弹幕情况、点名情况、知识点反馈情况+课堂激励情况的数量与上个周期的环比波动情况；可以将视角切换到“按时间统计”和“按学院统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（6）考试动态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1）管理员/督导登录学校管理后台即可查看正在进行的考试动态或者已经结束的考试信息。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2）支持通过时间、院系等筛选操作，准确查找想要了解的某个院系的某场考试详情。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管理员/督导进入某场使用在线监考的考试后，可以看到所有学生的考试状态。左侧动态按照时间倒序，标明了学生开始答题、考试异常、交卷、考试作废等状态；右侧显示学生列表，图片为其身份检验时拍摄的摄像头图像，考试异常或未检测到摄像头的同学将在列表中被标注出来。点击可进入学生个人页面，个人页面记录了该同学的所有系统抓拍和切屏状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4）管理员/督导可以选择查看某场考试的详情包括考试时间、考试时长、考试试卷、试卷完成情况、试卷统计、学生表现等。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（7）数据下载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支持学院维度统计数据下载，下载后可展示综合数据，教学活动，课堂互动情况。学院综合数据展示所属学院、教学班数量和选课人数；教学活动展示教学活动总数、开课总数、应到课人数、实际到课人数、平均到课率、课件总数、平均预习率、试卷总数、平均完成率、公告总数、平均查看率；课堂互动展示课堂互动总数、习题互动总数、投稿总数、弹幕总数、课堂激励总数、有疑问的课件总数、随机点名总数。</w:t>
      </w:r>
      <w:r>
        <w:rPr>
          <w:rFonts w:hint="eastAsia" w:ascii="宋体" w:hAnsi="宋体" w:eastAsia="宋体" w:cs="宋体"/>
          <w:b/>
          <w:bCs/>
          <w:sz w:val="24"/>
          <w:szCs w:val="24"/>
        </w:rPr>
        <w:t>（投标文件中须提供系统截图）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支持班级维度统计数据下载，下载后可展示综合数据，教学活动，课堂互动情况。班级综合数据展示课程名称、教学班名称、所属学院、教师、工号、选课人次；教学活动展示教学活动总数、开课总数、应到课人数、实际到课人数、平均到课率、课件总数、平均预习率、试卷总数、平均完成率、公告总数、平均查看率；课堂互动展示课堂互动总数、习题互动总数、投稿总数、弹幕总数、课堂激励总数、有疑问的课件总数、随机点名总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支持教师维度统计数据下载，下载后可展示综合数据，教学活动，课堂互动情况。教师综合数据展示教师、工号、绑定状态、所属学院、教学班数量、选课人次；教学活动展示教学活动总数、开课总数、应到课人数、实际到课人数、平均到课率、课件总数、平均预习率、试卷总数、平均完成率、公告总数、平均查看率；课堂互动展示课堂互动总数、习题互动总数、投稿总数、弹幕总数、课堂激励总数、有疑问的课件总数、随机点名总数。</w:t>
      </w:r>
      <w:r>
        <w:rPr>
          <w:rFonts w:hint="eastAsia" w:ascii="宋体" w:hAnsi="宋体" w:eastAsia="宋体" w:cs="宋体"/>
          <w:b/>
          <w:bCs/>
          <w:sz w:val="24"/>
          <w:szCs w:val="24"/>
        </w:rPr>
        <w:t>（投标文件中须提供系统截图）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4）支持课堂数据详情下载，下载后可展示课堂数据详情，包括学生信息、签到详情、课堂互动信息、答题详情等。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5）支持课件数据详情下载，下载后可展示课件数据详情，包括学生信息、观看详情、答题详情等。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6）支持试卷数据详情下载，下载后可展示学生对试卷作答的详情。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7）支持公告数据详情下载，下载后可查看每个学生是否查看公告以及查看公告的详情。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8）试卷成绩单支持导出PDF，支持下载单个学生试卷成绩单、或批量下载全班学生成绩单，用于线上考试试卷存档。</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（8）数据月报</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数据月报是基于教学互动系统产生的教学大数据生成的教学运营报告，支持微信订阅，订阅后系统每月定时为管理员/督导推送上个月的教学运营报告。数据月报分“数据总览”和“本月TOP榜”两部分：①数据总览。从用户概况、教学活动、课堂互动三个维度统计前一个月的教学数据，包括活跃用户数量、发送教学活动数量、各类课堂互动数量等，每项数据都会计算环比上月的波动比例；②本月TOP榜。一共三个榜单：以活跃用户数排名的学院榜单、以学院平均到课率排名的学院榜单、以教师发送教学活动数量排名的教师榜单。</w:t>
      </w:r>
      <w:r>
        <w:rPr>
          <w:rFonts w:hint="eastAsia" w:ascii="宋体" w:hAnsi="宋体" w:eastAsia="宋体" w:cs="宋体"/>
          <w:b/>
          <w:bCs/>
          <w:sz w:val="24"/>
          <w:szCs w:val="24"/>
        </w:rPr>
        <w:t>（投标文件中须提供系统截图）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（9）数据直播</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数据直播为学校以最直观的方式展示智慧教学互动系统的使用情况，方便教务管理员/督导对学校的教学质量进行把控。数据直播页面支持教学管理员/督导按照不同时间周期（本周、本月、本学期等）去查看本校在该周期的教学概况、教学活动、教学互动、今日实况等内容。</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用户概况；可以查看全校覆盖人数，以及统计周期内的学校覆盖人数增量，包括学生、老师和教学班级；可以查看活跃用户数，以及统计周期内活跃用户数增量，包括学生、老师和教学班级；活跃用户趋势会以折线图形式，展示以时间轴为变化的活跃用户情况。</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教学活动展示统计周期内的教学活动的总数，课堂、课件、试卷、公告等单个教学活动的数量、增长情况等，并以折线图形式展示数据变化情况；展示每一项教学活动的数据变化情况，包括总数、总数变化率、平均变化率及趋势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3）课堂互动展示统计周期内的学生总互动数，习题互动、投稿、弹幕等单个教学活动的数量，单位时间内的增长率；以统计周期为维度展示课堂课件数、课堂互动数的平均数量情况、数据变化情况。</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4）今日实况展示当天的教学活动的总数，课堂、课件、试卷、公告等单个教学活动的数量、单位时间内的增长情况等，并以图表形式展示数据变化情况；实时动态展示以时间轴为单位的最新教学活动情况。</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（10）行政通知</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可根据管理员身份权限发送校级/院级/行政班级行政通知，可以设置是否开启审核流程，发送人可选择接受通知的人员角色（全体师生、教师、学生），可自定义填写发送人名称，通知内容除了文字外，支持添加图片、文档、视频等附件文档。</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2）可对本人发送的行政通知进行预览、查看送达人数、查看已读人数等操作。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（11）后台教务管理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教学班管理可以对系统的课程、教学班、授课教师、行政班、学期、所属院系等信息进行查询操作，对于查询到的信息可以进行查看、编辑、删除操作；展示当前课程信息，管理员可以行政班选课的形式将学生加入到教学班中，支持单个添加协同教师、学生，旁听生批量转正，移除课程内学生等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用户管理可以对用户、角色、入学学年、所属行政班、所属院系、绑定状态等信息进行查询操作，对用户可以进行编辑、删除操作，可以在后台对用户进行绑定身份的操作；可以对管理员设置督导角色，设置成功后，督导只能够查看数据看板，避免对数据的误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行政班管理可以对行政班、入学学年、辅导员、所属院系等信息进行查询操作，对于查询到的行政班信息可以进行查看、编辑、删除操作；查看当前班级信息，管理员师可以添加辅导员、学生，对学生可进行换班、移除等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4）教研室管理可以对教研室进行查询、编辑、删除操作。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5）院系管理可以对院系信息进行查询、编辑、删除操作。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6）操作日志可查询管理员在管理平台上的操作。</w:t>
      </w:r>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（三）课程验收、结项</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投标人需协助课程团队充分理解和执行线上课程和线上线下混合式课程建设运行验收标准，通过线上课程和混合式课程建设运行，在项目结项时达到安徽省线上课程和线上线下混合式课程验收标准</w:t>
      </w:r>
      <w:r>
        <w:rPr>
          <w:rFonts w:hint="eastAsia" w:ascii="宋体" w:hAnsi="宋体" w:eastAsia="宋体" w:cs="宋体"/>
          <w:b/>
          <w:bCs/>
          <w:sz w:val="24"/>
          <w:szCs w:val="24"/>
        </w:rPr>
        <w:t>（见下表1、2）</w:t>
      </w:r>
      <w:r>
        <w:rPr>
          <w:rFonts w:hint="eastAsia" w:ascii="宋体" w:hAnsi="宋体" w:eastAsia="宋体" w:cs="宋体"/>
          <w:sz w:val="24"/>
          <w:szCs w:val="24"/>
        </w:rPr>
        <w:t>，或达到国家级线上和线上线下混合式一流本科课程标准。</w:t>
      </w:r>
    </w:p>
    <w:p>
      <w:pPr>
        <w:spacing w:line="360" w:lineRule="auto"/>
        <w:ind w:left="420"/>
        <w:jc w:val="center"/>
        <w:rPr>
          <w:rFonts w:ascii="宋体" w:hAnsi="宋体" w:eastAsia="宋体" w:cs="宋体"/>
          <w:b/>
          <w:bCs/>
          <w:szCs w:val="21"/>
        </w:rPr>
      </w:pPr>
    </w:p>
    <w:p>
      <w:pPr>
        <w:spacing w:line="360" w:lineRule="auto"/>
        <w:ind w:left="420"/>
        <w:jc w:val="center"/>
        <w:rPr>
          <w:rFonts w:ascii="宋体" w:hAnsi="宋体" w:eastAsia="宋体" w:cs="宋体"/>
          <w:b/>
          <w:bCs/>
          <w:szCs w:val="21"/>
        </w:rPr>
      </w:pPr>
      <w:r>
        <w:rPr>
          <w:rFonts w:hint="eastAsia" w:ascii="宋体" w:hAnsi="宋体" w:eastAsia="宋体" w:cs="宋体"/>
          <w:b/>
          <w:bCs/>
          <w:szCs w:val="21"/>
        </w:rPr>
        <w:t>表1: 安徽省线上课程验收标准</w:t>
      </w:r>
    </w:p>
    <w:tbl>
      <w:tblPr>
        <w:tblStyle w:val="4"/>
        <w:tblW w:w="8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1395"/>
        <w:gridCol w:w="5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321" w:type="dxa"/>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一级指标</w:t>
            </w:r>
          </w:p>
        </w:tc>
        <w:tc>
          <w:tcPr>
            <w:tcW w:w="1395" w:type="dxa"/>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二级指标</w:t>
            </w:r>
          </w:p>
        </w:tc>
        <w:tc>
          <w:tcPr>
            <w:tcW w:w="5955" w:type="dxa"/>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atLeast"/>
          <w:jc w:val="center"/>
        </w:trPr>
        <w:tc>
          <w:tcPr>
            <w:tcW w:w="1321" w:type="dxa"/>
            <w:vMerge w:val="restart"/>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课程建设</w:t>
            </w:r>
          </w:p>
        </w:tc>
        <w:tc>
          <w:tcPr>
            <w:tcW w:w="1395" w:type="dxa"/>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视频资源</w:t>
            </w:r>
          </w:p>
        </w:tc>
        <w:tc>
          <w:tcPr>
            <w:tcW w:w="5955" w:type="dxa"/>
            <w:vAlign w:val="center"/>
          </w:tcPr>
          <w:p>
            <w:pPr>
              <w:spacing w:line="360" w:lineRule="auto"/>
              <w:rPr>
                <w:rFonts w:ascii="宋体" w:hAnsi="宋体" w:eastAsia="宋体" w:cs="宋体"/>
                <w:szCs w:val="21"/>
              </w:rPr>
            </w:pPr>
            <w:r>
              <w:rPr>
                <w:rFonts w:hint="eastAsia" w:ascii="宋体" w:hAnsi="宋体" w:eastAsia="宋体" w:cs="宋体"/>
                <w:szCs w:val="21"/>
              </w:rPr>
              <w:t>1.视频内容：课程视频内容包含课程教学大纲完整章节内容，教学内容科学、准确，弘扬社会主义核心价值观；</w:t>
            </w:r>
          </w:p>
          <w:p>
            <w:pPr>
              <w:spacing w:line="360" w:lineRule="auto"/>
              <w:rPr>
                <w:rFonts w:ascii="宋体" w:hAnsi="宋体" w:eastAsia="宋体" w:cs="宋体"/>
                <w:szCs w:val="21"/>
              </w:rPr>
            </w:pPr>
            <w:r>
              <w:rPr>
                <w:rFonts w:hint="eastAsia" w:ascii="宋体" w:hAnsi="宋体" w:eastAsia="宋体" w:cs="宋体"/>
                <w:szCs w:val="21"/>
              </w:rPr>
              <w:t>2.视频时长：总时长原则上≥480分钟；</w:t>
            </w:r>
          </w:p>
          <w:p>
            <w:pPr>
              <w:spacing w:line="360" w:lineRule="auto"/>
              <w:rPr>
                <w:rFonts w:ascii="宋体" w:hAnsi="宋体" w:eastAsia="宋体" w:cs="宋体"/>
                <w:szCs w:val="21"/>
              </w:rPr>
            </w:pPr>
            <w:r>
              <w:rPr>
                <w:rFonts w:hint="eastAsia" w:ascii="宋体" w:hAnsi="宋体" w:eastAsia="宋体" w:cs="宋体"/>
                <w:szCs w:val="21"/>
              </w:rPr>
              <w:t>3.技术规范：参照《安徽省MOOC示范项目课程建设规范及标准》执行；</w:t>
            </w:r>
          </w:p>
          <w:p>
            <w:pPr>
              <w:spacing w:line="360" w:lineRule="auto"/>
              <w:rPr>
                <w:rFonts w:ascii="宋体" w:hAnsi="宋体" w:eastAsia="宋体" w:cs="宋体"/>
                <w:szCs w:val="21"/>
              </w:rPr>
            </w:pPr>
            <w:r>
              <w:rPr>
                <w:rFonts w:hint="eastAsia" w:ascii="宋体" w:hAnsi="宋体" w:eastAsia="宋体" w:cs="宋体"/>
                <w:szCs w:val="21"/>
              </w:rPr>
              <w:t>4.知识产权：无侵权行为。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21" w:type="dxa"/>
            <w:vMerge w:val="continue"/>
          </w:tcPr>
          <w:p>
            <w:pPr>
              <w:adjustRightInd w:val="0"/>
              <w:snapToGrid w:val="0"/>
              <w:spacing w:line="340" w:lineRule="exact"/>
              <w:rPr>
                <w:rFonts w:ascii="宋体" w:hAnsi="宋体" w:eastAsia="宋体" w:cs="宋体"/>
                <w:b/>
                <w:color w:val="000000"/>
                <w:szCs w:val="21"/>
              </w:rPr>
            </w:pPr>
          </w:p>
        </w:tc>
        <w:tc>
          <w:tcPr>
            <w:tcW w:w="1395" w:type="dxa"/>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非视频资源</w:t>
            </w:r>
          </w:p>
        </w:tc>
        <w:tc>
          <w:tcPr>
            <w:tcW w:w="5955" w:type="dxa"/>
            <w:vAlign w:val="center"/>
          </w:tcPr>
          <w:p>
            <w:pPr>
              <w:spacing w:line="360" w:lineRule="auto"/>
              <w:rPr>
                <w:rFonts w:ascii="宋体" w:hAnsi="宋体" w:eastAsia="宋体" w:cs="宋体"/>
                <w:szCs w:val="21"/>
              </w:rPr>
            </w:pPr>
            <w:r>
              <w:rPr>
                <w:rFonts w:hint="eastAsia" w:ascii="宋体" w:hAnsi="宋体" w:eastAsia="宋体" w:cs="宋体"/>
                <w:szCs w:val="21"/>
              </w:rPr>
              <w:t>1.完备性：包含课程介绍、课程公告、教学大纲、课件、参考资料、讨论、测试和作业、考试等；</w:t>
            </w:r>
          </w:p>
          <w:p>
            <w:pPr>
              <w:spacing w:line="360" w:lineRule="auto"/>
              <w:rPr>
                <w:rFonts w:ascii="宋体" w:hAnsi="宋体" w:eastAsia="宋体" w:cs="宋体"/>
                <w:szCs w:val="21"/>
              </w:rPr>
            </w:pPr>
            <w:r>
              <w:rPr>
                <w:rFonts w:hint="eastAsia" w:ascii="宋体" w:hAnsi="宋体" w:eastAsia="宋体" w:cs="宋体"/>
                <w:szCs w:val="21"/>
              </w:rPr>
              <w:t>2.资源数量：非视频资源数量原则上≥50个/周期；</w:t>
            </w:r>
          </w:p>
          <w:p>
            <w:pPr>
              <w:spacing w:line="360" w:lineRule="auto"/>
              <w:rPr>
                <w:rFonts w:ascii="宋体" w:hAnsi="宋体" w:eastAsia="宋体" w:cs="宋体"/>
                <w:szCs w:val="21"/>
              </w:rPr>
            </w:pPr>
            <w:r>
              <w:rPr>
                <w:rFonts w:hint="eastAsia" w:ascii="宋体" w:hAnsi="宋体" w:eastAsia="宋体" w:cs="宋体"/>
                <w:szCs w:val="21"/>
              </w:rPr>
              <w:t>3.技术规范：参照《安徽省MOOC示范项目课程建设规范及标准》执行；</w:t>
            </w:r>
          </w:p>
          <w:p>
            <w:pPr>
              <w:spacing w:line="360" w:lineRule="auto"/>
              <w:rPr>
                <w:rFonts w:ascii="宋体" w:hAnsi="宋体" w:eastAsia="宋体" w:cs="宋体"/>
                <w:szCs w:val="21"/>
              </w:rPr>
            </w:pPr>
            <w:r>
              <w:rPr>
                <w:rFonts w:hint="eastAsia" w:ascii="宋体" w:hAnsi="宋体" w:eastAsia="宋体" w:cs="宋体"/>
                <w:szCs w:val="21"/>
              </w:rPr>
              <w:t>4.知识产权：无侵权行为。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321" w:type="dxa"/>
            <w:vMerge w:val="restart"/>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课程应用</w:t>
            </w:r>
          </w:p>
        </w:tc>
        <w:tc>
          <w:tcPr>
            <w:tcW w:w="1395" w:type="dxa"/>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运行平台及周期</w:t>
            </w:r>
          </w:p>
        </w:tc>
        <w:tc>
          <w:tcPr>
            <w:tcW w:w="5955" w:type="dxa"/>
            <w:vAlign w:val="center"/>
          </w:tcPr>
          <w:p>
            <w:pPr>
              <w:spacing w:line="360" w:lineRule="auto"/>
              <w:rPr>
                <w:rFonts w:ascii="宋体" w:hAnsi="宋体" w:eastAsia="宋体" w:cs="宋体"/>
                <w:szCs w:val="21"/>
              </w:rPr>
            </w:pPr>
            <w:r>
              <w:rPr>
                <w:rFonts w:hint="eastAsia" w:ascii="宋体" w:hAnsi="宋体" w:eastAsia="宋体" w:cs="宋体"/>
                <w:szCs w:val="21"/>
              </w:rPr>
              <w:t>在国内外主流网络课程平台上线，并至少运行2个完整教学周期。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4" w:hRule="atLeast"/>
          <w:jc w:val="center"/>
        </w:trPr>
        <w:tc>
          <w:tcPr>
            <w:tcW w:w="1321" w:type="dxa"/>
            <w:vMerge w:val="continue"/>
          </w:tcPr>
          <w:p>
            <w:pPr>
              <w:adjustRightInd w:val="0"/>
              <w:snapToGrid w:val="0"/>
              <w:spacing w:line="340" w:lineRule="exact"/>
              <w:rPr>
                <w:rFonts w:ascii="宋体" w:hAnsi="宋体" w:eastAsia="宋体" w:cs="宋体"/>
                <w:b/>
                <w:color w:val="000000"/>
                <w:szCs w:val="21"/>
              </w:rPr>
            </w:pPr>
          </w:p>
        </w:tc>
        <w:tc>
          <w:tcPr>
            <w:tcW w:w="1395" w:type="dxa"/>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教学活动与指导</w:t>
            </w:r>
          </w:p>
        </w:tc>
        <w:tc>
          <w:tcPr>
            <w:tcW w:w="5955" w:type="dxa"/>
            <w:vAlign w:val="center"/>
          </w:tcPr>
          <w:p>
            <w:pPr>
              <w:spacing w:line="360" w:lineRule="auto"/>
              <w:rPr>
                <w:rFonts w:ascii="宋体" w:hAnsi="宋体" w:eastAsia="宋体" w:cs="宋体"/>
                <w:szCs w:val="21"/>
              </w:rPr>
            </w:pPr>
            <w:r>
              <w:rPr>
                <w:rFonts w:hint="eastAsia" w:ascii="宋体" w:hAnsi="宋体" w:eastAsia="宋体" w:cs="宋体"/>
                <w:szCs w:val="21"/>
              </w:rPr>
              <w:t>基于网络课程平台，教师为学习者提供测验、作业、考试、答疑、讨论等教学组织活动，及时开展在线指导与测评。各项教学活动完整、有效，按计划实施，师生互动充分，能有效促进师生之间、学生之间进行资源共享、互动交流和自主式与协作式学习。在</w:t>
            </w:r>
            <w:r>
              <w:rPr>
                <w:rFonts w:hint="eastAsia" w:ascii="宋体" w:hAnsi="宋体" w:eastAsia="宋体" w:cs="宋体"/>
                <w:b/>
                <w:bCs/>
                <w:szCs w:val="21"/>
              </w:rPr>
              <w:t>一个教学周期内</w:t>
            </w:r>
            <w:r>
              <w:rPr>
                <w:rFonts w:hint="eastAsia" w:ascii="宋体" w:hAnsi="宋体" w:eastAsia="宋体" w:cs="宋体"/>
                <w:szCs w:val="21"/>
              </w:rPr>
              <w:t>，课程数据原则上应满足如下要求：</w:t>
            </w:r>
          </w:p>
          <w:p>
            <w:pPr>
              <w:spacing w:line="360" w:lineRule="auto"/>
              <w:rPr>
                <w:rFonts w:ascii="宋体" w:hAnsi="宋体" w:eastAsia="宋体" w:cs="宋体"/>
                <w:szCs w:val="21"/>
              </w:rPr>
            </w:pPr>
            <w:r>
              <w:rPr>
                <w:rFonts w:hint="eastAsia" w:ascii="宋体" w:hAnsi="宋体" w:eastAsia="宋体" w:cs="宋体"/>
                <w:b/>
                <w:bCs/>
                <w:szCs w:val="21"/>
              </w:rPr>
              <w:t>1.课程公告：</w:t>
            </w:r>
            <w:r>
              <w:rPr>
                <w:rFonts w:hint="eastAsia" w:ascii="宋体" w:hAnsi="宋体" w:eastAsia="宋体" w:cs="宋体"/>
                <w:szCs w:val="21"/>
              </w:rPr>
              <w:t>次数≥10次；</w:t>
            </w:r>
          </w:p>
          <w:p>
            <w:pPr>
              <w:spacing w:line="360" w:lineRule="auto"/>
              <w:rPr>
                <w:rFonts w:ascii="宋体" w:hAnsi="宋体" w:eastAsia="宋体" w:cs="宋体"/>
                <w:szCs w:val="21"/>
              </w:rPr>
            </w:pPr>
            <w:r>
              <w:rPr>
                <w:rFonts w:hint="eastAsia" w:ascii="宋体" w:hAnsi="宋体" w:eastAsia="宋体" w:cs="宋体"/>
                <w:b/>
                <w:bCs/>
                <w:szCs w:val="21"/>
              </w:rPr>
              <w:t>2.测验和作业：</w:t>
            </w:r>
            <w:r>
              <w:rPr>
                <w:rFonts w:hint="eastAsia" w:ascii="宋体" w:hAnsi="宋体" w:eastAsia="宋体" w:cs="宋体"/>
                <w:szCs w:val="21"/>
              </w:rPr>
              <w:t>总次数≥30次，总参与人次≥1000人；</w:t>
            </w:r>
          </w:p>
          <w:p>
            <w:pPr>
              <w:spacing w:line="360" w:lineRule="auto"/>
              <w:rPr>
                <w:rFonts w:ascii="宋体" w:hAnsi="宋体" w:eastAsia="宋体" w:cs="宋体"/>
                <w:szCs w:val="21"/>
              </w:rPr>
            </w:pPr>
            <w:r>
              <w:rPr>
                <w:rFonts w:hint="eastAsia" w:ascii="宋体" w:hAnsi="宋体" w:eastAsia="宋体" w:cs="宋体"/>
                <w:b/>
                <w:bCs/>
                <w:szCs w:val="21"/>
              </w:rPr>
              <w:t>3.互动与讨论：</w:t>
            </w:r>
            <w:r>
              <w:rPr>
                <w:rFonts w:hint="eastAsia" w:ascii="宋体" w:hAnsi="宋体" w:eastAsia="宋体" w:cs="宋体"/>
                <w:szCs w:val="21"/>
              </w:rPr>
              <w:t>教师发帖数≥30帖，发帖总数≥100帖，总参与人次≥400人；</w:t>
            </w:r>
          </w:p>
          <w:p>
            <w:pPr>
              <w:spacing w:line="360" w:lineRule="auto"/>
              <w:rPr>
                <w:rFonts w:ascii="宋体" w:hAnsi="宋体" w:eastAsia="宋体" w:cs="宋体"/>
                <w:szCs w:val="21"/>
              </w:rPr>
            </w:pPr>
            <w:r>
              <w:rPr>
                <w:rFonts w:hint="eastAsia" w:ascii="宋体" w:hAnsi="宋体" w:eastAsia="宋体" w:cs="宋体"/>
                <w:b/>
                <w:bCs/>
                <w:szCs w:val="21"/>
              </w:rPr>
              <w:t>4.考试：</w:t>
            </w:r>
            <w:r>
              <w:rPr>
                <w:rFonts w:hint="eastAsia" w:ascii="宋体" w:hAnsi="宋体" w:eastAsia="宋体" w:cs="宋体"/>
                <w:szCs w:val="21"/>
              </w:rPr>
              <w:t>次数≥1次，总参与人次≥200人。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3" w:hRule="atLeast"/>
          <w:jc w:val="center"/>
        </w:trPr>
        <w:tc>
          <w:tcPr>
            <w:tcW w:w="1321" w:type="dxa"/>
            <w:vMerge w:val="continue"/>
          </w:tcPr>
          <w:p>
            <w:pPr>
              <w:adjustRightInd w:val="0"/>
              <w:snapToGrid w:val="0"/>
              <w:spacing w:line="340" w:lineRule="exact"/>
              <w:rPr>
                <w:rFonts w:ascii="宋体" w:hAnsi="宋体" w:eastAsia="宋体" w:cs="宋体"/>
                <w:b/>
                <w:color w:val="000000"/>
                <w:szCs w:val="21"/>
              </w:rPr>
            </w:pPr>
          </w:p>
        </w:tc>
        <w:tc>
          <w:tcPr>
            <w:tcW w:w="1395" w:type="dxa"/>
            <w:vAlign w:val="center"/>
          </w:tcPr>
          <w:p>
            <w:pPr>
              <w:adjustRightInd w:val="0"/>
              <w:snapToGrid w:val="0"/>
              <w:spacing w:line="340" w:lineRule="exact"/>
              <w:jc w:val="center"/>
              <w:rPr>
                <w:rFonts w:ascii="宋体" w:hAnsi="宋体" w:eastAsia="宋体" w:cs="宋体"/>
                <w:b/>
                <w:color w:val="000000"/>
                <w:szCs w:val="21"/>
              </w:rPr>
            </w:pPr>
            <w:r>
              <w:rPr>
                <w:rFonts w:hint="eastAsia" w:ascii="宋体" w:hAnsi="宋体" w:eastAsia="宋体" w:cs="宋体"/>
                <w:b/>
                <w:color w:val="000000"/>
                <w:szCs w:val="21"/>
              </w:rPr>
              <w:t>教学效果与影响</w:t>
            </w:r>
          </w:p>
        </w:tc>
        <w:tc>
          <w:tcPr>
            <w:tcW w:w="5955" w:type="dxa"/>
            <w:vAlign w:val="center"/>
          </w:tcPr>
          <w:p>
            <w:pPr>
              <w:spacing w:line="360" w:lineRule="auto"/>
              <w:rPr>
                <w:rFonts w:ascii="宋体" w:hAnsi="宋体" w:eastAsia="宋体" w:cs="宋体"/>
                <w:szCs w:val="21"/>
              </w:rPr>
            </w:pPr>
            <w:r>
              <w:rPr>
                <w:rFonts w:hint="eastAsia" w:ascii="宋体" w:hAnsi="宋体" w:eastAsia="宋体" w:cs="宋体"/>
                <w:szCs w:val="21"/>
              </w:rPr>
              <w:t>课程共享范围广泛，应用模式多样，线上线下应用结合效果较好，能切实提高教学质量，在同类课程中具有一定的影响力。教学效果与影响应满足如下要求：</w:t>
            </w:r>
          </w:p>
          <w:p>
            <w:pPr>
              <w:spacing w:line="360" w:lineRule="auto"/>
              <w:rPr>
                <w:rFonts w:ascii="宋体" w:hAnsi="宋体" w:eastAsia="宋体" w:cs="宋体"/>
                <w:szCs w:val="21"/>
              </w:rPr>
            </w:pPr>
            <w:r>
              <w:rPr>
                <w:rFonts w:hint="eastAsia" w:ascii="宋体" w:hAnsi="宋体" w:eastAsia="宋体" w:cs="宋体"/>
                <w:szCs w:val="21"/>
              </w:rPr>
              <w:t>1.原则上</w:t>
            </w:r>
            <w:r>
              <w:rPr>
                <w:rFonts w:hint="eastAsia" w:ascii="宋体" w:hAnsi="宋体" w:eastAsia="宋体" w:cs="宋体"/>
                <w:b/>
                <w:bCs/>
                <w:szCs w:val="21"/>
              </w:rPr>
              <w:t>学习总人次</w:t>
            </w:r>
            <w:r>
              <w:rPr>
                <w:rFonts w:hint="eastAsia" w:ascii="宋体" w:hAnsi="宋体" w:eastAsia="宋体" w:cs="宋体"/>
                <w:szCs w:val="21"/>
              </w:rPr>
              <w:t>≥1000人（多个教学周期累加，研究生课程可适当减少）；</w:t>
            </w:r>
          </w:p>
          <w:p>
            <w:pPr>
              <w:spacing w:line="360" w:lineRule="auto"/>
              <w:rPr>
                <w:rFonts w:ascii="宋体" w:hAnsi="宋体" w:eastAsia="宋体" w:cs="宋体"/>
                <w:szCs w:val="21"/>
              </w:rPr>
            </w:pPr>
            <w:r>
              <w:rPr>
                <w:rFonts w:hint="eastAsia" w:ascii="宋体" w:hAnsi="宋体" w:eastAsia="宋体" w:cs="宋体"/>
                <w:szCs w:val="21"/>
              </w:rPr>
              <w:t>2.课程应用模式多样，除在线学习外，还应用于翻转教学、SPOC教学等；</w:t>
            </w:r>
          </w:p>
          <w:p>
            <w:pPr>
              <w:spacing w:line="360" w:lineRule="auto"/>
              <w:rPr>
                <w:rFonts w:ascii="宋体" w:hAnsi="宋体" w:eastAsia="宋体" w:cs="宋体"/>
                <w:szCs w:val="21"/>
              </w:rPr>
            </w:pPr>
            <w:r>
              <w:rPr>
                <w:rFonts w:hint="eastAsia" w:ascii="宋体" w:hAnsi="宋体" w:eastAsia="宋体" w:cs="宋体"/>
                <w:szCs w:val="21"/>
              </w:rPr>
              <w:t>3.课程共享范围广，除社会学习者外，在别的高校也获得应用。</w:t>
            </w:r>
          </w:p>
        </w:tc>
      </w:tr>
    </w:tbl>
    <w:p>
      <w:pPr>
        <w:spacing w:line="360" w:lineRule="auto"/>
        <w:ind w:left="420"/>
        <w:jc w:val="center"/>
        <w:rPr>
          <w:rFonts w:ascii="宋体" w:hAnsi="宋体" w:eastAsia="宋体" w:cs="宋体"/>
          <w:b/>
          <w:bCs/>
          <w:szCs w:val="21"/>
        </w:rPr>
      </w:pPr>
      <w:r>
        <w:rPr>
          <w:rFonts w:hint="eastAsia" w:ascii="宋体" w:hAnsi="宋体" w:eastAsia="宋体" w:cs="宋体"/>
          <w:b/>
          <w:bCs/>
          <w:szCs w:val="21"/>
        </w:rPr>
        <w:t>表2: 安徽省线上线下混合式课程验收标准</w:t>
      </w:r>
    </w:p>
    <w:tbl>
      <w:tblPr>
        <w:tblStyle w:val="4"/>
        <w:tblW w:w="8684" w:type="dxa"/>
        <w:jc w:val="center"/>
        <w:shd w:val="clear" w:color="auto" w:fill="FFFFFF"/>
        <w:tblLayout w:type="fixed"/>
        <w:tblCellMar>
          <w:top w:w="0" w:type="dxa"/>
          <w:left w:w="0" w:type="dxa"/>
          <w:bottom w:w="0" w:type="dxa"/>
          <w:right w:w="0" w:type="dxa"/>
        </w:tblCellMar>
      </w:tblPr>
      <w:tblGrid>
        <w:gridCol w:w="1335"/>
        <w:gridCol w:w="7349"/>
      </w:tblGrid>
      <w:tr>
        <w:tblPrEx>
          <w:shd w:val="clear" w:color="auto" w:fill="FFFFFF"/>
          <w:tblCellMar>
            <w:top w:w="0" w:type="dxa"/>
            <w:left w:w="0" w:type="dxa"/>
            <w:bottom w:w="0" w:type="dxa"/>
            <w:right w:w="0" w:type="dxa"/>
          </w:tblCellMar>
        </w:tblPrEx>
        <w:trPr>
          <w:trHeight w:val="430" w:hRule="atLeast"/>
          <w:jc w:val="center"/>
        </w:trPr>
        <w:tc>
          <w:tcPr>
            <w:tcW w:w="1335"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widowControl/>
              <w:adjustRightInd w:val="0"/>
              <w:snapToGrid w:val="0"/>
              <w:spacing w:line="340" w:lineRule="exact"/>
              <w:jc w:val="center"/>
              <w:rPr>
                <w:rFonts w:ascii="宋体" w:hAnsi="宋体" w:eastAsia="宋体" w:cs="宋体"/>
                <w:b/>
                <w:szCs w:val="21"/>
              </w:rPr>
            </w:pPr>
            <w:r>
              <w:rPr>
                <w:rFonts w:hint="eastAsia" w:ascii="宋体" w:hAnsi="宋体" w:eastAsia="宋体" w:cs="宋体"/>
                <w:b/>
                <w:spacing w:val="5"/>
                <w:szCs w:val="21"/>
              </w:rPr>
              <w:t>指  标</w:t>
            </w: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widowControl/>
              <w:wordWrap w:val="0"/>
              <w:adjustRightInd w:val="0"/>
              <w:snapToGrid w:val="0"/>
              <w:spacing w:line="340" w:lineRule="exact"/>
              <w:jc w:val="center"/>
              <w:rPr>
                <w:rFonts w:ascii="宋体" w:hAnsi="宋体" w:eastAsia="宋体" w:cs="宋体"/>
                <w:b/>
                <w:szCs w:val="21"/>
              </w:rPr>
            </w:pPr>
            <w:r>
              <w:rPr>
                <w:rFonts w:hint="eastAsia" w:ascii="宋体" w:hAnsi="宋体" w:eastAsia="宋体" w:cs="宋体"/>
                <w:b/>
                <w:spacing w:val="5"/>
                <w:szCs w:val="21"/>
              </w:rPr>
              <w:t>观测点及描述</w:t>
            </w:r>
          </w:p>
        </w:tc>
      </w:tr>
      <w:tr>
        <w:tblPrEx>
          <w:shd w:val="clear" w:color="auto" w:fill="FFFFFF"/>
          <w:tblCellMar>
            <w:top w:w="0" w:type="dxa"/>
            <w:left w:w="0" w:type="dxa"/>
            <w:bottom w:w="0" w:type="dxa"/>
            <w:right w:w="0" w:type="dxa"/>
          </w:tblCellMar>
        </w:tblPrEx>
        <w:trPr>
          <w:trHeight w:val="473" w:hRule="atLeast"/>
          <w:jc w:val="center"/>
        </w:trPr>
        <w:tc>
          <w:tcPr>
            <w:tcW w:w="1335" w:type="dxa"/>
            <w:vMerge w:val="restart"/>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widowControl/>
              <w:wordWrap w:val="0"/>
              <w:adjustRightInd w:val="0"/>
              <w:snapToGrid w:val="0"/>
              <w:spacing w:line="340" w:lineRule="exact"/>
              <w:jc w:val="center"/>
              <w:rPr>
                <w:rFonts w:ascii="宋体" w:hAnsi="宋体" w:eastAsia="宋体" w:cs="宋体"/>
                <w:b/>
                <w:szCs w:val="21"/>
              </w:rPr>
            </w:pPr>
            <w:r>
              <w:rPr>
                <w:rFonts w:hint="eastAsia" w:ascii="宋体" w:hAnsi="宋体" w:eastAsia="宋体" w:cs="宋体"/>
                <w:b/>
                <w:spacing w:val="5"/>
                <w:szCs w:val="21"/>
              </w:rPr>
              <w:t>课程目标符合新时代人才培养要求</w:t>
            </w: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符合学校办学定位和人才培养目标，坚持立德树人。</w:t>
            </w:r>
          </w:p>
        </w:tc>
      </w:tr>
      <w:tr>
        <w:tblPrEx>
          <w:shd w:val="clear" w:color="auto" w:fill="FFFFFF"/>
          <w:tblCellMar>
            <w:top w:w="0" w:type="dxa"/>
            <w:left w:w="0" w:type="dxa"/>
            <w:bottom w:w="0" w:type="dxa"/>
            <w:right w:w="0" w:type="dxa"/>
          </w:tblCellMar>
        </w:tblPrEx>
        <w:trPr>
          <w:trHeight w:val="1061"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jc w:val="center"/>
              <w:rPr>
                <w:rFonts w:ascii="宋体" w:hAnsi="宋体" w:eastAsia="宋体" w:cs="宋体"/>
                <w:b/>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坚持知识、能力、素质有机融合，注重提升课程的高阶性、突出课程的创新性、增加课程的挑战度，契合学生解决复杂问题等综合能力养成要求。</w:t>
            </w:r>
          </w:p>
        </w:tc>
      </w:tr>
      <w:tr>
        <w:tblPrEx>
          <w:shd w:val="clear" w:color="auto" w:fill="FFFFFF"/>
          <w:tblCellMar>
            <w:top w:w="0" w:type="dxa"/>
            <w:left w:w="0" w:type="dxa"/>
            <w:bottom w:w="0" w:type="dxa"/>
            <w:right w:w="0" w:type="dxa"/>
          </w:tblCellMar>
        </w:tblPrEx>
        <w:trPr>
          <w:trHeight w:val="780"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jc w:val="center"/>
              <w:rPr>
                <w:rFonts w:ascii="宋体" w:hAnsi="宋体" w:eastAsia="宋体" w:cs="宋体"/>
                <w:b/>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目标描述准确具体，对应国家、行业、专业需求，符合培养规律，符合校情、学情，达成路径清晰，便于考核评价。</w:t>
            </w:r>
          </w:p>
        </w:tc>
      </w:tr>
      <w:tr>
        <w:tblPrEx>
          <w:shd w:val="clear" w:color="auto" w:fill="FFFFFF"/>
          <w:tblCellMar>
            <w:top w:w="0" w:type="dxa"/>
            <w:left w:w="0" w:type="dxa"/>
            <w:bottom w:w="0" w:type="dxa"/>
            <w:right w:w="0" w:type="dxa"/>
          </w:tblCellMar>
        </w:tblPrEx>
        <w:trPr>
          <w:trHeight w:val="324" w:hRule="atLeast"/>
          <w:jc w:val="center"/>
        </w:trPr>
        <w:tc>
          <w:tcPr>
            <w:tcW w:w="1335" w:type="dxa"/>
            <w:vMerge w:val="restart"/>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widowControl/>
              <w:wordWrap w:val="0"/>
              <w:adjustRightInd w:val="0"/>
              <w:snapToGrid w:val="0"/>
              <w:spacing w:line="340" w:lineRule="exact"/>
              <w:jc w:val="center"/>
              <w:rPr>
                <w:rFonts w:ascii="宋体" w:hAnsi="宋体" w:eastAsia="宋体" w:cs="宋体"/>
                <w:b/>
                <w:szCs w:val="21"/>
              </w:rPr>
            </w:pPr>
            <w:r>
              <w:rPr>
                <w:rFonts w:hint="eastAsia" w:ascii="宋体" w:hAnsi="宋体" w:eastAsia="宋体" w:cs="宋体"/>
                <w:b/>
                <w:spacing w:val="5"/>
                <w:szCs w:val="21"/>
              </w:rPr>
              <w:t>授课教师（团队）切实投入教学改革</w:t>
            </w: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秉持学生中心、产出导向、持续改进的理念。</w:t>
            </w:r>
          </w:p>
        </w:tc>
      </w:tr>
      <w:tr>
        <w:tblPrEx>
          <w:shd w:val="clear" w:color="auto" w:fill="FFFFFF"/>
          <w:tblCellMar>
            <w:top w:w="0" w:type="dxa"/>
            <w:left w:w="0" w:type="dxa"/>
            <w:bottom w:w="0" w:type="dxa"/>
            <w:right w:w="0" w:type="dxa"/>
          </w:tblCellMar>
        </w:tblPrEx>
        <w:trPr>
          <w:trHeight w:val="952"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jc w:val="center"/>
              <w:rPr>
                <w:rFonts w:ascii="宋体" w:hAnsi="宋体" w:eastAsia="宋体" w:cs="宋体"/>
                <w:b/>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教学理念融入教学设计，围绕目标达成、教学内容、组织实施和多元评价需求进行整体规划，教学策略、教学方法教学过程、教学评价等设计合理。</w:t>
            </w:r>
          </w:p>
        </w:tc>
      </w:tr>
      <w:tr>
        <w:tblPrEx>
          <w:shd w:val="clear" w:color="auto" w:fill="FFFFFF"/>
          <w:tblCellMar>
            <w:top w:w="0" w:type="dxa"/>
            <w:left w:w="0" w:type="dxa"/>
            <w:bottom w:w="0" w:type="dxa"/>
            <w:right w:w="0" w:type="dxa"/>
          </w:tblCellMar>
        </w:tblPrEx>
        <w:trPr>
          <w:trHeight w:val="638"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jc w:val="center"/>
              <w:rPr>
                <w:rFonts w:ascii="宋体" w:hAnsi="宋体" w:eastAsia="宋体" w:cs="宋体"/>
                <w:b/>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教学改革意识强烈，能够主动运用新技术，创新教学方法提高教学效率、提升教学质量，教学能力有显著提升。</w:t>
            </w:r>
          </w:p>
        </w:tc>
      </w:tr>
      <w:tr>
        <w:tblPrEx>
          <w:shd w:val="clear" w:color="auto" w:fill="FFFFFF"/>
          <w:tblCellMar>
            <w:top w:w="0" w:type="dxa"/>
            <w:left w:w="0" w:type="dxa"/>
            <w:bottom w:w="0" w:type="dxa"/>
            <w:right w:w="0" w:type="dxa"/>
          </w:tblCellMar>
        </w:tblPrEx>
        <w:trPr>
          <w:trHeight w:val="754" w:hRule="atLeast"/>
          <w:jc w:val="center"/>
        </w:trPr>
        <w:tc>
          <w:tcPr>
            <w:tcW w:w="1335" w:type="dxa"/>
            <w:vMerge w:val="restart"/>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widowControl/>
              <w:wordWrap w:val="0"/>
              <w:adjustRightInd w:val="0"/>
              <w:snapToGrid w:val="0"/>
              <w:spacing w:line="340" w:lineRule="exact"/>
              <w:jc w:val="center"/>
              <w:rPr>
                <w:rFonts w:ascii="宋体" w:hAnsi="宋体" w:eastAsia="宋体" w:cs="宋体"/>
                <w:b/>
                <w:szCs w:val="21"/>
              </w:rPr>
            </w:pPr>
            <w:r>
              <w:rPr>
                <w:rFonts w:hint="eastAsia" w:ascii="宋体" w:hAnsi="宋体" w:eastAsia="宋体" w:cs="宋体"/>
                <w:b/>
                <w:spacing w:val="5"/>
                <w:szCs w:val="21"/>
              </w:rPr>
              <w:t>课程内容与时俱进</w:t>
            </w: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落实课程思政建设要求，通过专业知识教育与思想政治教育的紧密融合，将价值塑造、知识传授和能力培养三者融为一体。</w:t>
            </w:r>
          </w:p>
        </w:tc>
      </w:tr>
      <w:tr>
        <w:tblPrEx>
          <w:shd w:val="clear" w:color="auto" w:fill="FFFFFF"/>
          <w:tblCellMar>
            <w:top w:w="0" w:type="dxa"/>
            <w:left w:w="0" w:type="dxa"/>
            <w:bottom w:w="0" w:type="dxa"/>
            <w:right w:w="0" w:type="dxa"/>
          </w:tblCellMar>
        </w:tblPrEx>
        <w:trPr>
          <w:trHeight w:val="1267"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jc w:val="center"/>
              <w:rPr>
                <w:rFonts w:ascii="宋体" w:hAnsi="宋体" w:eastAsia="宋体" w:cs="宋体"/>
                <w:b/>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体现前沿性与时代性要求，反映学科专业、行业先进的核心理论和成果，聚焦新工科、新医科、新农科、新文科建设，增加体现多学科思维融合、产业技术与学科理论融合、跨专业能力融合、多学科项目实践融合内容。</w:t>
            </w:r>
          </w:p>
        </w:tc>
      </w:tr>
      <w:tr>
        <w:tblPrEx>
          <w:shd w:val="clear" w:color="auto" w:fill="FFFFFF"/>
          <w:tblCellMar>
            <w:top w:w="0" w:type="dxa"/>
            <w:left w:w="0" w:type="dxa"/>
            <w:bottom w:w="0" w:type="dxa"/>
            <w:right w:w="0" w:type="dxa"/>
          </w:tblCellMar>
        </w:tblPrEx>
        <w:trPr>
          <w:trHeight w:val="1032"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jc w:val="center"/>
              <w:rPr>
                <w:rFonts w:ascii="宋体" w:hAnsi="宋体" w:eastAsia="宋体" w:cs="宋体"/>
                <w:b/>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保障教学资源的优质性与适用性，优先选择国家级和省级精品在线开放课程等高质量在线课程资源，结合本校实际对课程内容进行优化，线上、线下内容互补，充分体现混合式优势。</w:t>
            </w:r>
          </w:p>
        </w:tc>
      </w:tr>
      <w:tr>
        <w:tblPrEx>
          <w:shd w:val="clear" w:color="auto" w:fill="FFFFFF"/>
          <w:tblCellMar>
            <w:top w:w="0" w:type="dxa"/>
            <w:left w:w="0" w:type="dxa"/>
            <w:bottom w:w="0" w:type="dxa"/>
            <w:right w:w="0" w:type="dxa"/>
          </w:tblCellMar>
        </w:tblPrEx>
        <w:trPr>
          <w:trHeight w:val="1896" w:hRule="atLeast"/>
          <w:jc w:val="center"/>
        </w:trPr>
        <w:tc>
          <w:tcPr>
            <w:tcW w:w="1335" w:type="dxa"/>
            <w:vMerge w:val="restart"/>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widowControl/>
              <w:wordWrap w:val="0"/>
              <w:adjustRightInd w:val="0"/>
              <w:snapToGrid w:val="0"/>
              <w:spacing w:line="340" w:lineRule="exact"/>
              <w:jc w:val="center"/>
              <w:rPr>
                <w:rFonts w:ascii="宋体" w:hAnsi="宋体" w:eastAsia="宋体" w:cs="宋体"/>
                <w:b/>
                <w:szCs w:val="21"/>
              </w:rPr>
            </w:pPr>
            <w:r>
              <w:rPr>
                <w:rFonts w:hint="eastAsia" w:ascii="宋体" w:hAnsi="宋体" w:eastAsia="宋体" w:cs="宋体"/>
                <w:b/>
                <w:spacing w:val="5"/>
                <w:szCs w:val="21"/>
              </w:rPr>
              <w:t>教与学发生改变</w:t>
            </w: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以教为中心向以学为中心转变，符合“安排20-50%的教学时间实施学生线上自主学习”基本要求，以提升教学效果为目的，因材施教，运用适当的数字化教学工具创新教学方式方法，有效开展线上与线下密切衔接的全过程教学活动。实施打破传统课堂“满堂灌”和沉默状态的方式方法，训练学生问题解决能力和审辩式思维能力。</w:t>
            </w:r>
          </w:p>
        </w:tc>
      </w:tr>
      <w:tr>
        <w:tblPrEx>
          <w:shd w:val="clear" w:color="auto" w:fill="FFFFFF"/>
          <w:tblCellMar>
            <w:top w:w="0" w:type="dxa"/>
            <w:left w:w="0" w:type="dxa"/>
            <w:bottom w:w="0" w:type="dxa"/>
            <w:right w:w="0" w:type="dxa"/>
          </w:tblCellMar>
        </w:tblPrEx>
        <w:trPr>
          <w:trHeight w:val="952"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jc w:val="center"/>
              <w:rPr>
                <w:rFonts w:ascii="宋体" w:hAnsi="宋体" w:eastAsia="宋体" w:cs="宋体"/>
                <w:b/>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学生学习方式有显著变化，安排学生个别化学习与合作学习，强化课堂教学师生互动、生生互动环节，加强研究型、项目式学习。</w:t>
            </w:r>
          </w:p>
        </w:tc>
      </w:tr>
      <w:tr>
        <w:tblPrEx>
          <w:shd w:val="clear" w:color="auto" w:fill="FFFFFF"/>
          <w:tblCellMar>
            <w:top w:w="0" w:type="dxa"/>
            <w:left w:w="0" w:type="dxa"/>
            <w:bottom w:w="0" w:type="dxa"/>
            <w:right w:w="0" w:type="dxa"/>
          </w:tblCellMar>
        </w:tblPrEx>
        <w:trPr>
          <w:trHeight w:val="952" w:hRule="atLeast"/>
          <w:jc w:val="center"/>
        </w:trPr>
        <w:tc>
          <w:tcPr>
            <w:tcW w:w="1335" w:type="dxa"/>
            <w:vMerge w:val="restart"/>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widowControl/>
              <w:wordWrap w:val="0"/>
              <w:adjustRightInd w:val="0"/>
              <w:snapToGrid w:val="0"/>
              <w:spacing w:line="340" w:lineRule="exact"/>
              <w:jc w:val="center"/>
              <w:rPr>
                <w:rFonts w:ascii="宋体" w:hAnsi="宋体" w:eastAsia="宋体" w:cs="宋体"/>
                <w:b/>
                <w:szCs w:val="21"/>
              </w:rPr>
            </w:pPr>
            <w:r>
              <w:rPr>
                <w:rFonts w:hint="eastAsia" w:ascii="宋体" w:hAnsi="宋体" w:eastAsia="宋体" w:cs="宋体"/>
                <w:b/>
                <w:spacing w:val="5"/>
                <w:szCs w:val="21"/>
              </w:rPr>
              <w:t>评价拓展深化</w:t>
            </w: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考核方式多元，丰富探究式、论文式、报告答辩式等作业评价方式，加强非标准化、综合性等评价，评价手段恰当必要，契合相对应的人才培养类型。</w:t>
            </w:r>
          </w:p>
        </w:tc>
      </w:tr>
      <w:tr>
        <w:tblPrEx>
          <w:shd w:val="clear" w:color="auto" w:fill="FFFFFF"/>
          <w:tblCellMar>
            <w:top w:w="0" w:type="dxa"/>
            <w:left w:w="0" w:type="dxa"/>
            <w:bottom w:w="0" w:type="dxa"/>
            <w:right w:w="0" w:type="dxa"/>
          </w:tblCellMar>
        </w:tblPrEx>
        <w:trPr>
          <w:trHeight w:val="952"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jc w:val="center"/>
              <w:rPr>
                <w:rFonts w:ascii="宋体" w:hAnsi="宋体" w:eastAsia="宋体" w:cs="宋体"/>
                <w:b/>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考试考核评价严格，体现过程评价，注重学习效果评价。学生线上自主学习、作业和测试等评价与参加线下教学活动的评价连贯完整，过程可回溯，诊断改进积极有效。</w:t>
            </w:r>
          </w:p>
        </w:tc>
      </w:tr>
      <w:tr>
        <w:tblPrEx>
          <w:shd w:val="clear" w:color="auto" w:fill="FFFFFF"/>
          <w:tblCellMar>
            <w:top w:w="0" w:type="dxa"/>
            <w:left w:w="0" w:type="dxa"/>
            <w:bottom w:w="0" w:type="dxa"/>
            <w:right w:w="0" w:type="dxa"/>
          </w:tblCellMar>
        </w:tblPrEx>
        <w:trPr>
          <w:trHeight w:val="638" w:hRule="atLeast"/>
          <w:jc w:val="center"/>
        </w:trPr>
        <w:tc>
          <w:tcPr>
            <w:tcW w:w="1335" w:type="dxa"/>
            <w:vMerge w:val="restart"/>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widowControl/>
              <w:wordWrap w:val="0"/>
              <w:adjustRightInd w:val="0"/>
              <w:snapToGrid w:val="0"/>
              <w:spacing w:line="340" w:lineRule="exact"/>
              <w:jc w:val="center"/>
              <w:rPr>
                <w:rFonts w:ascii="宋体" w:hAnsi="宋体" w:eastAsia="宋体" w:cs="宋体"/>
                <w:b/>
                <w:szCs w:val="21"/>
              </w:rPr>
            </w:pPr>
            <w:r>
              <w:rPr>
                <w:rFonts w:hint="eastAsia" w:ascii="宋体" w:hAnsi="宋体" w:eastAsia="宋体" w:cs="宋体"/>
                <w:b/>
                <w:spacing w:val="5"/>
                <w:szCs w:val="21"/>
              </w:rPr>
              <w:t>改革行之有效</w:t>
            </w: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学习效果提升，学生对课程的参与度、学习获得感、对教师教学以及课程的满意度有明显提高。</w:t>
            </w:r>
          </w:p>
        </w:tc>
      </w:tr>
      <w:tr>
        <w:tblPrEx>
          <w:shd w:val="clear" w:color="auto" w:fill="FFFFFF"/>
          <w:tblCellMar>
            <w:top w:w="0" w:type="dxa"/>
            <w:left w:w="0" w:type="dxa"/>
            <w:bottom w:w="0" w:type="dxa"/>
            <w:right w:w="0" w:type="dxa"/>
          </w:tblCellMar>
        </w:tblPrEx>
        <w:trPr>
          <w:trHeight w:val="952"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rPr>
                <w:rFonts w:ascii="宋体" w:hAnsi="宋体" w:eastAsia="宋体" w:cs="宋体"/>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改革迭代优化，有意识地收集数据开展教学反思、教学研究和教学改进。在多期混合式教学中进行迭代，不断优化教学的设计和实施。</w:t>
            </w:r>
          </w:p>
        </w:tc>
      </w:tr>
      <w:tr>
        <w:tblPrEx>
          <w:shd w:val="clear" w:color="auto" w:fill="FFFFFF"/>
          <w:tblCellMar>
            <w:top w:w="0" w:type="dxa"/>
            <w:left w:w="0" w:type="dxa"/>
            <w:bottom w:w="0" w:type="dxa"/>
            <w:right w:w="0" w:type="dxa"/>
          </w:tblCellMar>
        </w:tblPrEx>
        <w:trPr>
          <w:trHeight w:val="638"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rPr>
                <w:rFonts w:ascii="宋体" w:hAnsi="宋体" w:eastAsia="宋体" w:cs="宋体"/>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学校对线上线下混合式教学有合理的工作量计算机制、教学管理与质量监控机制等配套支持，并不断完善。</w:t>
            </w:r>
          </w:p>
        </w:tc>
      </w:tr>
      <w:tr>
        <w:tblPrEx>
          <w:tblCellMar>
            <w:top w:w="0" w:type="dxa"/>
            <w:left w:w="0" w:type="dxa"/>
            <w:bottom w:w="0" w:type="dxa"/>
            <w:right w:w="0" w:type="dxa"/>
          </w:tblCellMar>
        </w:tblPrEx>
        <w:trPr>
          <w:trHeight w:val="962" w:hRule="atLeast"/>
          <w:jc w:val="center"/>
        </w:trPr>
        <w:tc>
          <w:tcPr>
            <w:tcW w:w="1335" w:type="dxa"/>
            <w:vMerge w:val="continue"/>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40" w:lineRule="exact"/>
              <w:rPr>
                <w:rFonts w:ascii="宋体" w:hAnsi="宋体" w:eastAsia="宋体" w:cs="宋体"/>
                <w:spacing w:val="5"/>
                <w:szCs w:val="21"/>
              </w:rPr>
            </w:pPr>
          </w:p>
        </w:tc>
        <w:tc>
          <w:tcPr>
            <w:tcW w:w="7349" w:type="dxa"/>
            <w:tcBorders>
              <w:top w:val="single" w:color="auto" w:sz="4" w:space="0"/>
              <w:left w:val="single" w:color="auto" w:sz="4" w:space="0"/>
              <w:bottom w:val="single" w:color="auto" w:sz="4" w:space="0"/>
              <w:right w:val="single" w:color="auto" w:sz="4" w:space="0"/>
            </w:tcBorders>
            <w:shd w:val="clear" w:color="auto" w:fill="FFFFFF"/>
            <w:tcMar>
              <w:left w:w="70" w:type="dxa"/>
              <w:right w:w="70" w:type="dxa"/>
            </w:tcMar>
            <w:vAlign w:val="center"/>
          </w:tcPr>
          <w:p>
            <w:pPr>
              <w:spacing w:line="360" w:lineRule="auto"/>
              <w:rPr>
                <w:rFonts w:ascii="宋体" w:hAnsi="宋体" w:eastAsia="宋体" w:cs="宋体"/>
                <w:szCs w:val="21"/>
              </w:rPr>
            </w:pPr>
            <w:r>
              <w:rPr>
                <w:rFonts w:hint="eastAsia" w:ascii="宋体" w:hAnsi="宋体" w:eastAsia="宋体" w:cs="宋体"/>
                <w:szCs w:val="21"/>
              </w:rPr>
              <w:t>较好地解决了传统教学中的短板问题。在树立课程建设新理念、推进相应类型高校课程改革创新、提升教学效果方面显示了明显优势，具有推广价值。</w:t>
            </w:r>
          </w:p>
        </w:tc>
      </w:tr>
    </w:tbl>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五、报价要求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本项目报价包含完成本项目所需的全部费用，中标后采购人不在另行支付任何费用。</w:t>
      </w:r>
    </w:p>
    <w:p>
      <w:pPr>
        <w:rPr>
          <w:rFonts w:ascii="宋体" w:hAnsi="宋体" w:eastAsia="宋体" w:cs="宋体"/>
          <w:b/>
          <w:bCs/>
          <w:color w:val="FF0000"/>
          <w:sz w:val="24"/>
          <w:szCs w:val="24"/>
        </w:rPr>
      </w:pPr>
      <w:r>
        <w:rPr>
          <w:rFonts w:hint="eastAsia" w:ascii="宋体" w:hAnsi="宋体" w:eastAsia="宋体" w:cs="宋体"/>
          <w:b/>
          <w:bCs/>
          <w:color w:val="FF0000"/>
          <w:sz w:val="24"/>
          <w:szCs w:val="24"/>
        </w:rPr>
        <w:br w:type="page"/>
      </w:r>
    </w:p>
    <w:p>
      <w:pPr>
        <w:spacing w:line="360" w:lineRule="auto"/>
        <w:ind w:firstLine="435"/>
        <w:outlineLvl w:val="2"/>
        <w:rPr>
          <w:rFonts w:ascii="宋体" w:hAnsi="宋体" w:eastAsia="宋体" w:cs="宋体"/>
          <w:b/>
          <w:bCs/>
          <w:color w:val="FF0000"/>
          <w:sz w:val="24"/>
          <w:szCs w:val="24"/>
        </w:rPr>
      </w:pPr>
      <w:r>
        <w:rPr>
          <w:rFonts w:hint="eastAsia" w:ascii="宋体" w:hAnsi="宋体" w:eastAsia="宋体" w:cs="宋体"/>
          <w:b/>
          <w:bCs/>
          <w:color w:val="FF0000"/>
          <w:sz w:val="24"/>
          <w:szCs w:val="24"/>
        </w:rPr>
        <w:t>第2包：安徽理工大学省级线上、线下、社会实践一流课程录课及运行服务</w:t>
      </w:r>
    </w:p>
    <w:p>
      <w:pPr>
        <w:spacing w:line="360" w:lineRule="auto"/>
        <w:ind w:firstLine="437"/>
        <w:rPr>
          <w:rFonts w:ascii="宋体" w:hAnsi="宋体" w:eastAsia="宋体" w:cs="宋体"/>
          <w:b/>
          <w:sz w:val="24"/>
          <w:szCs w:val="24"/>
        </w:rPr>
      </w:pPr>
      <w:r>
        <w:rPr>
          <w:rFonts w:hint="eastAsia" w:ascii="宋体" w:hAnsi="宋体" w:eastAsia="宋体" w:cs="宋体"/>
          <w:b/>
          <w:sz w:val="24"/>
          <w:szCs w:val="24"/>
        </w:rPr>
        <w:t>一、采购需求前附表</w:t>
      </w:r>
      <w:r>
        <w:rPr>
          <w:rFonts w:hint="eastAsia" w:ascii="Times New Roman" w:hAnsi="Times New Roman" w:cs="Times New Roman" w:eastAsiaTheme="minorEastAsia"/>
          <w:b/>
          <w:bCs/>
          <w:color w:val="FF0000"/>
          <w:sz w:val="24"/>
          <w:szCs w:val="22"/>
        </w:rPr>
        <w:t>（</w:t>
      </w:r>
      <w:r>
        <w:rPr>
          <w:rFonts w:ascii="Times New Roman" w:hAnsi="Times New Roman" w:cs="Times New Roman" w:eastAsiaTheme="minorEastAsia"/>
          <w:b/>
          <w:bCs/>
          <w:color w:val="FF0000"/>
          <w:sz w:val="24"/>
          <w:szCs w:val="22"/>
        </w:rPr>
        <w:t>采购需求前附表</w:t>
      </w:r>
      <w:r>
        <w:rPr>
          <w:rFonts w:hint="eastAsia" w:ascii="Times New Roman" w:hAnsi="Times New Roman" w:cs="Times New Roman" w:eastAsiaTheme="minorEastAsia"/>
          <w:b/>
          <w:bCs/>
          <w:color w:val="FF0000"/>
          <w:sz w:val="24"/>
          <w:szCs w:val="22"/>
        </w:rPr>
        <w:t>中规定的内容不允许负偏离）</w:t>
      </w:r>
    </w:p>
    <w:tbl>
      <w:tblPr>
        <w:tblStyle w:val="4"/>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2138"/>
        <w:gridCol w:w="5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
                <w:kern w:val="2"/>
                <w:szCs w:val="24"/>
              </w:rPr>
            </w:pPr>
            <w:r>
              <w:rPr>
                <w:rFonts w:hint="eastAsia" w:ascii="宋体" w:hAnsi="宋体" w:eastAsia="宋体" w:cs="宋体"/>
                <w:b/>
                <w:kern w:val="2"/>
                <w:szCs w:val="24"/>
              </w:rPr>
              <w:t>序号</w:t>
            </w:r>
          </w:p>
        </w:tc>
        <w:tc>
          <w:tcPr>
            <w:tcW w:w="2138"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条款名称</w:t>
            </w:r>
          </w:p>
        </w:tc>
        <w:tc>
          <w:tcPr>
            <w:tcW w:w="5977"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1</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付款方式</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宋体" w:hAnsi="宋体" w:eastAsia="宋体" w:cs="宋体"/>
                <w:b w:val="0"/>
                <w:bCs w:val="0"/>
                <w:sz w:val="24"/>
                <w:szCs w:val="24"/>
              </w:rPr>
              <w:t>合同签订生效并具备实施条件后采购人根据项目实际情况于5个工作日内支付合同价款的40%作为预付款</w:t>
            </w:r>
            <w:r>
              <w:rPr>
                <w:rFonts w:hint="eastAsia" w:ascii="宋体" w:hAnsi="宋体" w:eastAsia="宋体" w:cs="宋体"/>
                <w:sz w:val="24"/>
                <w:szCs w:val="24"/>
              </w:rPr>
              <w:t>（中标人须提交银行、保险公司、担保公司等金融机构出具的预付款保函或其他担保措施，以上各类机构出具的以担保函、保证保险承担责任的方式均须满足无条件见索即付条件）</w:t>
            </w:r>
            <w:r>
              <w:rPr>
                <w:rFonts w:hint="eastAsia" w:ascii="宋体" w:hAnsi="宋体" w:eastAsia="宋体" w:cs="宋体"/>
                <w:b w:val="0"/>
                <w:bCs w:val="0"/>
                <w:sz w:val="24"/>
                <w:szCs w:val="24"/>
              </w:rPr>
              <w:t>，</w:t>
            </w:r>
            <w:r>
              <w:rPr>
                <w:rFonts w:hint="eastAsia" w:ascii="Arial" w:hAnsi="Arial" w:eastAsia="宋体" w:cs="Arial"/>
                <w:b w:val="0"/>
                <w:bCs w:val="0"/>
                <w:sz w:val="24"/>
                <w:szCs w:val="24"/>
              </w:rPr>
              <w:t>每门课程制作完成并达到验收标准，且同步上线课程平台、推广平台后，每季度据实结算剩余尾款。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2</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服务地点</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安徽理工大学或采购人指定地点。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3</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服务期限</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每门课程须在90天内完成课程制作并达到验收标准，具体制作时间由采购方确定。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4</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lang w:val="zh-CN"/>
              </w:rPr>
              <w:t>免费质保期</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验收合格后1年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
                <w:kern w:val="2"/>
                <w:szCs w:val="24"/>
              </w:rPr>
            </w:pPr>
            <w:r>
              <w:rPr>
                <w:rFonts w:hint="eastAsia" w:ascii="宋体" w:hAnsi="宋体" w:eastAsia="宋体" w:cs="宋体"/>
                <w:b/>
                <w:kern w:val="2"/>
                <w:szCs w:val="24"/>
              </w:rPr>
              <w:t>5</w:t>
            </w:r>
          </w:p>
        </w:tc>
        <w:tc>
          <w:tcPr>
            <w:tcW w:w="2138"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本项目采购标的所属行业</w:t>
            </w:r>
          </w:p>
        </w:tc>
        <w:tc>
          <w:tcPr>
            <w:tcW w:w="5977" w:type="dxa"/>
            <w:vAlign w:val="center"/>
          </w:tcPr>
          <w:p>
            <w:pPr>
              <w:pStyle w:val="8"/>
              <w:widowControl w:val="0"/>
              <w:spacing w:before="0" w:beforeAutospacing="0" w:after="0" w:afterAutospacing="0" w:line="360" w:lineRule="auto"/>
              <w:jc w:val="both"/>
              <w:rPr>
                <w:rFonts w:ascii="Arial" w:hAnsi="Arial" w:eastAsia="宋体" w:cs="Arial"/>
                <w:bCs w:val="0"/>
                <w:sz w:val="24"/>
                <w:szCs w:val="24"/>
              </w:rPr>
            </w:pPr>
            <w:r>
              <w:rPr>
                <w:rFonts w:hint="eastAsia" w:ascii="Arial" w:hAnsi="Arial" w:eastAsia="宋体" w:cs="Arial"/>
                <w:bCs w:val="0"/>
                <w:sz w:val="24"/>
                <w:szCs w:val="24"/>
              </w:rPr>
              <w:t>软件和信息技术服务业</w:t>
            </w:r>
          </w:p>
        </w:tc>
      </w:tr>
    </w:tbl>
    <w:p>
      <w:pPr>
        <w:spacing w:line="360" w:lineRule="auto"/>
        <w:ind w:firstLine="437"/>
        <w:rPr>
          <w:rFonts w:ascii="Arial" w:hAnsi="Arial" w:eastAsia="宋体" w:cs="Arial"/>
          <w:b/>
          <w:sz w:val="24"/>
          <w:szCs w:val="18"/>
        </w:rPr>
      </w:pPr>
      <w:r>
        <w:rPr>
          <w:rFonts w:hint="eastAsia" w:ascii="Arial" w:hAnsi="Arial" w:eastAsia="宋体" w:cs="Arial"/>
          <w:b/>
          <w:sz w:val="24"/>
          <w:szCs w:val="18"/>
        </w:rPr>
        <w:t>二、服务指标重要性表述</w:t>
      </w:r>
    </w:p>
    <w:tbl>
      <w:tblPr>
        <w:tblStyle w:val="5"/>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1"/>
        <w:gridCol w:w="1260"/>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1"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标识重要性</w:t>
            </w:r>
          </w:p>
        </w:tc>
        <w:tc>
          <w:tcPr>
            <w:tcW w:w="1260"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标识符号</w:t>
            </w:r>
          </w:p>
        </w:tc>
        <w:tc>
          <w:tcPr>
            <w:tcW w:w="6061"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代表意思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631"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重要指标项</w:t>
            </w:r>
          </w:p>
        </w:tc>
        <w:tc>
          <w:tcPr>
            <w:tcW w:w="1260"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w:t>
            </w:r>
          </w:p>
        </w:tc>
        <w:tc>
          <w:tcPr>
            <w:tcW w:w="6061" w:type="dxa"/>
            <w:vAlign w:val="center"/>
          </w:tcPr>
          <w:p>
            <w:pPr>
              <w:pStyle w:val="8"/>
              <w:widowControl w:val="0"/>
              <w:spacing w:before="0" w:beforeAutospacing="0" w:after="0" w:afterAutospacing="0" w:line="360" w:lineRule="auto"/>
              <w:jc w:val="both"/>
              <w:rPr>
                <w:rFonts w:ascii="宋体" w:hAnsi="宋体" w:eastAsia="宋体" w:cs="宋体"/>
                <w:sz w:val="24"/>
                <w:szCs w:val="24"/>
              </w:rPr>
            </w:pPr>
            <w:r>
              <w:rPr>
                <w:rFonts w:ascii="Times New Roman" w:hAnsi="Times New Roman" w:cs="Times New Roman" w:eastAsiaTheme="minorEastAsia"/>
                <w:sz w:val="24"/>
                <w:szCs w:val="22"/>
              </w:rPr>
              <w:t>作为评分项，详见“第四章评标方法和标准”中评分细则。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1"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一般技术指标（无标识项）</w:t>
            </w:r>
          </w:p>
        </w:tc>
        <w:tc>
          <w:tcPr>
            <w:tcW w:w="1260"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无</w:t>
            </w:r>
          </w:p>
        </w:tc>
        <w:tc>
          <w:tcPr>
            <w:tcW w:w="6061" w:type="dxa"/>
            <w:vAlign w:val="center"/>
          </w:tcPr>
          <w:p>
            <w:pPr>
              <w:pStyle w:val="8"/>
              <w:widowControl w:val="0"/>
              <w:spacing w:before="0" w:beforeAutospacing="0" w:after="0" w:afterAutospacing="0" w:line="360" w:lineRule="auto"/>
              <w:jc w:val="both"/>
              <w:rPr>
                <w:rFonts w:ascii="Times New Roman" w:hAnsi="Times New Roman" w:cs="Times New Roman" w:eastAsiaTheme="minorEastAsia"/>
                <w:sz w:val="24"/>
                <w:szCs w:val="22"/>
              </w:rPr>
            </w:pPr>
            <w:r>
              <w:rPr>
                <w:rFonts w:ascii="Times New Roman" w:hAnsi="Times New Roman" w:cs="Times New Roman" w:eastAsiaTheme="minorEastAsia"/>
                <w:sz w:val="24"/>
                <w:szCs w:val="22"/>
              </w:rPr>
              <w:t>作为基础指标，</w:t>
            </w:r>
            <w:r>
              <w:rPr>
                <w:rFonts w:hint="eastAsia" w:ascii="Times New Roman" w:hAnsi="Times New Roman" w:cs="Times New Roman" w:eastAsiaTheme="minorEastAsia"/>
                <w:sz w:val="24"/>
                <w:szCs w:val="22"/>
              </w:rPr>
              <w:t>8</w:t>
            </w:r>
            <w:r>
              <w:rPr>
                <w:rFonts w:ascii="Times New Roman" w:hAnsi="Times New Roman" w:cs="Times New Roman" w:eastAsiaTheme="minorEastAsia"/>
                <w:sz w:val="24"/>
                <w:szCs w:val="22"/>
              </w:rPr>
              <w:t>项以上</w:t>
            </w:r>
            <w:r>
              <w:rPr>
                <w:rFonts w:hint="eastAsia" w:ascii="Times New Roman" w:hAnsi="Times New Roman" w:cs="Times New Roman" w:eastAsiaTheme="minorEastAsia"/>
                <w:sz w:val="24"/>
                <w:szCs w:val="22"/>
              </w:rPr>
              <w:t>（不含8项）不满足或未</w:t>
            </w:r>
            <w:r>
              <w:rPr>
                <w:rFonts w:ascii="Times New Roman" w:hAnsi="Times New Roman" w:cs="Times New Roman" w:eastAsiaTheme="minorEastAsia"/>
                <w:sz w:val="24"/>
                <w:szCs w:val="22"/>
              </w:rPr>
              <w:t>响应，将导致</w:t>
            </w:r>
            <w:r>
              <w:rPr>
                <w:rFonts w:hint="eastAsia" w:ascii="Times New Roman" w:hAnsi="Times New Roman" w:cs="Times New Roman" w:eastAsiaTheme="minorEastAsia"/>
                <w:sz w:val="24"/>
                <w:szCs w:val="22"/>
              </w:rPr>
              <w:t>投标</w:t>
            </w:r>
            <w:r>
              <w:rPr>
                <w:rFonts w:ascii="Times New Roman" w:hAnsi="Times New Roman" w:cs="Times New Roman" w:eastAsiaTheme="minorEastAsia"/>
                <w:sz w:val="24"/>
                <w:szCs w:val="22"/>
              </w:rPr>
              <w:t>无效。</w:t>
            </w:r>
          </w:p>
          <w:p>
            <w:pPr>
              <w:pStyle w:val="8"/>
              <w:widowControl w:val="0"/>
              <w:spacing w:before="0" w:beforeAutospacing="0" w:after="0" w:afterAutospacing="0" w:line="360" w:lineRule="auto"/>
              <w:jc w:val="both"/>
              <w:rPr>
                <w:rFonts w:ascii="宋体" w:hAnsi="宋体" w:eastAsia="宋体" w:cs="宋体"/>
                <w:sz w:val="24"/>
                <w:szCs w:val="24"/>
              </w:rPr>
            </w:pPr>
            <w:r>
              <w:rPr>
                <w:rFonts w:hint="eastAsia" w:ascii="Times New Roman" w:hAnsi="Times New Roman" w:cs="Times New Roman" w:eastAsiaTheme="minorEastAsia"/>
                <w:sz w:val="24"/>
                <w:szCs w:val="22"/>
              </w:rPr>
              <w:t>注：以投标响应表及采购需求中要求提供的证明材料作为评审依据。</w:t>
            </w:r>
          </w:p>
        </w:tc>
      </w:tr>
    </w:tbl>
    <w:p>
      <w:pPr>
        <w:spacing w:line="360" w:lineRule="auto"/>
        <w:ind w:firstLine="435"/>
        <w:rPr>
          <w:rFonts w:ascii="宋体" w:hAnsi="宋体" w:eastAsia="宋体" w:cs="宋体"/>
          <w:sz w:val="24"/>
          <w:szCs w:val="24"/>
        </w:rPr>
      </w:pPr>
      <w:r>
        <w:rPr>
          <w:rFonts w:hint="eastAsia" w:ascii="宋体" w:hAnsi="宋体" w:eastAsia="宋体" w:cs="宋体"/>
          <w:b/>
          <w:bCs/>
          <w:sz w:val="24"/>
          <w:szCs w:val="24"/>
        </w:rPr>
        <w:t>三、总体要求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1.投标人须用</w:t>
      </w:r>
      <w:bookmarkStart w:id="2" w:name="_Hlk6843938"/>
      <w:r>
        <w:rPr>
          <w:rFonts w:hint="eastAsia" w:ascii="宋体" w:hAnsi="宋体" w:eastAsia="宋体" w:cs="宋体"/>
          <w:sz w:val="24"/>
          <w:szCs w:val="24"/>
        </w:rPr>
        <w:t>现代化的技术手段，对传统的教学进行视频化编排，以课堂内容为核心，依据各类课程项目标准要求拍摄制作成所需要的教学视频。</w:t>
      </w:r>
      <w:bookmarkEnd w:id="2"/>
    </w:p>
    <w:p>
      <w:pPr>
        <w:spacing w:line="360" w:lineRule="auto"/>
        <w:ind w:firstLine="435"/>
        <w:rPr>
          <w:rFonts w:ascii="宋体" w:hAnsi="宋体" w:eastAsia="宋体" w:cs="宋体"/>
          <w:sz w:val="24"/>
          <w:szCs w:val="24"/>
        </w:rPr>
      </w:pPr>
      <w:r>
        <w:rPr>
          <w:rFonts w:hint="eastAsia" w:ascii="宋体" w:hAnsi="宋体" w:eastAsia="宋体" w:cs="宋体"/>
          <w:sz w:val="24"/>
          <w:szCs w:val="24"/>
        </w:rPr>
        <w:t>2.投标人须具有固定的拍摄制作团队，包括：项目经理、编导、摄像、后期等相关制作人员。拍摄前须提供详细的拍摄计划，并保证与主讲教师有效沟通，后期须尊重主讲教师的修改意见。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3.投标人所拍摄制作的课程视频可根据学校需求制作成各类形式，如：社会实践课程、线下课程等。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4.投标人须支持3组以上摄像同时进行多机位拍摄，拍摄器材和设备全部由投标人提供。</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5.投标人须具有固定拍摄制作场地和20人以上的售后服务机构，原则上要求在招标人提供的场地拍摄，教师可根据课程拍摄制作需要与中标人协商拍摄场地。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6.投标人能满足多种拍摄场景和拍摄形式，如按知识点、课堂实录、场景摆拍、抠像拍摄、外景拍摄、实训/ 实验拍摄等形式拍摄，具体拍摄场景和形式由项目负责老师根据课程要求与中标人协商确定。</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★7.投标人须具有一定课程运行经验，以满足课程制作完成并验收后为学校提供的如协助上传平台、在线课程运行等后续相关扩展性服务需求。</w:t>
      </w:r>
      <w:r>
        <w:rPr>
          <w:rFonts w:hint="eastAsia" w:ascii="宋体" w:hAnsi="宋体" w:eastAsia="宋体" w:cs="宋体"/>
          <w:b/>
          <w:bCs/>
          <w:sz w:val="24"/>
          <w:szCs w:val="24"/>
        </w:rPr>
        <w:t>投标文件中须提供自主运行平台软件著作权。</w:t>
      </w:r>
    </w:p>
    <w:p>
      <w:pPr>
        <w:spacing w:line="360" w:lineRule="auto"/>
        <w:ind w:firstLine="435"/>
        <w:rPr>
          <w:rFonts w:ascii="宋体" w:hAnsi="宋体" w:eastAsia="宋体" w:cs="宋体"/>
          <w:b/>
          <w:bCs/>
          <w:sz w:val="24"/>
          <w:szCs w:val="24"/>
        </w:rPr>
      </w:pPr>
      <w:r>
        <w:rPr>
          <w:rFonts w:hint="eastAsia" w:ascii="宋体" w:hAnsi="宋体" w:eastAsia="宋体" w:cs="宋体"/>
          <w:sz w:val="24"/>
          <w:szCs w:val="24"/>
        </w:rPr>
        <w:t>★8.投标人须提供通识素养等完整课程资源（包含课程视频、教学大纲、电子教案、课件和测试题等）作为校本课程建设补充资源，课程资源类别包含但不限于人文社科类、理工科技类、经济管理类、艺术体育类。每类课程不少于40门。</w:t>
      </w:r>
      <w:r>
        <w:rPr>
          <w:rFonts w:hint="eastAsia" w:ascii="宋体" w:hAnsi="宋体" w:eastAsia="宋体" w:cs="宋体"/>
          <w:b/>
          <w:bCs/>
          <w:sz w:val="24"/>
          <w:szCs w:val="24"/>
        </w:rPr>
        <w:t>（投标文件中须提供相关证明材料）</w:t>
      </w:r>
    </w:p>
    <w:p>
      <w:pPr>
        <w:spacing w:line="360" w:lineRule="auto"/>
        <w:ind w:firstLine="480" w:firstLineChars="200"/>
        <w:jc w:val="left"/>
        <w:rPr>
          <w:rFonts w:ascii="宋体" w:hAnsi="宋体" w:eastAsia="宋体" w:cs="宋体"/>
          <w:b/>
          <w:bCs/>
          <w:sz w:val="24"/>
          <w:szCs w:val="24"/>
        </w:rPr>
      </w:pPr>
      <w:r>
        <w:rPr>
          <w:rFonts w:hint="eastAsia" w:ascii="宋体" w:hAnsi="宋体" w:eastAsia="宋体" w:cs="宋体"/>
          <w:sz w:val="24"/>
          <w:szCs w:val="24"/>
        </w:rPr>
        <w:t>★9.投标人须承诺视频录制方将完整的视频作品拷贝给采购人，采购人享有所有作品的版权，未经采购人同意不得将作品以任何形式上传至其他网站</w:t>
      </w:r>
      <w:r>
        <w:rPr>
          <w:rFonts w:hint="eastAsia" w:ascii="宋体" w:hAnsi="宋体" w:eastAsia="宋体" w:cs="宋体"/>
          <w:b/>
          <w:bCs/>
          <w:sz w:val="24"/>
          <w:szCs w:val="24"/>
        </w:rPr>
        <w:t>（须提供承诺函，格式自拟）</w:t>
      </w:r>
      <w:r>
        <w:rPr>
          <w:rFonts w:hint="eastAsia" w:ascii="宋体" w:hAnsi="宋体" w:eastAsia="宋体" w:cs="宋体"/>
          <w:sz w:val="24"/>
          <w:szCs w:val="24"/>
        </w:rPr>
        <w:t>。</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10.接到采购处理问题通知后24小时内对问题做出响应；若远程无法解决的，需在24时内到达现场上门服务，12小时内解决问题。</w:t>
      </w:r>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四、服务需求</w:t>
      </w:r>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（一）服务对象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课程视频资源拍摄制作主要针对已经获省级立项的线上、线下课程和社会实践课程建设课程视频资源，以课程为单位拍摄制作，采购预算90万元，最高限价90万元，共10门课程，每门课程不超过9.0万元。</w:t>
      </w:r>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（二）课程视频资源拍摄制作要求</w:t>
      </w:r>
    </w:p>
    <w:p>
      <w:pPr>
        <w:spacing w:line="360" w:lineRule="auto"/>
        <w:ind w:firstLine="482" w:firstLineChars="200"/>
        <w:rPr>
          <w:rFonts w:ascii="宋体" w:hAnsi="宋体" w:eastAsia="宋体" w:cs="宋体"/>
          <w:b/>
          <w:bCs/>
          <w:sz w:val="24"/>
          <w:szCs w:val="24"/>
        </w:rPr>
      </w:pPr>
      <w:bookmarkStart w:id="3" w:name="_Toc14560"/>
      <w:r>
        <w:rPr>
          <w:rFonts w:hint="eastAsia" w:ascii="宋体" w:hAnsi="宋体" w:eastAsia="宋体" w:cs="宋体"/>
          <w:b/>
          <w:bCs/>
          <w:sz w:val="24"/>
          <w:szCs w:val="24"/>
        </w:rPr>
        <w:t>1.前期拍摄制作要求</w:t>
      </w:r>
      <w:bookmarkEnd w:id="3"/>
    </w:p>
    <w:p>
      <w:pPr>
        <w:spacing w:line="360" w:lineRule="auto"/>
        <w:ind w:firstLine="435"/>
        <w:rPr>
          <w:rFonts w:ascii="宋体" w:hAnsi="宋体" w:eastAsia="宋体" w:cs="宋体"/>
          <w:sz w:val="24"/>
          <w:szCs w:val="24"/>
        </w:rPr>
      </w:pPr>
      <w:r>
        <w:rPr>
          <w:rFonts w:hint="eastAsia" w:ascii="宋体" w:hAnsi="宋体" w:eastAsia="宋体" w:cs="宋体"/>
          <w:sz w:val="24"/>
          <w:szCs w:val="24"/>
        </w:rPr>
        <w:t>（1）课程编导与教师制定拍摄方式，安排拍摄场地。依据老师需求商定拍摄方式和拍摄环境，及时联系教师，确定拍摄场地和时间；</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课程编导与教师确定课程的内容并帮助老师确定课程内容设计的安排，包括章节框架、知识点和具体的拍摄单元。课程编辑配合教师收集详细的课程资料、图片、视频、文档等。根据老师的课程内容，设计教学场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（3）根据拍摄技术标准和课程内容，设计贴合教师授课特点的拍摄形式，与老师沟通说明拍摄要求，并协助提供着装意见；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（4）拍摄时应针对实际情况选择适当的拍摄方式，与后期制作统筹策划，确保成片中的多媒体演示及板书完整、清晰。</w:t>
      </w:r>
    </w:p>
    <w:p>
      <w:pPr>
        <w:spacing w:line="360" w:lineRule="auto"/>
        <w:ind w:firstLine="482" w:firstLineChars="200"/>
        <w:rPr>
          <w:rFonts w:ascii="宋体" w:hAnsi="宋体" w:eastAsia="宋体" w:cs="宋体"/>
          <w:b/>
          <w:bCs/>
          <w:sz w:val="24"/>
          <w:szCs w:val="24"/>
        </w:rPr>
      </w:pPr>
      <w:bookmarkStart w:id="4" w:name="_Toc13323"/>
      <w:r>
        <w:rPr>
          <w:rFonts w:hint="eastAsia" w:ascii="宋体" w:hAnsi="宋体" w:eastAsia="宋体" w:cs="宋体"/>
          <w:b/>
          <w:bCs/>
          <w:sz w:val="24"/>
          <w:szCs w:val="24"/>
        </w:rPr>
        <w:t>2.拍摄过程要求</w:t>
      </w:r>
      <w:bookmarkEnd w:id="4"/>
    </w:p>
    <w:p>
      <w:pPr>
        <w:spacing w:line="360" w:lineRule="auto"/>
        <w:ind w:firstLine="435"/>
        <w:rPr>
          <w:rFonts w:ascii="宋体" w:hAnsi="宋体" w:eastAsia="宋体" w:cs="宋体"/>
          <w:sz w:val="24"/>
          <w:szCs w:val="24"/>
        </w:rPr>
      </w:pPr>
      <w:r>
        <w:rPr>
          <w:rFonts w:hint="eastAsia" w:ascii="宋体" w:hAnsi="宋体" w:eastAsia="宋体" w:cs="宋体"/>
          <w:sz w:val="24"/>
          <w:szCs w:val="24"/>
        </w:rPr>
        <w:t>（1）制定拍摄计划及拍摄地点。课程拍摄过程中，由课程负责教师准备好授课内容，中标人与授课教师沟通确定课程拍摄形式、拍摄环境、制作形式等，中标人负责课程的拍摄制作及美化；</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（2）中标人依据事先与教师团队确定的拍摄方案进行场地布局，由专业化妆师和造型师为授课教师打造授课形象，课程编导全程跟进，辅助授课教师熟悉拍摄坏境，适应镜头感；</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（3）为解决老师们面对摄像机紧张的情况，在拍摄前，中标人需要给老师做相关培训，内容包括辅导老师如何在镜头前表现自己，为老师提供自我适应性训练，如何准备课程知识点内容，拍摄具体流程等；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（4）为保证老师们的拍摄效果，现场需有提词器帮助老师解决忘词的问题。</w:t>
      </w:r>
    </w:p>
    <w:p>
      <w:pPr>
        <w:spacing w:line="360" w:lineRule="auto"/>
        <w:ind w:firstLine="482" w:firstLineChars="200"/>
        <w:rPr>
          <w:rFonts w:ascii="宋体" w:hAnsi="宋体" w:eastAsia="宋体" w:cs="宋体"/>
          <w:b/>
          <w:bCs/>
          <w:sz w:val="24"/>
          <w:szCs w:val="24"/>
        </w:rPr>
      </w:pPr>
      <w:bookmarkStart w:id="5" w:name="_Toc4392"/>
      <w:r>
        <w:rPr>
          <w:rFonts w:hint="eastAsia" w:ascii="宋体" w:hAnsi="宋体" w:eastAsia="宋体" w:cs="宋体"/>
          <w:b/>
          <w:bCs/>
          <w:sz w:val="24"/>
          <w:szCs w:val="24"/>
        </w:rPr>
        <w:t>3.后期制作要求</w:t>
      </w:r>
      <w:bookmarkEnd w:id="5"/>
    </w:p>
    <w:p>
      <w:pPr>
        <w:spacing w:line="360" w:lineRule="auto"/>
        <w:ind w:firstLine="435"/>
        <w:rPr>
          <w:rFonts w:ascii="宋体" w:hAnsi="宋体" w:eastAsia="宋体" w:cs="宋体"/>
          <w:sz w:val="24"/>
          <w:szCs w:val="24"/>
        </w:rPr>
      </w:pPr>
      <w:r>
        <w:rPr>
          <w:rFonts w:hint="eastAsia" w:ascii="宋体" w:hAnsi="宋体" w:eastAsia="宋体" w:cs="宋体"/>
          <w:sz w:val="24"/>
          <w:szCs w:val="24"/>
        </w:rPr>
        <w:t>（1）使用专业的非线性编辑系统对源视频进行最基本的处理（如颜色校正、双声道处理、渲染）。使用专业的视频编辑系统进行视频降噪、音频降噪；</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（2）使用专业的后期合成软件进行片头设计：用平面设计+后期合成，根据每个课题的内容设计出相关联的内容元素，片头不超过10秒，包括:LOGO、课程名称、讲次、主讲教师姓名、专业技术职务、单位等信息；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（3）使用专业的后期合成软件和图片处理软件进行拍摄背景设计：根据每讲的课程内容来制定出相应的拍摄背景，并且主色调要和片头、片尾还有内容相协调；</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（4）使用专业的后期合成软件进行课题条、简介条设计：根据课程内容不同，设计符合本课程的课题简介的模版，以此来介绍本讲的主要内容和老师名称；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内容编辑、资料查询（编导工作）：通篇观看源视频，根据主讲人所讲内容，理清脉络，划分片子结构，确定片子整体风格，查找相关素材资料；标记与课程内容关系不大的内容时间点，进行删除处理，并且确保不存在涉及政治和民族矛盾等字眼出现，最后编辑出最终的制作脚本；</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专业非线性编辑系统制作片花、引文、情景图片：根据编导所提供的制作脚本来进行片花和引文等的编辑与制作，主要有背景板、特定的背景音乐、音乐场景特效、引文字体、字体颜色、构图排版、转场特效、基本剪辑、音视频调整与衔接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（7）使用专业非线性编辑系统剪掉不必要的废镜头，制作完之后，添加必要的背景音乐，保证制作的片花无错误、无硬伤，画面美观，排版规范、逻辑完整；</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（8）使用专业的后期合成软件制作片尾：制定相关的片尾名单，包括版权单位、制作单位、录制时间等信息；</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（9）使用专业非线性编辑系统渲染成片：所有内容编辑结束之后，生成成片，成品为高清制式；</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（10）对于视频剪辑中所引用的教育视频片段，中标人须保证无版权问题，对于所引用的教育视频资源须提供主讲人授权协议。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（11）制作的课程视频单元需满足如下建设标准：</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865"/>
        <w:gridCol w:w="6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b/>
                <w:bCs/>
                <w:szCs w:val="21"/>
              </w:rPr>
            </w:pPr>
            <w:r>
              <w:rPr>
                <w:rFonts w:hint="eastAsia" w:ascii="宋体" w:hAnsi="宋体" w:eastAsia="宋体" w:cs="宋体"/>
                <w:b/>
                <w:bCs/>
                <w:szCs w:val="21"/>
              </w:rPr>
              <w:t>序号</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b/>
                <w:bCs/>
                <w:szCs w:val="21"/>
              </w:rPr>
            </w:pPr>
            <w:r>
              <w:rPr>
                <w:rFonts w:hint="eastAsia" w:ascii="宋体" w:hAnsi="宋体" w:eastAsia="宋体" w:cs="宋体"/>
                <w:b/>
                <w:bCs/>
                <w:szCs w:val="21"/>
              </w:rPr>
              <w:t>项目</w:t>
            </w:r>
          </w:p>
        </w:tc>
        <w:tc>
          <w:tcPr>
            <w:tcW w:w="6180" w:type="dxa"/>
            <w:tcBorders>
              <w:top w:val="single" w:color="auto" w:sz="4" w:space="0"/>
              <w:left w:val="single" w:color="auto" w:sz="4" w:space="0"/>
              <w:bottom w:val="single" w:color="auto" w:sz="4" w:space="0"/>
              <w:right w:val="single" w:color="auto" w:sz="4" w:space="0"/>
            </w:tcBorders>
          </w:tcPr>
          <w:p>
            <w:pPr>
              <w:spacing w:line="288" w:lineRule="auto"/>
              <w:jc w:val="center"/>
              <w:rPr>
                <w:rFonts w:ascii="宋体" w:hAnsi="宋体" w:eastAsia="宋体" w:cs="宋体"/>
                <w:b/>
                <w:bCs/>
                <w:szCs w:val="21"/>
              </w:rPr>
            </w:pPr>
            <w:r>
              <w:rPr>
                <w:rFonts w:hint="eastAsia" w:ascii="宋体" w:hAnsi="宋体" w:eastAsia="宋体" w:cs="宋体"/>
                <w:b/>
                <w:bCs/>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视频格式</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MOV或MP4格式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2</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视频编码方式(Codec)</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H.264（视频压缩采用H.264 编码方式，封装格式采用MOV）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3</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视频分辨率</w:t>
            </w:r>
          </w:p>
          <w:p>
            <w:pPr>
              <w:spacing w:line="288" w:lineRule="auto"/>
              <w:rPr>
                <w:rFonts w:ascii="宋体" w:hAnsi="宋体" w:eastAsia="宋体" w:cs="宋体"/>
                <w:szCs w:val="21"/>
              </w:rPr>
            </w:pPr>
            <w:r>
              <w:rPr>
                <w:rFonts w:hint="eastAsia" w:ascii="宋体" w:hAnsi="宋体" w:eastAsia="宋体" w:cs="宋体"/>
                <w:szCs w:val="21"/>
              </w:rPr>
              <w:t>(Resolution)</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（1）提交的高清成片，分辨率不低于1080P（1920×1080 像素，16:9）；</w:t>
            </w:r>
          </w:p>
          <w:p>
            <w:pPr>
              <w:spacing w:line="288" w:lineRule="auto"/>
              <w:rPr>
                <w:rFonts w:ascii="宋体" w:hAnsi="宋体" w:eastAsia="宋体" w:cs="宋体"/>
                <w:szCs w:val="21"/>
              </w:rPr>
            </w:pPr>
            <w:r>
              <w:rPr>
                <w:rFonts w:hint="eastAsia" w:ascii="宋体" w:hAnsi="宋体" w:eastAsia="宋体" w:cs="宋体"/>
                <w:szCs w:val="21"/>
              </w:rPr>
              <w:t>（2）单个视频文件大小不能超过1GB，如高清视频文件过大，还同时需要分辨率不低于720x480 像素的标清视频文件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4</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视频帧率</w:t>
            </w:r>
          </w:p>
          <w:p>
            <w:pPr>
              <w:spacing w:line="288" w:lineRule="auto"/>
              <w:rPr>
                <w:rFonts w:ascii="宋体" w:hAnsi="宋体" w:eastAsia="宋体" w:cs="宋体"/>
                <w:szCs w:val="21"/>
              </w:rPr>
            </w:pPr>
            <w:r>
              <w:rPr>
                <w:rFonts w:hint="eastAsia" w:ascii="宋体" w:hAnsi="宋体" w:eastAsia="宋体" w:cs="宋体"/>
                <w:szCs w:val="21"/>
              </w:rPr>
              <w:t>(Frame Rate)</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（1）25 fps 或者 29.97 fps （fps:每秒帧数）；</w:t>
            </w:r>
          </w:p>
          <w:p>
            <w:pPr>
              <w:spacing w:line="288" w:lineRule="auto"/>
              <w:rPr>
                <w:rFonts w:ascii="宋体" w:hAnsi="宋体" w:eastAsia="宋体" w:cs="宋体"/>
                <w:szCs w:val="21"/>
              </w:rPr>
            </w:pPr>
            <w:r>
              <w:rPr>
                <w:rFonts w:hint="eastAsia" w:ascii="宋体" w:hAnsi="宋体" w:eastAsia="宋体" w:cs="宋体"/>
                <w:szCs w:val="21"/>
              </w:rPr>
              <w:t>（2）扫描方式为逐行扫描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5</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视频码率</w:t>
            </w:r>
          </w:p>
          <w:p>
            <w:pPr>
              <w:spacing w:line="288" w:lineRule="auto"/>
              <w:rPr>
                <w:rFonts w:ascii="宋体" w:hAnsi="宋体" w:eastAsia="宋体" w:cs="宋体"/>
                <w:szCs w:val="21"/>
              </w:rPr>
            </w:pPr>
            <w:r>
              <w:rPr>
                <w:rFonts w:hint="eastAsia" w:ascii="宋体" w:hAnsi="宋体" w:eastAsia="宋体" w:cs="宋体"/>
                <w:szCs w:val="21"/>
              </w:rPr>
              <w:t>(Bit Rate)</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不低于 8Mbps</w:t>
            </w:r>
          </w:p>
          <w:p>
            <w:pPr>
              <w:spacing w:line="288" w:lineRule="auto"/>
              <w:rPr>
                <w:rFonts w:ascii="宋体" w:hAnsi="宋体" w:eastAsia="宋体" w:cs="宋体"/>
                <w:szCs w:val="21"/>
              </w:rPr>
            </w:pPr>
            <w:r>
              <w:rPr>
                <w:rFonts w:hint="eastAsia" w:ascii="宋体" w:hAnsi="宋体" w:eastAsia="宋体" w:cs="宋体"/>
                <w:szCs w:val="21"/>
              </w:rPr>
              <w:t>（bps：每秒比特数）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6</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图像效果</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（1）图像不过亮、过暗；</w:t>
            </w:r>
          </w:p>
          <w:p>
            <w:pPr>
              <w:spacing w:line="288" w:lineRule="auto"/>
              <w:rPr>
                <w:rFonts w:ascii="宋体" w:hAnsi="宋体" w:eastAsia="宋体" w:cs="宋体"/>
                <w:szCs w:val="21"/>
              </w:rPr>
            </w:pPr>
            <w:r>
              <w:rPr>
                <w:rFonts w:hint="eastAsia" w:ascii="宋体" w:hAnsi="宋体" w:eastAsia="宋体" w:cs="宋体"/>
                <w:szCs w:val="21"/>
              </w:rPr>
              <w:t>（2）人、物移动时无拖影、耀光现象；</w:t>
            </w:r>
          </w:p>
          <w:p>
            <w:pPr>
              <w:spacing w:line="288" w:lineRule="auto"/>
              <w:rPr>
                <w:rFonts w:ascii="宋体" w:hAnsi="宋体" w:eastAsia="宋体" w:cs="宋体"/>
                <w:szCs w:val="21"/>
              </w:rPr>
            </w:pPr>
            <w:r>
              <w:rPr>
                <w:rFonts w:hint="eastAsia" w:ascii="宋体" w:hAnsi="宋体" w:eastAsia="宋体" w:cs="宋体"/>
                <w:szCs w:val="21"/>
              </w:rPr>
              <w:t>（3）无其它图像质量问题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7</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音频格式</w:t>
            </w:r>
          </w:p>
          <w:p>
            <w:pPr>
              <w:spacing w:line="288" w:lineRule="auto"/>
              <w:rPr>
                <w:rFonts w:ascii="宋体" w:hAnsi="宋体" w:eastAsia="宋体" w:cs="宋体"/>
                <w:szCs w:val="21"/>
              </w:rPr>
            </w:pPr>
            <w:r>
              <w:rPr>
                <w:rFonts w:hint="eastAsia" w:ascii="宋体" w:hAnsi="宋体" w:eastAsia="宋体" w:cs="宋体"/>
                <w:szCs w:val="21"/>
              </w:rPr>
              <w:t>(Audio)</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线性高级音频编码格式，Linear AAC(Advanced Audio Coding)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8</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音频采样率</w:t>
            </w:r>
          </w:p>
          <w:p>
            <w:pPr>
              <w:spacing w:line="288" w:lineRule="auto"/>
              <w:rPr>
                <w:rFonts w:ascii="宋体" w:hAnsi="宋体" w:eastAsia="宋体" w:cs="宋体"/>
                <w:szCs w:val="21"/>
              </w:rPr>
            </w:pPr>
            <w:r>
              <w:rPr>
                <w:rFonts w:hint="eastAsia" w:ascii="宋体" w:hAnsi="宋体" w:eastAsia="宋体" w:cs="宋体"/>
                <w:szCs w:val="21"/>
              </w:rPr>
              <w:t>(Sample Rate)</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采样率不低于48kHz，16位采样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9</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音频码率</w:t>
            </w:r>
          </w:p>
          <w:p>
            <w:pPr>
              <w:spacing w:line="288" w:lineRule="auto"/>
              <w:rPr>
                <w:rFonts w:ascii="宋体" w:hAnsi="宋体" w:eastAsia="宋体" w:cs="宋体"/>
                <w:szCs w:val="21"/>
              </w:rPr>
            </w:pPr>
            <w:r>
              <w:rPr>
                <w:rFonts w:hint="eastAsia" w:ascii="宋体" w:hAnsi="宋体" w:eastAsia="宋体" w:cs="宋体"/>
                <w:szCs w:val="21"/>
              </w:rPr>
              <w:t>(Bit Rate)</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不低于1.4Mbps</w:t>
            </w:r>
          </w:p>
          <w:p>
            <w:pPr>
              <w:spacing w:line="288" w:lineRule="auto"/>
              <w:rPr>
                <w:rFonts w:ascii="宋体" w:hAnsi="宋体" w:eastAsia="宋体" w:cs="宋体"/>
                <w:szCs w:val="21"/>
              </w:rPr>
            </w:pPr>
            <w:r>
              <w:rPr>
                <w:rFonts w:hint="eastAsia" w:ascii="宋体" w:hAnsi="宋体" w:eastAsia="宋体" w:cs="宋体"/>
                <w:szCs w:val="21"/>
              </w:rPr>
              <w:t>（bps：每秒比特数）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10</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音频声道</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应采用双声道，做混音处理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11</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音频信噪比</w:t>
            </w:r>
          </w:p>
          <w:p>
            <w:pPr>
              <w:spacing w:line="288" w:lineRule="auto"/>
              <w:rPr>
                <w:rFonts w:ascii="宋体" w:hAnsi="宋体" w:eastAsia="宋体" w:cs="宋体"/>
                <w:szCs w:val="21"/>
              </w:rPr>
            </w:pPr>
            <w:r>
              <w:rPr>
                <w:rFonts w:hint="eastAsia" w:ascii="宋体" w:hAnsi="宋体" w:eastAsia="宋体" w:cs="宋体"/>
                <w:szCs w:val="21"/>
              </w:rPr>
              <w:t>(SNR)</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大于50dB</w:t>
            </w:r>
          </w:p>
          <w:p>
            <w:pPr>
              <w:spacing w:line="288" w:lineRule="auto"/>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12</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唇音同步</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课程视频的唇音同步时间≥65毫秒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13</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声音效果</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（1）伴音清晰、饱满、圆润，无失真、噪声杂音干扰、音量忽大忽小现象；</w:t>
            </w:r>
          </w:p>
          <w:p>
            <w:pPr>
              <w:spacing w:line="288" w:lineRule="auto"/>
              <w:rPr>
                <w:rFonts w:ascii="宋体" w:hAnsi="宋体" w:eastAsia="宋体" w:cs="宋体"/>
                <w:szCs w:val="21"/>
              </w:rPr>
            </w:pPr>
            <w:r>
              <w:rPr>
                <w:rFonts w:hint="eastAsia" w:ascii="宋体" w:hAnsi="宋体" w:eastAsia="宋体" w:cs="宋体"/>
                <w:szCs w:val="21"/>
              </w:rPr>
              <w:t>（2）解说声与现场声无明显比例失调，解说声与背景音乐无明显比例失调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14</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剪辑</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（1）剪辑衔接自然；</w:t>
            </w:r>
          </w:p>
          <w:p>
            <w:pPr>
              <w:spacing w:line="288" w:lineRule="auto"/>
              <w:rPr>
                <w:rFonts w:ascii="宋体" w:hAnsi="宋体" w:eastAsia="宋体" w:cs="宋体"/>
                <w:szCs w:val="21"/>
              </w:rPr>
            </w:pPr>
            <w:r>
              <w:rPr>
                <w:rFonts w:hint="eastAsia" w:ascii="宋体" w:hAnsi="宋体" w:eastAsia="宋体" w:cs="宋体"/>
                <w:szCs w:val="21"/>
              </w:rPr>
              <w:t>（2）无空白帧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15</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后期动画文字</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（1）后期制作的动画、显示的文字，不能出现错误；</w:t>
            </w:r>
          </w:p>
          <w:p>
            <w:pPr>
              <w:spacing w:line="288" w:lineRule="auto"/>
              <w:rPr>
                <w:rFonts w:ascii="宋体" w:hAnsi="宋体" w:eastAsia="宋体" w:cs="宋体"/>
                <w:szCs w:val="21"/>
              </w:rPr>
            </w:pPr>
            <w:r>
              <w:rPr>
                <w:rFonts w:hint="eastAsia" w:ascii="宋体" w:hAnsi="宋体" w:eastAsia="宋体" w:cs="宋体"/>
                <w:szCs w:val="21"/>
              </w:rPr>
              <w:t>（2）同一门课程中字体风格一致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16</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片头</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（1）时长应不超过10秒；</w:t>
            </w:r>
          </w:p>
          <w:p>
            <w:pPr>
              <w:spacing w:line="288" w:lineRule="auto"/>
              <w:rPr>
                <w:rFonts w:ascii="宋体" w:hAnsi="宋体" w:eastAsia="宋体" w:cs="宋体"/>
                <w:szCs w:val="21"/>
              </w:rPr>
            </w:pPr>
            <w:r>
              <w:rPr>
                <w:rFonts w:hint="eastAsia" w:ascii="宋体" w:hAnsi="宋体" w:eastAsia="宋体" w:cs="宋体"/>
                <w:szCs w:val="21"/>
              </w:rPr>
              <w:t>（2）应使用体现课程所属院校、机构特色的素材；</w:t>
            </w:r>
          </w:p>
          <w:p>
            <w:pPr>
              <w:spacing w:line="288" w:lineRule="auto"/>
              <w:rPr>
                <w:rFonts w:ascii="宋体" w:hAnsi="宋体" w:eastAsia="宋体" w:cs="宋体"/>
                <w:szCs w:val="21"/>
              </w:rPr>
            </w:pPr>
            <w:r>
              <w:rPr>
                <w:rFonts w:hint="eastAsia" w:ascii="宋体" w:hAnsi="宋体" w:eastAsia="宋体" w:cs="宋体"/>
                <w:szCs w:val="21"/>
              </w:rPr>
              <w:t>（3）应包括校名及Logo、课程名称、讲次、主讲教师姓名、专业技术职务、单位等信息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17</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片尾</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（1）时长应不超过10秒；</w:t>
            </w:r>
          </w:p>
          <w:p>
            <w:pPr>
              <w:spacing w:line="288" w:lineRule="auto"/>
              <w:rPr>
                <w:rFonts w:ascii="宋体" w:hAnsi="宋体" w:eastAsia="宋体" w:cs="宋体"/>
                <w:szCs w:val="21"/>
              </w:rPr>
            </w:pPr>
            <w:r>
              <w:rPr>
                <w:rFonts w:hint="eastAsia" w:ascii="宋体" w:hAnsi="宋体" w:eastAsia="宋体" w:cs="宋体"/>
                <w:szCs w:val="21"/>
              </w:rPr>
              <w:t>（2）应包括版权单位、制作单位、录制时间、可以有鸣谢单位或个人信息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18</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视频LOGO</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视频的相应位置应加上课程所属院校、机构统一设计的Logo标志，标志应明显、且不影响视频内容的显示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ascii="宋体" w:hAnsi="宋体" w:eastAsia="宋体" w:cs="宋体"/>
                <w:szCs w:val="21"/>
              </w:rPr>
            </w:pPr>
            <w:r>
              <w:rPr>
                <w:rFonts w:hint="eastAsia" w:ascii="宋体" w:hAnsi="宋体" w:eastAsia="宋体" w:cs="宋体"/>
                <w:szCs w:val="21"/>
              </w:rPr>
              <w:t>19</w:t>
            </w:r>
          </w:p>
        </w:tc>
        <w:tc>
          <w:tcPr>
            <w:tcW w:w="1865" w:type="dxa"/>
            <w:tcBorders>
              <w:top w:val="single" w:color="auto" w:sz="4" w:space="0"/>
              <w:left w:val="single" w:color="auto" w:sz="4" w:space="0"/>
              <w:bottom w:val="single" w:color="auto" w:sz="4" w:space="0"/>
              <w:right w:val="single" w:color="auto" w:sz="4" w:space="0"/>
            </w:tcBorders>
            <w:vAlign w:val="center"/>
          </w:tcPr>
          <w:p>
            <w:pPr>
              <w:spacing w:line="288" w:lineRule="auto"/>
              <w:rPr>
                <w:rFonts w:ascii="宋体" w:hAnsi="宋体" w:eastAsia="宋体" w:cs="宋体"/>
                <w:szCs w:val="21"/>
              </w:rPr>
            </w:pPr>
            <w:r>
              <w:rPr>
                <w:rFonts w:hint="eastAsia" w:ascii="宋体" w:hAnsi="宋体" w:eastAsia="宋体" w:cs="宋体"/>
                <w:szCs w:val="21"/>
              </w:rPr>
              <w:t>视频长度</w:t>
            </w:r>
          </w:p>
        </w:tc>
        <w:tc>
          <w:tcPr>
            <w:tcW w:w="6180" w:type="dxa"/>
            <w:tcBorders>
              <w:top w:val="single" w:color="auto" w:sz="4" w:space="0"/>
              <w:left w:val="single" w:color="auto" w:sz="4" w:space="0"/>
              <w:bottom w:val="single" w:color="auto" w:sz="4" w:space="0"/>
              <w:right w:val="single" w:color="auto" w:sz="4" w:space="0"/>
            </w:tcBorders>
          </w:tcPr>
          <w:p>
            <w:pPr>
              <w:spacing w:line="288" w:lineRule="auto"/>
              <w:rPr>
                <w:rFonts w:ascii="宋体" w:hAnsi="宋体" w:eastAsia="宋体" w:cs="宋体"/>
                <w:szCs w:val="21"/>
              </w:rPr>
            </w:pPr>
            <w:r>
              <w:rPr>
                <w:rFonts w:hint="eastAsia" w:ascii="宋体" w:hAnsi="宋体" w:eastAsia="宋体" w:cs="宋体"/>
                <w:szCs w:val="21"/>
              </w:rPr>
              <w:t>5~15分钟之间</w:t>
            </w:r>
          </w:p>
        </w:tc>
      </w:tr>
    </w:tbl>
    <w:p>
      <w:pPr>
        <w:spacing w:line="360" w:lineRule="auto"/>
        <w:ind w:firstLine="482" w:firstLineChars="200"/>
        <w:rPr>
          <w:rFonts w:ascii="宋体" w:hAnsi="宋体" w:eastAsia="宋体" w:cs="宋体"/>
          <w:b/>
          <w:bCs/>
          <w:sz w:val="24"/>
          <w:szCs w:val="24"/>
        </w:rPr>
      </w:pPr>
      <w:bookmarkStart w:id="6" w:name="_Toc20261"/>
      <w:r>
        <w:rPr>
          <w:rFonts w:hint="eastAsia" w:ascii="宋体" w:hAnsi="宋体" w:eastAsia="宋体" w:cs="宋体"/>
          <w:b/>
          <w:bCs/>
          <w:sz w:val="24"/>
          <w:szCs w:val="24"/>
        </w:rPr>
        <w:t>4.课程运行推广要求</w:t>
      </w:r>
      <w:bookmarkEnd w:id="6"/>
    </w:p>
    <w:p>
      <w:pPr>
        <w:spacing w:line="360" w:lineRule="auto"/>
        <w:ind w:firstLine="435"/>
        <w:rPr>
          <w:rFonts w:ascii="宋体" w:hAnsi="宋体" w:eastAsia="宋体" w:cs="宋体"/>
          <w:sz w:val="24"/>
          <w:szCs w:val="24"/>
        </w:rPr>
      </w:pPr>
      <w:r>
        <w:rPr>
          <w:rFonts w:hint="eastAsia" w:ascii="宋体" w:hAnsi="宋体" w:eastAsia="宋体" w:cs="宋体"/>
          <w:sz w:val="24"/>
          <w:szCs w:val="24"/>
        </w:rPr>
        <w:t>（1）投标人须具有专业的课程制作和课程运行团队进行课程的设计、包装、开发、制作及上线、运行服务。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★（2）投标人协助课程负责人将所制作的课程在国内主流慕课平台（有MOOC获得过国家精品在线开放课程）上线，并协助教师进行课程运行、管理、统计与分析</w:t>
      </w:r>
      <w:r>
        <w:rPr>
          <w:rFonts w:hint="eastAsia" w:ascii="宋体" w:hAnsi="宋体" w:eastAsia="宋体" w:cs="宋体"/>
          <w:b/>
          <w:bCs/>
          <w:sz w:val="24"/>
          <w:szCs w:val="24"/>
        </w:rPr>
        <w:t>，需提供能够证明协助高校教师建设申报并获得国家精品在线开放课程（至少</w:t>
      </w:r>
      <w:r>
        <w:rPr>
          <w:rFonts w:ascii="宋体" w:hAnsi="宋体" w:eastAsia="宋体" w:cs="宋体"/>
          <w:b/>
          <w:bCs/>
          <w:sz w:val="24"/>
          <w:szCs w:val="24"/>
        </w:rPr>
        <w:t>5门）所作服务的有效证明材料，以及国家精品在线开放课程工作网公示截图</w:t>
      </w:r>
      <w:r>
        <w:rPr>
          <w:rFonts w:hint="eastAsia" w:ascii="宋体" w:hAnsi="宋体" w:eastAsia="宋体" w:cs="宋体"/>
          <w:b/>
          <w:bCs/>
          <w:sz w:val="24"/>
          <w:szCs w:val="24"/>
        </w:rPr>
        <w:t>。</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（3）投标人提供课程建设及运行服务：须保留教师的使用习惯及不影响原课程往期教学过程中已产生的教学运行数据的连续性，教师原有课程视频更新后，运行平台能够保留原有网络课程教学数据。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（4）投标投标人必须按照国家精品在线开放课程要求对所拍摄的课程进行免费运营和推广服务，运行效果达到安徽省质量工程课程结题最新验收标准。</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1504"/>
        <w:gridCol w:w="6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303" w:type="dxa"/>
            <w:vAlign w:val="center"/>
          </w:tcPr>
          <w:p>
            <w:pPr>
              <w:spacing w:line="288" w:lineRule="auto"/>
              <w:jc w:val="center"/>
              <w:rPr>
                <w:rFonts w:ascii="宋体" w:hAnsi="宋体" w:eastAsia="宋体" w:cs="宋体"/>
                <w:b/>
                <w:bCs/>
                <w:color w:val="000000"/>
                <w:szCs w:val="21"/>
              </w:rPr>
            </w:pPr>
            <w:r>
              <w:rPr>
                <w:rFonts w:hint="eastAsia" w:ascii="宋体" w:hAnsi="宋体" w:eastAsia="宋体" w:cs="宋体"/>
                <w:b/>
                <w:bCs/>
                <w:color w:val="000000"/>
                <w:szCs w:val="21"/>
              </w:rPr>
              <w:t>一级指标</w:t>
            </w:r>
          </w:p>
        </w:tc>
        <w:tc>
          <w:tcPr>
            <w:tcW w:w="1504" w:type="dxa"/>
            <w:vAlign w:val="center"/>
          </w:tcPr>
          <w:p>
            <w:pPr>
              <w:spacing w:line="288" w:lineRule="auto"/>
              <w:jc w:val="center"/>
              <w:rPr>
                <w:rFonts w:ascii="宋体" w:hAnsi="宋体" w:eastAsia="宋体" w:cs="宋体"/>
                <w:b/>
                <w:bCs/>
                <w:color w:val="000000"/>
                <w:szCs w:val="21"/>
              </w:rPr>
            </w:pPr>
            <w:r>
              <w:rPr>
                <w:rFonts w:hint="eastAsia" w:ascii="宋体" w:hAnsi="宋体" w:eastAsia="宋体" w:cs="宋体"/>
                <w:b/>
                <w:bCs/>
                <w:color w:val="000000"/>
                <w:szCs w:val="21"/>
              </w:rPr>
              <w:t>二级指标</w:t>
            </w:r>
          </w:p>
        </w:tc>
        <w:tc>
          <w:tcPr>
            <w:tcW w:w="6251" w:type="dxa"/>
            <w:vAlign w:val="center"/>
          </w:tcPr>
          <w:p>
            <w:pPr>
              <w:spacing w:line="288" w:lineRule="auto"/>
              <w:jc w:val="center"/>
              <w:rPr>
                <w:rFonts w:ascii="宋体" w:hAnsi="宋体" w:eastAsia="宋体" w:cs="宋体"/>
                <w:b/>
                <w:bCs/>
                <w:color w:val="000000"/>
                <w:szCs w:val="21"/>
              </w:rPr>
            </w:pPr>
            <w:r>
              <w:rPr>
                <w:rFonts w:hint="eastAsia" w:ascii="宋体" w:hAnsi="宋体" w:eastAsia="宋体" w:cs="宋体"/>
                <w:b/>
                <w:bCs/>
                <w:color w:val="000000"/>
                <w:szCs w:val="21"/>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1" w:hRule="atLeast"/>
          <w:jc w:val="center"/>
        </w:trPr>
        <w:tc>
          <w:tcPr>
            <w:tcW w:w="1303" w:type="dxa"/>
            <w:vMerge w:val="restart"/>
            <w:vAlign w:val="center"/>
          </w:tcPr>
          <w:p>
            <w:pPr>
              <w:spacing w:line="288" w:lineRule="auto"/>
              <w:jc w:val="center"/>
              <w:rPr>
                <w:rFonts w:ascii="宋体" w:hAnsi="宋体" w:eastAsia="宋体" w:cs="宋体"/>
                <w:color w:val="000000"/>
                <w:szCs w:val="21"/>
              </w:rPr>
            </w:pPr>
            <w:r>
              <w:rPr>
                <w:rFonts w:hint="eastAsia" w:ascii="宋体" w:hAnsi="宋体" w:eastAsia="宋体" w:cs="宋体"/>
                <w:color w:val="000000"/>
                <w:szCs w:val="21"/>
              </w:rPr>
              <w:t>课程建设</w:t>
            </w:r>
          </w:p>
        </w:tc>
        <w:tc>
          <w:tcPr>
            <w:tcW w:w="1504" w:type="dxa"/>
            <w:vAlign w:val="center"/>
          </w:tcPr>
          <w:p>
            <w:pPr>
              <w:spacing w:line="288" w:lineRule="auto"/>
              <w:jc w:val="center"/>
              <w:rPr>
                <w:rFonts w:ascii="宋体" w:hAnsi="宋体" w:eastAsia="宋体" w:cs="宋体"/>
                <w:color w:val="000000"/>
                <w:szCs w:val="21"/>
              </w:rPr>
            </w:pPr>
            <w:r>
              <w:rPr>
                <w:rFonts w:hint="eastAsia" w:ascii="宋体" w:hAnsi="宋体" w:eastAsia="宋体" w:cs="宋体"/>
                <w:color w:val="000000"/>
                <w:szCs w:val="21"/>
              </w:rPr>
              <w:t>视频资源</w:t>
            </w:r>
          </w:p>
        </w:tc>
        <w:tc>
          <w:tcPr>
            <w:tcW w:w="6251" w:type="dxa"/>
            <w:vAlign w:val="center"/>
          </w:tcPr>
          <w:p>
            <w:pPr>
              <w:spacing w:line="288" w:lineRule="auto"/>
              <w:rPr>
                <w:rFonts w:ascii="宋体" w:hAnsi="宋体" w:eastAsia="宋体" w:cs="宋体"/>
                <w:color w:val="000000"/>
                <w:szCs w:val="21"/>
              </w:rPr>
            </w:pPr>
            <w:r>
              <w:rPr>
                <w:rFonts w:hint="eastAsia" w:ascii="宋体" w:hAnsi="宋体" w:eastAsia="宋体" w:cs="宋体"/>
                <w:color w:val="000000"/>
                <w:szCs w:val="21"/>
              </w:rPr>
              <w:t>1.视频内容：课程视频内容包含课程教学大纲完整章节内容，教学内容科学、准确，弘扬社会主义核心价值观；</w:t>
            </w:r>
          </w:p>
          <w:p>
            <w:pPr>
              <w:spacing w:line="288" w:lineRule="auto"/>
              <w:rPr>
                <w:rFonts w:ascii="宋体" w:hAnsi="宋体" w:eastAsia="宋体" w:cs="宋体"/>
                <w:color w:val="000000"/>
                <w:szCs w:val="21"/>
              </w:rPr>
            </w:pPr>
            <w:r>
              <w:rPr>
                <w:rFonts w:hint="eastAsia" w:ascii="宋体" w:hAnsi="宋体" w:eastAsia="宋体" w:cs="宋体"/>
                <w:color w:val="000000"/>
                <w:szCs w:val="21"/>
              </w:rPr>
              <w:t>2.视频时长：总时长原则上≥480分钟；</w:t>
            </w:r>
          </w:p>
          <w:p>
            <w:pPr>
              <w:spacing w:line="288" w:lineRule="auto"/>
              <w:rPr>
                <w:rFonts w:ascii="宋体" w:hAnsi="宋体" w:eastAsia="宋体" w:cs="宋体"/>
                <w:color w:val="000000"/>
                <w:szCs w:val="21"/>
              </w:rPr>
            </w:pPr>
            <w:r>
              <w:rPr>
                <w:rFonts w:hint="eastAsia" w:ascii="宋体" w:hAnsi="宋体" w:eastAsia="宋体" w:cs="宋体"/>
                <w:color w:val="000000"/>
                <w:szCs w:val="21"/>
              </w:rPr>
              <w:t>3.技术规范：参照《安徽省MOOC示范项目课程建设规范及标准》执行；</w:t>
            </w:r>
          </w:p>
          <w:p>
            <w:pPr>
              <w:spacing w:line="288" w:lineRule="auto"/>
              <w:rPr>
                <w:rFonts w:ascii="宋体" w:hAnsi="宋体" w:eastAsia="宋体" w:cs="宋体"/>
                <w:color w:val="000000"/>
                <w:szCs w:val="21"/>
              </w:rPr>
            </w:pPr>
            <w:r>
              <w:rPr>
                <w:rFonts w:hint="eastAsia" w:ascii="宋体" w:hAnsi="宋体" w:eastAsia="宋体" w:cs="宋体"/>
                <w:color w:val="000000"/>
                <w:szCs w:val="21"/>
              </w:rPr>
              <w:t>4.知识产权：无侵权行为。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vMerge w:val="continue"/>
          </w:tcPr>
          <w:p>
            <w:pPr>
              <w:spacing w:line="288" w:lineRule="auto"/>
              <w:jc w:val="center"/>
              <w:rPr>
                <w:rFonts w:ascii="宋体" w:hAnsi="宋体" w:eastAsia="宋体" w:cs="宋体"/>
                <w:color w:val="000000"/>
                <w:szCs w:val="21"/>
              </w:rPr>
            </w:pPr>
          </w:p>
        </w:tc>
        <w:tc>
          <w:tcPr>
            <w:tcW w:w="1504" w:type="dxa"/>
            <w:vAlign w:val="center"/>
          </w:tcPr>
          <w:p>
            <w:pPr>
              <w:spacing w:line="288" w:lineRule="auto"/>
              <w:jc w:val="center"/>
              <w:rPr>
                <w:rFonts w:ascii="宋体" w:hAnsi="宋体" w:eastAsia="宋体" w:cs="宋体"/>
                <w:color w:val="000000"/>
                <w:szCs w:val="21"/>
              </w:rPr>
            </w:pPr>
            <w:r>
              <w:rPr>
                <w:rFonts w:hint="eastAsia" w:ascii="宋体" w:hAnsi="宋体" w:eastAsia="宋体" w:cs="宋体"/>
                <w:color w:val="000000"/>
                <w:szCs w:val="21"/>
              </w:rPr>
              <w:t>非视频资源</w:t>
            </w:r>
          </w:p>
        </w:tc>
        <w:tc>
          <w:tcPr>
            <w:tcW w:w="6251" w:type="dxa"/>
            <w:vAlign w:val="center"/>
          </w:tcPr>
          <w:p>
            <w:pPr>
              <w:spacing w:line="288" w:lineRule="auto"/>
              <w:rPr>
                <w:rFonts w:ascii="宋体" w:hAnsi="宋体" w:eastAsia="宋体" w:cs="宋体"/>
                <w:color w:val="000000"/>
                <w:szCs w:val="21"/>
              </w:rPr>
            </w:pPr>
            <w:r>
              <w:rPr>
                <w:rFonts w:hint="eastAsia" w:ascii="宋体" w:hAnsi="宋体" w:eastAsia="宋体" w:cs="宋体"/>
                <w:color w:val="000000"/>
                <w:szCs w:val="21"/>
              </w:rPr>
              <w:t>1.完备性：包含课程介绍、课程公告、教学大纲、课件、参考资料、讨论、测试和作业、考试等；</w:t>
            </w:r>
          </w:p>
          <w:p>
            <w:pPr>
              <w:spacing w:line="288" w:lineRule="auto"/>
              <w:rPr>
                <w:rFonts w:ascii="宋体" w:hAnsi="宋体" w:eastAsia="宋体" w:cs="宋体"/>
                <w:color w:val="000000"/>
                <w:szCs w:val="21"/>
              </w:rPr>
            </w:pPr>
            <w:r>
              <w:rPr>
                <w:rFonts w:hint="eastAsia" w:ascii="宋体" w:hAnsi="宋体" w:eastAsia="宋体" w:cs="宋体"/>
                <w:color w:val="000000"/>
                <w:szCs w:val="21"/>
              </w:rPr>
              <w:t>2.资源数量：非视频资源数量原则上≥50个/周期；</w:t>
            </w:r>
          </w:p>
          <w:p>
            <w:pPr>
              <w:spacing w:line="288" w:lineRule="auto"/>
              <w:rPr>
                <w:rFonts w:ascii="宋体" w:hAnsi="宋体" w:eastAsia="宋体" w:cs="宋体"/>
                <w:color w:val="000000"/>
                <w:szCs w:val="21"/>
              </w:rPr>
            </w:pPr>
            <w:r>
              <w:rPr>
                <w:rFonts w:hint="eastAsia" w:ascii="宋体" w:hAnsi="宋体" w:eastAsia="宋体" w:cs="宋体"/>
                <w:color w:val="000000"/>
                <w:szCs w:val="21"/>
              </w:rPr>
              <w:t>3.技术规范：参照《安徽省MOOC示范项目课程建设规范及标准》执行；</w:t>
            </w:r>
          </w:p>
          <w:p>
            <w:pPr>
              <w:spacing w:line="288" w:lineRule="auto"/>
              <w:rPr>
                <w:rFonts w:ascii="宋体" w:hAnsi="宋体" w:eastAsia="宋体" w:cs="宋体"/>
                <w:color w:val="000000"/>
                <w:szCs w:val="21"/>
              </w:rPr>
            </w:pPr>
            <w:r>
              <w:rPr>
                <w:rFonts w:hint="eastAsia" w:ascii="宋体" w:hAnsi="宋体" w:eastAsia="宋体" w:cs="宋体"/>
                <w:color w:val="000000"/>
                <w:szCs w:val="21"/>
              </w:rPr>
              <w:t>4.知识产权：无侵权行为。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303" w:type="dxa"/>
            <w:vMerge w:val="restart"/>
            <w:vAlign w:val="center"/>
          </w:tcPr>
          <w:p>
            <w:pPr>
              <w:spacing w:line="288" w:lineRule="auto"/>
              <w:jc w:val="center"/>
              <w:rPr>
                <w:rFonts w:ascii="宋体" w:hAnsi="宋体" w:eastAsia="宋体" w:cs="宋体"/>
                <w:color w:val="000000"/>
                <w:szCs w:val="21"/>
              </w:rPr>
            </w:pPr>
            <w:r>
              <w:rPr>
                <w:rFonts w:hint="eastAsia" w:ascii="宋体" w:hAnsi="宋体" w:eastAsia="宋体" w:cs="宋体"/>
                <w:color w:val="000000"/>
                <w:szCs w:val="21"/>
              </w:rPr>
              <w:t>课程应用</w:t>
            </w:r>
          </w:p>
        </w:tc>
        <w:tc>
          <w:tcPr>
            <w:tcW w:w="1504" w:type="dxa"/>
            <w:vAlign w:val="center"/>
          </w:tcPr>
          <w:p>
            <w:pPr>
              <w:spacing w:line="288" w:lineRule="auto"/>
              <w:jc w:val="center"/>
              <w:rPr>
                <w:rFonts w:ascii="宋体" w:hAnsi="宋体" w:eastAsia="宋体" w:cs="宋体"/>
                <w:color w:val="000000"/>
                <w:szCs w:val="21"/>
              </w:rPr>
            </w:pPr>
            <w:r>
              <w:rPr>
                <w:rFonts w:hint="eastAsia" w:ascii="宋体" w:hAnsi="宋体" w:eastAsia="宋体" w:cs="宋体"/>
                <w:color w:val="000000"/>
                <w:szCs w:val="21"/>
              </w:rPr>
              <w:t>运行平台及周期</w:t>
            </w:r>
          </w:p>
        </w:tc>
        <w:tc>
          <w:tcPr>
            <w:tcW w:w="6251" w:type="dxa"/>
            <w:vAlign w:val="center"/>
          </w:tcPr>
          <w:p>
            <w:pPr>
              <w:spacing w:line="288" w:lineRule="auto"/>
              <w:rPr>
                <w:rFonts w:ascii="宋体" w:hAnsi="宋体" w:eastAsia="宋体" w:cs="宋体"/>
                <w:color w:val="000000"/>
                <w:szCs w:val="21"/>
              </w:rPr>
            </w:pPr>
            <w:r>
              <w:rPr>
                <w:rFonts w:hint="eastAsia" w:ascii="宋体" w:hAnsi="宋体" w:eastAsia="宋体" w:cs="宋体"/>
                <w:color w:val="000000"/>
                <w:szCs w:val="21"/>
              </w:rPr>
              <w:t>在国内外主流网络课程平台上线，并至少运行2个完整教学周期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7" w:hRule="atLeast"/>
          <w:jc w:val="center"/>
        </w:trPr>
        <w:tc>
          <w:tcPr>
            <w:tcW w:w="1303" w:type="dxa"/>
            <w:vMerge w:val="continue"/>
          </w:tcPr>
          <w:p>
            <w:pPr>
              <w:spacing w:line="288" w:lineRule="auto"/>
              <w:rPr>
                <w:rFonts w:ascii="宋体" w:hAnsi="宋体" w:eastAsia="宋体" w:cs="宋体"/>
                <w:color w:val="000000"/>
                <w:szCs w:val="21"/>
              </w:rPr>
            </w:pPr>
          </w:p>
        </w:tc>
        <w:tc>
          <w:tcPr>
            <w:tcW w:w="1504" w:type="dxa"/>
            <w:vAlign w:val="center"/>
          </w:tcPr>
          <w:p>
            <w:pPr>
              <w:spacing w:line="288" w:lineRule="auto"/>
              <w:jc w:val="center"/>
              <w:rPr>
                <w:rFonts w:ascii="宋体" w:hAnsi="宋体" w:eastAsia="宋体" w:cs="宋体"/>
                <w:color w:val="000000"/>
                <w:szCs w:val="21"/>
              </w:rPr>
            </w:pPr>
            <w:r>
              <w:rPr>
                <w:rFonts w:hint="eastAsia" w:ascii="宋体" w:hAnsi="宋体" w:eastAsia="宋体" w:cs="宋体"/>
                <w:color w:val="000000"/>
                <w:szCs w:val="21"/>
              </w:rPr>
              <w:t>教学活动与指导</w:t>
            </w:r>
          </w:p>
        </w:tc>
        <w:tc>
          <w:tcPr>
            <w:tcW w:w="6251" w:type="dxa"/>
            <w:vAlign w:val="center"/>
          </w:tcPr>
          <w:p>
            <w:pPr>
              <w:spacing w:line="288" w:lineRule="auto"/>
              <w:rPr>
                <w:rFonts w:ascii="宋体" w:hAnsi="宋体" w:eastAsia="宋体" w:cs="宋体"/>
                <w:color w:val="000000"/>
                <w:szCs w:val="21"/>
              </w:rPr>
            </w:pPr>
            <w:r>
              <w:rPr>
                <w:rFonts w:hint="eastAsia" w:ascii="宋体" w:hAnsi="宋体" w:eastAsia="宋体" w:cs="宋体"/>
                <w:color w:val="000000"/>
                <w:szCs w:val="21"/>
              </w:rPr>
              <w:t>基于网络课程平台，教师为学习者提供测验、作业、考试、答疑、讨论等教学组织活动，及时开展在线指导与测评。各项教学活动完整、有效，按计划实施，师生互动充分，能有效促进师生之间、学生之间进行资源共享、互动交流和自主式与协作式学习。在一个教学周期内，课程数据原则上应满足如下要求：</w:t>
            </w:r>
          </w:p>
          <w:p>
            <w:pPr>
              <w:spacing w:line="288" w:lineRule="auto"/>
              <w:rPr>
                <w:rFonts w:ascii="宋体" w:hAnsi="宋体" w:eastAsia="宋体" w:cs="宋体"/>
                <w:color w:val="000000"/>
                <w:szCs w:val="21"/>
              </w:rPr>
            </w:pPr>
            <w:r>
              <w:rPr>
                <w:rFonts w:hint="eastAsia" w:ascii="宋体" w:hAnsi="宋体" w:eastAsia="宋体" w:cs="宋体"/>
                <w:color w:val="000000"/>
                <w:szCs w:val="21"/>
              </w:rPr>
              <w:t>1.课程公告：次数≥10次；</w:t>
            </w:r>
          </w:p>
          <w:p>
            <w:pPr>
              <w:spacing w:line="288" w:lineRule="auto"/>
              <w:rPr>
                <w:rFonts w:ascii="宋体" w:hAnsi="宋体" w:eastAsia="宋体" w:cs="宋体"/>
                <w:color w:val="000000"/>
                <w:szCs w:val="21"/>
              </w:rPr>
            </w:pPr>
            <w:r>
              <w:rPr>
                <w:rFonts w:hint="eastAsia" w:ascii="宋体" w:hAnsi="宋体" w:eastAsia="宋体" w:cs="宋体"/>
                <w:color w:val="000000"/>
                <w:szCs w:val="21"/>
              </w:rPr>
              <w:t>2.测验和作业：总次数≥30次，总参与人次≥1000人；</w:t>
            </w:r>
          </w:p>
          <w:p>
            <w:pPr>
              <w:spacing w:line="288" w:lineRule="auto"/>
              <w:rPr>
                <w:rFonts w:ascii="宋体" w:hAnsi="宋体" w:eastAsia="宋体" w:cs="宋体"/>
                <w:color w:val="000000"/>
                <w:szCs w:val="21"/>
              </w:rPr>
            </w:pPr>
            <w:r>
              <w:rPr>
                <w:rFonts w:hint="eastAsia" w:ascii="宋体" w:hAnsi="宋体" w:eastAsia="宋体" w:cs="宋体"/>
                <w:color w:val="000000"/>
                <w:szCs w:val="21"/>
              </w:rPr>
              <w:t>3.互动与讨论：教师发帖数≥30帖，发帖总数≥100帖，总参与人次≥400人；</w:t>
            </w:r>
          </w:p>
          <w:p>
            <w:pPr>
              <w:spacing w:line="288" w:lineRule="auto"/>
              <w:rPr>
                <w:rFonts w:ascii="宋体" w:hAnsi="宋体" w:eastAsia="宋体" w:cs="宋体"/>
                <w:color w:val="000000"/>
                <w:szCs w:val="21"/>
              </w:rPr>
            </w:pPr>
            <w:r>
              <w:rPr>
                <w:rFonts w:hint="eastAsia" w:ascii="宋体" w:hAnsi="宋体" w:eastAsia="宋体" w:cs="宋体"/>
                <w:color w:val="000000"/>
                <w:szCs w:val="21"/>
              </w:rPr>
              <w:t>4.考试：次数≥1次，总参与人次≥200人。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303" w:type="dxa"/>
            <w:vMerge w:val="continue"/>
          </w:tcPr>
          <w:p>
            <w:pPr>
              <w:spacing w:line="288" w:lineRule="auto"/>
              <w:rPr>
                <w:rFonts w:ascii="宋体" w:hAnsi="宋体" w:eastAsia="宋体" w:cs="宋体"/>
                <w:color w:val="000000"/>
                <w:szCs w:val="21"/>
              </w:rPr>
            </w:pPr>
          </w:p>
        </w:tc>
        <w:tc>
          <w:tcPr>
            <w:tcW w:w="1504" w:type="dxa"/>
            <w:vAlign w:val="center"/>
          </w:tcPr>
          <w:p>
            <w:pPr>
              <w:spacing w:line="288" w:lineRule="auto"/>
              <w:jc w:val="center"/>
              <w:rPr>
                <w:rFonts w:ascii="宋体" w:hAnsi="宋体" w:eastAsia="宋体" w:cs="宋体"/>
                <w:color w:val="000000"/>
                <w:szCs w:val="21"/>
              </w:rPr>
            </w:pPr>
            <w:r>
              <w:rPr>
                <w:rFonts w:hint="eastAsia" w:ascii="宋体" w:hAnsi="宋体" w:eastAsia="宋体" w:cs="宋体"/>
                <w:color w:val="000000"/>
                <w:szCs w:val="21"/>
              </w:rPr>
              <w:t>教学效果与影响</w:t>
            </w:r>
          </w:p>
        </w:tc>
        <w:tc>
          <w:tcPr>
            <w:tcW w:w="6251" w:type="dxa"/>
            <w:vAlign w:val="center"/>
          </w:tcPr>
          <w:p>
            <w:pPr>
              <w:spacing w:line="288" w:lineRule="auto"/>
              <w:rPr>
                <w:rFonts w:ascii="宋体" w:hAnsi="宋体" w:eastAsia="宋体" w:cs="宋体"/>
                <w:color w:val="000000"/>
                <w:szCs w:val="21"/>
              </w:rPr>
            </w:pPr>
            <w:r>
              <w:rPr>
                <w:rFonts w:hint="eastAsia" w:ascii="宋体" w:hAnsi="宋体" w:eastAsia="宋体" w:cs="宋体"/>
                <w:color w:val="000000"/>
                <w:szCs w:val="21"/>
              </w:rPr>
              <w:t>课程共享范围广泛，应用模式多样，线上线下应用结合效果较好，能切实提高教学质量，在同类课程中具有一定的影响力。教学效果与影响应满足如下要求：</w:t>
            </w:r>
          </w:p>
          <w:p>
            <w:pPr>
              <w:spacing w:line="288" w:lineRule="auto"/>
              <w:rPr>
                <w:rFonts w:ascii="宋体" w:hAnsi="宋体" w:eastAsia="宋体" w:cs="宋体"/>
                <w:color w:val="000000"/>
                <w:szCs w:val="21"/>
              </w:rPr>
            </w:pPr>
            <w:r>
              <w:rPr>
                <w:rFonts w:hint="eastAsia" w:ascii="宋体" w:hAnsi="宋体" w:eastAsia="宋体" w:cs="宋体"/>
                <w:color w:val="000000"/>
                <w:szCs w:val="21"/>
              </w:rPr>
              <w:t>1.原则上学习总人次≥1000人（多个教学周期累加）；</w:t>
            </w:r>
          </w:p>
          <w:p>
            <w:pPr>
              <w:spacing w:line="288" w:lineRule="auto"/>
              <w:rPr>
                <w:rFonts w:ascii="宋体" w:hAnsi="宋体" w:eastAsia="宋体" w:cs="宋体"/>
                <w:color w:val="000000"/>
                <w:szCs w:val="21"/>
              </w:rPr>
            </w:pPr>
            <w:r>
              <w:rPr>
                <w:rFonts w:hint="eastAsia" w:ascii="宋体" w:hAnsi="宋体" w:eastAsia="宋体" w:cs="宋体"/>
                <w:color w:val="000000"/>
                <w:szCs w:val="21"/>
              </w:rPr>
              <w:t>2.课程应用模式多样，除在线学习外，还应用于翻转教学、SPOC教学等；</w:t>
            </w:r>
          </w:p>
          <w:p>
            <w:pPr>
              <w:spacing w:line="288" w:lineRule="auto"/>
              <w:rPr>
                <w:rFonts w:ascii="宋体" w:hAnsi="宋体" w:eastAsia="宋体" w:cs="宋体"/>
                <w:color w:val="000000"/>
                <w:szCs w:val="21"/>
              </w:rPr>
            </w:pPr>
            <w:r>
              <w:rPr>
                <w:rFonts w:hint="eastAsia" w:ascii="宋体" w:hAnsi="宋体" w:eastAsia="宋体" w:cs="宋体"/>
                <w:color w:val="000000"/>
                <w:szCs w:val="21"/>
              </w:rPr>
              <w:t>3.课程共享范围广，除社会学习者外，在别的高校也获得应用。</w:t>
            </w:r>
          </w:p>
        </w:tc>
      </w:tr>
    </w:tbl>
    <w:p>
      <w:pPr>
        <w:spacing w:line="360" w:lineRule="auto"/>
        <w:ind w:firstLine="482" w:firstLineChars="200"/>
        <w:rPr>
          <w:rFonts w:ascii="宋体" w:hAnsi="宋体" w:eastAsia="宋体" w:cs="宋体"/>
          <w:b/>
          <w:bCs/>
          <w:sz w:val="24"/>
          <w:szCs w:val="24"/>
        </w:rPr>
      </w:pPr>
      <w:bookmarkStart w:id="7" w:name="_Toc4513"/>
      <w:r>
        <w:rPr>
          <w:rFonts w:hint="eastAsia" w:ascii="宋体" w:hAnsi="宋体" w:eastAsia="宋体" w:cs="宋体"/>
          <w:b/>
          <w:bCs/>
          <w:sz w:val="24"/>
          <w:szCs w:val="24"/>
        </w:rPr>
        <w:t>5.提供网络课程运行平台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（1）学校教学管理功能要求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1.1 提供学校专属站点和域名，支持定制学校个性化课程网站，学生可通过个性化网站进行登录。</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1.2 站点数据独立存储、独立维护，保障各学校站点之间互不冲突。所有数据实时备份，保障数据安全。</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1.3 支持各站点更新维护，并保证更新维护不影响数据。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1.4 设置管理员、教师、学生三个用户角色并赋予不同用户权限：管理员可以添加、编辑、锁定、删除二级管理员、教师和学生账号；可以模拟教师和学生登录；教师可以在课程下添加和删除学生，不影响后台数据。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1.5 支持在平台上自主选课，学校可以根据需要限定每人选课门数、学分数上限以及每门课程选课人数上限。支持学生选课前试听课程。支持限时退选，教师可设置是否自主选课，是否允许退选。平台支持必修课直接导入。</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1.6 平台支持学生信息数据的统一导入与学习成绩的统一导出，提供数据模板。</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1.7 学生考核包含视频、作业、考试、在线阅读多个维度，要求能根据学校需要统一设置，也能根据不同课程分别设置。</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1.8 平台支持对助教教师及学生的行为进行记录与分析。包括学生使用各模块学习的时间分配、学习次数，学生学习教学资料、参与辅助教学的情况汇总；提供教师工作行为记录分析，包括教师使用各模块教学的时间分配、教学次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1.9 采用多种手段对某一课程的教学效果进行在线实时统计，对班级成绩进行统计分析，对教师、学生行为进行统计分析，支持表单和图表样式显示结果，可以导出统计结果。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1.10 支持课程评价与问卷调查功能。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1.11 管理员可在后台设置相应的开课审核机制，根据实际情况选择开课管理，可选择手动审批可或自动审批。</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（2）学生在线学习要求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2.1 课程视频需支持闯关式教学。学生必须完成当前任务后方可进入下一环节。系统还需支持一键式取消闯关模式，在取消闯关模式后学生可自由进行学习。</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2.2 课程支持复习模式，允许学生自由学习。</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2.3 闯关模式中的学习任务点应至少支持视频、作业、阅读三种类型。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2.4 学生在线学习课程时需支持进度记忆，支持防止拖拽、防止跳集观看，支持当前活动窗口探测、防止观看课程时进行其他活动。系统支持取消防拖拽、防跳集、当前窗口探测等功能；支持长时间无活动自动停止播放。</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2.5 支持课程视频中插入考题，学生必须回答正确才可继续观看。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2.6 支持在线考试功能，考试前支持考试提醒功能，并且可根据教学管理部门要求设置允许重考。</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2.7 支持学生在线进行讨论、答疑与寻求客服帮助。</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2.8 支持学生进行在线电子书阅读，可对接学校数字图书馆。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2.9 课程支持直播和拓展阅读的功能，并能将这两项纳入学生考核体系。</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2.10课程开通时学生学习前支持开课提醒功能，告知学生课程学习时间。</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2.11课程学习中，支持随时根据学生视频、测试、考试、综合成绩、任务点完成率、视频任务点完成率、章节测试完成率、章节访问量、讨论数、作业完成率、考试完成率等维度完成学生学习进度提醒，进行课程督学。</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（3）学习过程监控与管理</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w:t>
      </w:r>
      <w:r>
        <w:rPr>
          <w:rFonts w:hint="eastAsia" w:ascii="宋体" w:hAnsi="宋体" w:eastAsia="宋体" w:cs="宋体"/>
          <w:sz w:val="24"/>
          <w:szCs w:val="24"/>
          <w:lang w:eastAsia="zh-Hans"/>
        </w:rPr>
        <w:t>1需支持学生在平台进行课程学习过程时，使用多种登陆模式，如：扫码登录、学号+密码登陆、手机号+密码登录等，通过认证才可以学习课程内容。</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w:t>
      </w:r>
      <w:r>
        <w:rPr>
          <w:rFonts w:hint="eastAsia" w:ascii="宋体" w:hAnsi="宋体" w:eastAsia="宋体" w:cs="宋体"/>
          <w:sz w:val="24"/>
          <w:szCs w:val="24"/>
          <w:lang w:eastAsia="zh-Hans"/>
        </w:rPr>
        <w:t>2需支持可以跟踪记录并统计基于每个学生的学习进度、课程登录详情、学习材料浏览和下载详情、作业和测试完成情况、在线时长、视频观看的详情、参加答疑讨论的情况等多项学习考核指标。</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lang w:eastAsia="zh-Hans"/>
        </w:rPr>
        <w:t>3.</w:t>
      </w:r>
      <w:r>
        <w:rPr>
          <w:rFonts w:hint="eastAsia" w:ascii="宋体" w:hAnsi="宋体" w:eastAsia="宋体" w:cs="宋体"/>
          <w:sz w:val="24"/>
          <w:szCs w:val="24"/>
        </w:rPr>
        <w:t>3</w:t>
      </w:r>
      <w:r>
        <w:rPr>
          <w:rFonts w:hint="eastAsia" w:ascii="宋体" w:hAnsi="宋体" w:eastAsia="宋体" w:cs="宋体"/>
          <w:sz w:val="24"/>
          <w:szCs w:val="24"/>
          <w:lang w:eastAsia="zh-Hans"/>
        </w:rPr>
        <w:t>任课教师可以对每一个教学班学习进度进行多种设置，如：开放、关闭、定时、隐藏等，以配合教师按教学计划教学。</w:t>
      </w:r>
    </w:p>
    <w:p>
      <w:pPr>
        <w:spacing w:line="360" w:lineRule="auto"/>
        <w:ind w:firstLine="435"/>
        <w:rPr>
          <w:rFonts w:ascii="宋体" w:hAnsi="宋体" w:eastAsia="宋体" w:cs="宋体"/>
          <w:b/>
          <w:bCs/>
          <w:sz w:val="24"/>
          <w:szCs w:val="24"/>
          <w:lang w:eastAsia="zh-Hans"/>
        </w:rPr>
      </w:pPr>
      <w:r>
        <w:rPr>
          <w:rFonts w:hint="eastAsia" w:ascii="宋体" w:hAnsi="宋体" w:eastAsia="宋体" w:cs="宋体"/>
          <w:sz w:val="24"/>
          <w:szCs w:val="24"/>
        </w:rPr>
        <w:t>★3.4</w:t>
      </w:r>
      <w:r>
        <w:rPr>
          <w:rFonts w:hint="eastAsia" w:ascii="宋体" w:hAnsi="宋体" w:eastAsia="宋体" w:cs="宋体"/>
          <w:sz w:val="24"/>
          <w:szCs w:val="24"/>
          <w:lang w:eastAsia="zh-Hans"/>
        </w:rPr>
        <w:t>教师可以将课程章节内ppt、视频、作业、文档等内容设置为必学任务点，要求学生必须完成，灵活控制学生学习的情况；学生端可以看到整个课程和每个章节需要完成的任务点情况，每完成一个任务，数量会自动减一。</w:t>
      </w:r>
      <w:r>
        <w:rPr>
          <w:rFonts w:hint="eastAsia" w:ascii="宋体" w:hAnsi="宋体" w:eastAsia="宋体" w:cs="宋体"/>
          <w:b/>
          <w:bCs/>
          <w:sz w:val="24"/>
          <w:szCs w:val="24"/>
        </w:rPr>
        <w:t>（投标文件中须提供功能截图，加盖投标人公章）</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3.5</w:t>
      </w:r>
      <w:r>
        <w:rPr>
          <w:rFonts w:hint="eastAsia" w:ascii="宋体" w:hAnsi="宋体" w:eastAsia="宋体" w:cs="宋体"/>
          <w:sz w:val="24"/>
          <w:szCs w:val="24"/>
          <w:lang w:eastAsia="zh-Hans"/>
        </w:rPr>
        <w:t>可对课程中的视频、作业、考试、测验、章节学习次数、直播课观看时长、线下考试成绩等做权重设置。</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3.6</w:t>
      </w:r>
      <w:r>
        <w:rPr>
          <w:rFonts w:hint="eastAsia" w:ascii="宋体" w:hAnsi="宋体" w:eastAsia="宋体" w:cs="宋体"/>
          <w:sz w:val="24"/>
          <w:szCs w:val="24"/>
          <w:lang w:eastAsia="zh-Hans"/>
        </w:rPr>
        <w:t>可以针对作业模块细化到每一份作业的权重设置，可以导入线下考试成绩，并细化到每一次线下考试权重设置。</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3.7</w:t>
      </w:r>
      <w:r>
        <w:rPr>
          <w:rFonts w:hint="eastAsia" w:ascii="宋体" w:hAnsi="宋体" w:eastAsia="宋体" w:cs="宋体"/>
          <w:sz w:val="24"/>
          <w:szCs w:val="24"/>
          <w:lang w:eastAsia="zh-Hans"/>
        </w:rPr>
        <w:t>支持教师导出学生综合成绩，同时支持成绩分项导出，成绩分项至少支持讨论详情、作业详情、考试详情、音视频观看详情、章节测验详情等，并在线发放电子证书。</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3.8</w:t>
      </w:r>
      <w:r>
        <w:rPr>
          <w:rFonts w:hint="eastAsia" w:ascii="宋体" w:hAnsi="宋体" w:eastAsia="宋体" w:cs="宋体"/>
          <w:sz w:val="24"/>
          <w:szCs w:val="24"/>
          <w:lang w:eastAsia="zh-Hans"/>
        </w:rPr>
        <w:t>教师在开课时可以设定课程的开课时间和结课时间，并且在课程结束后，可以自动开启复习模式。</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3.9</w:t>
      </w:r>
      <w:r>
        <w:rPr>
          <w:rFonts w:hint="eastAsia" w:ascii="宋体" w:hAnsi="宋体" w:eastAsia="宋体" w:cs="宋体"/>
          <w:sz w:val="24"/>
          <w:szCs w:val="24"/>
          <w:lang w:eastAsia="zh-Hans"/>
        </w:rPr>
        <w:t>支持学习监控设置，可监控学生在学习视频任务点时异常行为，可监控学生在完成作业、考试时异常行为。</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3.10</w:t>
      </w:r>
      <w:r>
        <w:rPr>
          <w:rFonts w:hint="eastAsia" w:ascii="宋体" w:hAnsi="宋体" w:eastAsia="宋体" w:cs="宋体"/>
          <w:sz w:val="24"/>
          <w:szCs w:val="24"/>
          <w:lang w:eastAsia="zh-Hans"/>
        </w:rPr>
        <w:t>学生在观看章节视频时，可开启抓拍监控，可设置抓拍时间点，如视频开始时、视频播放中、视频暂停再播放、视频结束点等，可设置抓拍时间间隔。</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3.11</w:t>
      </w:r>
      <w:r>
        <w:rPr>
          <w:rFonts w:hint="eastAsia" w:ascii="宋体" w:hAnsi="宋体" w:eastAsia="宋体" w:cs="宋体"/>
          <w:sz w:val="24"/>
          <w:szCs w:val="24"/>
          <w:lang w:eastAsia="zh-Hans"/>
        </w:rPr>
        <w:t>教师端可查看学习监控数据，并进行异常提醒，支持导出异常记录。</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3.12</w:t>
      </w:r>
      <w:r>
        <w:rPr>
          <w:rFonts w:hint="eastAsia" w:ascii="宋体" w:hAnsi="宋体" w:eastAsia="宋体" w:cs="宋体"/>
          <w:sz w:val="24"/>
          <w:szCs w:val="24"/>
          <w:lang w:eastAsia="zh-Hans"/>
        </w:rPr>
        <w:t xml:space="preserve">教师端提供课程管理、班级管理、教师团队管理、助教管理、统计、考试及作业管理、课程通告管理等；提供当前学习过程实时监管；提供进度统计功能、成绩统计并支持报表导出。 </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3.13</w:t>
      </w:r>
      <w:r>
        <w:rPr>
          <w:rFonts w:hint="eastAsia" w:ascii="宋体" w:hAnsi="宋体" w:eastAsia="宋体" w:cs="宋体"/>
          <w:sz w:val="24"/>
          <w:szCs w:val="24"/>
          <w:lang w:eastAsia="zh-Hans"/>
        </w:rPr>
        <w:t>支持开启课程学习人脸识别，如人脸验证失败，不允许学生学习该课程视频。</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3.14</w:t>
      </w:r>
      <w:r>
        <w:rPr>
          <w:rFonts w:hint="eastAsia" w:ascii="宋体" w:hAnsi="宋体" w:eastAsia="宋体" w:cs="宋体"/>
          <w:sz w:val="24"/>
          <w:szCs w:val="24"/>
          <w:lang w:eastAsia="zh-Hans"/>
        </w:rPr>
        <w:t>课程章节学习设置，可支持设置章节隐藏、章节复习等模式；开启隐藏模式后，该章节对学生不可见</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3.15</w:t>
      </w:r>
      <w:r>
        <w:rPr>
          <w:rFonts w:hint="eastAsia" w:ascii="宋体" w:hAnsi="宋体" w:eastAsia="宋体" w:cs="宋体"/>
          <w:sz w:val="24"/>
          <w:szCs w:val="24"/>
          <w:lang w:eastAsia="zh-Hans"/>
        </w:rPr>
        <w:t>支持对平台用户外的游客，设置资源试看时长，可设置课程章节试看章节数，课程视频试看时间等</w:t>
      </w:r>
      <w:r>
        <w:rPr>
          <w:rFonts w:hint="eastAsia" w:ascii="宋体" w:hAnsi="宋体" w:eastAsia="宋体" w:cs="宋体"/>
          <w:sz w:val="24"/>
          <w:szCs w:val="24"/>
        </w:rPr>
        <w:t>。</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（4）教师教学管理功能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4.1 教师可发布各种通知，并实时推送到学生的各个终端；系统自动反馈通知阅读情况，教师可在线查看。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4.2 需灵活支持选课学生增删改操作。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4.3 教师可设置课程的发布模式：包括闯关教学模式与自由学习模式，还可选择一次性发布学习任务和分批自动发布学习任务。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4.4 课程可以无缝链接到学校图书馆资源，可根据课程需要推送相关阅读资料；平台提供可检索查看的数字资源，包含不少于200万册的电子图书和不少于10万集的学术视频。</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4.5 教师可以选择部分文档进行分享，作为参考资料。</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4.6 除了平台自带题库外，需支持教师自己出题，进行发布考核，并纳入考核方案，所有习题自动生成题库。支持题库批量上传和下载。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4.7 教师可在线组卷并发布考试，支持线上试卷导出打印。</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4.8 支持客观题在线批阅。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4.9 支持根据考核标准进行成绩自动统计。</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4.10 教学结束后支持课程归档。</w:t>
      </w:r>
    </w:p>
    <w:p>
      <w:pPr>
        <w:spacing w:line="360" w:lineRule="auto"/>
        <w:ind w:firstLine="435"/>
        <w:rPr>
          <w:rFonts w:ascii="宋体" w:hAnsi="宋体" w:eastAsia="宋体" w:cs="宋体"/>
          <w:b/>
          <w:bCs/>
          <w:sz w:val="24"/>
          <w:szCs w:val="24"/>
        </w:rPr>
      </w:pPr>
      <w:r>
        <w:rPr>
          <w:rFonts w:hint="eastAsia" w:ascii="宋体" w:hAnsi="宋体" w:eastAsia="宋体" w:cs="宋体"/>
          <w:sz w:val="24"/>
          <w:szCs w:val="24"/>
        </w:rPr>
        <w:t>4.11 支持自助式考试与机房统一考试，机房统一考试提供客户端系统。</w:t>
      </w:r>
      <w:r>
        <w:rPr>
          <w:rFonts w:hint="eastAsia" w:ascii="宋体" w:hAnsi="宋体" w:eastAsia="宋体" w:cs="宋体"/>
          <w:b/>
          <w:bCs/>
          <w:sz w:val="24"/>
          <w:szCs w:val="24"/>
        </w:rPr>
        <w:t>（投标文件中须提供功能截图，加盖投标人公章）</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4.12 支持教师在线查看数据统计，包括课程信息总览、每名学生学习详情、课程访问曲线、各项进度和成绩，支持成绩导出和线下成绩导入。</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（5）作业与考试</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5.1</w:t>
      </w:r>
      <w:r>
        <w:rPr>
          <w:rFonts w:hint="eastAsia" w:ascii="宋体" w:hAnsi="宋体" w:eastAsia="宋体" w:cs="宋体"/>
          <w:sz w:val="24"/>
          <w:szCs w:val="24"/>
          <w:lang w:eastAsia="zh-Hans"/>
        </w:rPr>
        <w:t>具有从题库随机生成作业与测验的功能，教师可以对作业或测验中的试题进行添加、修改、删除、任意排序、预览等功能，可以对试题设定分值，作业与测验可多次重复使用。</w:t>
      </w:r>
    </w:p>
    <w:p>
      <w:pPr>
        <w:spacing w:line="360" w:lineRule="auto"/>
        <w:ind w:firstLine="435"/>
        <w:rPr>
          <w:rFonts w:ascii="宋体" w:hAnsi="宋体" w:eastAsia="宋体" w:cs="宋体"/>
          <w:b/>
          <w:bCs/>
          <w:sz w:val="24"/>
          <w:szCs w:val="24"/>
        </w:rPr>
      </w:pPr>
      <w:r>
        <w:rPr>
          <w:rFonts w:hint="eastAsia" w:ascii="宋体" w:hAnsi="宋体" w:eastAsia="宋体" w:cs="宋体"/>
          <w:sz w:val="24"/>
          <w:szCs w:val="24"/>
        </w:rPr>
        <w:t>5.2</w:t>
      </w:r>
      <w:r>
        <w:rPr>
          <w:rFonts w:hint="eastAsia" w:ascii="宋体" w:hAnsi="宋体" w:eastAsia="宋体" w:cs="宋体"/>
          <w:sz w:val="24"/>
          <w:szCs w:val="24"/>
          <w:lang w:eastAsia="zh-Hans"/>
        </w:rPr>
        <w:t>作业需具备生生互评的功能，设为互评的作业，学生间对作业相互打分；支持设置互评指标、互评时间、学生间互评次数，学生互评批语字数限制。</w:t>
      </w:r>
      <w:r>
        <w:rPr>
          <w:rFonts w:hint="eastAsia" w:ascii="宋体" w:hAnsi="宋体" w:eastAsia="宋体" w:cs="宋体"/>
          <w:b/>
          <w:bCs/>
          <w:sz w:val="24"/>
          <w:szCs w:val="24"/>
        </w:rPr>
        <w:t>（投标文件中须提供功能截图，加盖投标人公章）</w:t>
      </w:r>
    </w:p>
    <w:p>
      <w:pPr>
        <w:spacing w:line="360" w:lineRule="auto"/>
        <w:ind w:firstLine="435"/>
        <w:rPr>
          <w:rFonts w:ascii="宋体" w:hAnsi="宋体" w:eastAsia="宋体" w:cs="宋体"/>
          <w:b/>
          <w:bCs/>
          <w:sz w:val="24"/>
          <w:szCs w:val="24"/>
          <w:lang w:eastAsia="zh-Hans"/>
        </w:rPr>
      </w:pPr>
      <w:r>
        <w:rPr>
          <w:rFonts w:hint="eastAsia" w:ascii="宋体" w:hAnsi="宋体" w:eastAsia="宋体" w:cs="宋体"/>
          <w:sz w:val="24"/>
          <w:szCs w:val="24"/>
        </w:rPr>
        <w:t>★5.3</w:t>
      </w:r>
      <w:r>
        <w:rPr>
          <w:rFonts w:hint="eastAsia" w:ascii="宋体" w:hAnsi="宋体" w:eastAsia="宋体" w:cs="宋体"/>
          <w:sz w:val="24"/>
          <w:szCs w:val="24"/>
          <w:lang w:eastAsia="zh-Hans"/>
        </w:rPr>
        <w:t>支持设定互评作业成绩权重，权重包含教师评分、学生互评平均得分及互评参与情况，可对答题人和批阅人进行匿名设置</w:t>
      </w:r>
      <w:r>
        <w:rPr>
          <w:rFonts w:hint="eastAsia" w:ascii="宋体" w:hAnsi="宋体" w:eastAsia="宋体" w:cs="宋体"/>
          <w:sz w:val="24"/>
          <w:szCs w:val="24"/>
        </w:rPr>
        <w:t>。</w:t>
      </w:r>
      <w:r>
        <w:rPr>
          <w:rFonts w:hint="eastAsia" w:ascii="宋体" w:hAnsi="宋体" w:eastAsia="宋体" w:cs="宋体"/>
          <w:b/>
          <w:bCs/>
          <w:sz w:val="24"/>
          <w:szCs w:val="24"/>
        </w:rPr>
        <w:t>（投标文件中须提供功能截图，加盖投标人公章）</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5.4</w:t>
      </w:r>
      <w:r>
        <w:rPr>
          <w:rFonts w:hint="eastAsia" w:ascii="宋体" w:hAnsi="宋体" w:eastAsia="宋体" w:cs="宋体"/>
          <w:sz w:val="24"/>
          <w:szCs w:val="24"/>
          <w:lang w:eastAsia="zh-Hans"/>
        </w:rPr>
        <w:t>发布作业时支持设置题目乱序。</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5.5</w:t>
      </w:r>
      <w:r>
        <w:rPr>
          <w:rFonts w:hint="eastAsia" w:ascii="宋体" w:hAnsi="宋体" w:eastAsia="宋体" w:cs="宋体"/>
          <w:sz w:val="24"/>
          <w:szCs w:val="24"/>
          <w:lang w:eastAsia="zh-Hans"/>
        </w:rPr>
        <w:t>可对未提交作业的学生进行通知提醒。</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5.6</w:t>
      </w:r>
      <w:r>
        <w:rPr>
          <w:rFonts w:hint="eastAsia" w:ascii="宋体" w:hAnsi="宋体" w:eastAsia="宋体" w:cs="宋体"/>
          <w:sz w:val="24"/>
          <w:szCs w:val="24"/>
          <w:lang w:eastAsia="zh-Hans"/>
        </w:rPr>
        <w:t>可根据学生课程任务点学习情况设置是否允许学生接收作业。</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★5.7</w:t>
      </w:r>
      <w:r>
        <w:rPr>
          <w:rFonts w:hint="eastAsia" w:ascii="宋体" w:hAnsi="宋体" w:eastAsia="宋体" w:cs="宋体"/>
          <w:sz w:val="24"/>
          <w:szCs w:val="24"/>
          <w:lang w:eastAsia="zh-Hans"/>
        </w:rPr>
        <w:t>支持进行作业查重，对于简答题、论述题等主观题，可进行班级内两两学生间比对查重。</w:t>
      </w:r>
      <w:r>
        <w:rPr>
          <w:rFonts w:hint="eastAsia" w:ascii="宋体" w:hAnsi="宋体" w:eastAsia="宋体" w:cs="宋体"/>
          <w:b/>
          <w:bCs/>
          <w:sz w:val="24"/>
          <w:szCs w:val="24"/>
          <w:lang w:eastAsia="zh-Hans"/>
        </w:rPr>
        <w:t>（</w:t>
      </w:r>
      <w:r>
        <w:rPr>
          <w:rFonts w:hint="eastAsia" w:ascii="宋体" w:hAnsi="宋体" w:eastAsia="宋体" w:cs="宋体"/>
          <w:b/>
          <w:bCs/>
          <w:sz w:val="24"/>
          <w:szCs w:val="24"/>
        </w:rPr>
        <w:t>投标文件中须提供功能截图</w:t>
      </w:r>
      <w:r>
        <w:rPr>
          <w:rFonts w:hint="eastAsia" w:ascii="宋体" w:hAnsi="宋体" w:eastAsia="宋体" w:cs="宋体"/>
          <w:b/>
          <w:bCs/>
          <w:sz w:val="24"/>
          <w:szCs w:val="24"/>
          <w:lang w:eastAsia="zh-Hans"/>
        </w:rPr>
        <w:t>，加盖</w:t>
      </w:r>
      <w:r>
        <w:rPr>
          <w:rFonts w:hint="eastAsia" w:ascii="宋体" w:hAnsi="宋体" w:eastAsia="宋体" w:cs="宋体"/>
          <w:b/>
          <w:bCs/>
          <w:sz w:val="24"/>
          <w:szCs w:val="24"/>
        </w:rPr>
        <w:t>投标人</w:t>
      </w:r>
      <w:r>
        <w:rPr>
          <w:rFonts w:hint="eastAsia" w:ascii="宋体" w:hAnsi="宋体" w:eastAsia="宋体" w:cs="宋体"/>
          <w:b/>
          <w:bCs/>
          <w:sz w:val="24"/>
          <w:szCs w:val="24"/>
          <w:lang w:eastAsia="zh-Hans"/>
        </w:rPr>
        <w:t>公章）</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5.8</w:t>
      </w:r>
      <w:r>
        <w:rPr>
          <w:rFonts w:hint="eastAsia" w:ascii="宋体" w:hAnsi="宋体" w:eastAsia="宋体" w:cs="宋体"/>
          <w:sz w:val="24"/>
          <w:szCs w:val="24"/>
          <w:lang w:eastAsia="zh-Hans"/>
        </w:rPr>
        <w:t>支持将学生答案</w:t>
      </w:r>
      <w:r>
        <w:rPr>
          <w:rFonts w:hint="eastAsia" w:ascii="宋体" w:hAnsi="宋体" w:eastAsia="宋体" w:cs="宋体"/>
          <w:sz w:val="24"/>
          <w:szCs w:val="24"/>
        </w:rPr>
        <w:t>拍照上传，同时支持主观题答案</w:t>
      </w:r>
      <w:r>
        <w:rPr>
          <w:rFonts w:hint="eastAsia" w:ascii="宋体" w:hAnsi="宋体" w:eastAsia="宋体" w:cs="宋体"/>
          <w:sz w:val="24"/>
          <w:szCs w:val="24"/>
          <w:lang w:eastAsia="zh-Hans"/>
        </w:rPr>
        <w:t>与教师设定的标准答案之间进行相似度智能分析，并根据分析结果给出推荐得分，辅助老师进行主观题批阅。</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5.9</w:t>
      </w:r>
      <w:r>
        <w:rPr>
          <w:rFonts w:hint="eastAsia" w:ascii="宋体" w:hAnsi="宋体" w:eastAsia="宋体" w:cs="宋体"/>
          <w:sz w:val="24"/>
          <w:szCs w:val="24"/>
          <w:lang w:eastAsia="zh-Hans"/>
        </w:rPr>
        <w:t>需支持对组好的试卷可进行封存保管，对封存的试卷在考试前必须输入试卷密码才能开启试卷。</w:t>
      </w:r>
      <w:r>
        <w:rPr>
          <w:rFonts w:hint="eastAsia" w:ascii="宋体" w:hAnsi="宋体" w:eastAsia="宋体" w:cs="宋体"/>
          <w:b/>
          <w:bCs/>
          <w:sz w:val="24"/>
          <w:szCs w:val="24"/>
        </w:rPr>
        <w:t>（投标文件中须提供功能截图，加盖投标人公章）</w:t>
      </w:r>
    </w:p>
    <w:p>
      <w:pPr>
        <w:spacing w:line="360" w:lineRule="auto"/>
        <w:ind w:firstLine="435"/>
        <w:rPr>
          <w:rFonts w:ascii="宋体" w:hAnsi="宋体" w:eastAsia="宋体" w:cs="宋体"/>
          <w:b/>
          <w:bCs/>
          <w:sz w:val="24"/>
          <w:szCs w:val="24"/>
          <w:lang w:eastAsia="zh-Hans"/>
        </w:rPr>
      </w:pPr>
      <w:r>
        <w:rPr>
          <w:rFonts w:hint="eastAsia" w:ascii="宋体" w:hAnsi="宋体" w:eastAsia="宋体" w:cs="宋体"/>
          <w:sz w:val="24"/>
          <w:szCs w:val="24"/>
        </w:rPr>
        <w:t>★5.10</w:t>
      </w:r>
      <w:r>
        <w:rPr>
          <w:rFonts w:hint="eastAsia" w:ascii="宋体" w:hAnsi="宋体" w:eastAsia="宋体" w:cs="宋体"/>
          <w:sz w:val="24"/>
          <w:szCs w:val="24"/>
          <w:lang w:eastAsia="zh-Hans"/>
        </w:rPr>
        <w:t>发布考试支持自动随机组卷，组多套试卷时，可设置试卷试题重复率为0、不高于20%、不高于50%等，系统可自动检测组卷重复率是否达标，并给出提示。</w:t>
      </w:r>
      <w:r>
        <w:rPr>
          <w:rFonts w:hint="eastAsia" w:ascii="宋体" w:hAnsi="宋体" w:eastAsia="宋体" w:cs="宋体"/>
          <w:b/>
          <w:bCs/>
          <w:sz w:val="24"/>
          <w:szCs w:val="24"/>
        </w:rPr>
        <w:t>（投标文件中须提供功能截图，加盖投标人公章）</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5.11</w:t>
      </w:r>
      <w:r>
        <w:rPr>
          <w:rFonts w:hint="eastAsia" w:ascii="宋体" w:hAnsi="宋体" w:eastAsia="宋体" w:cs="宋体"/>
          <w:sz w:val="24"/>
          <w:szCs w:val="24"/>
          <w:lang w:eastAsia="zh-Hans"/>
        </w:rPr>
        <w:t>支持生成试卷分析报告，报告中需至少包含试卷难度、区分度统计，成绩正态分布，成绩标准差、方差、试卷信度等分析数据项。</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5.12</w:t>
      </w:r>
      <w:r>
        <w:rPr>
          <w:rFonts w:hint="eastAsia" w:ascii="宋体" w:hAnsi="宋体" w:eastAsia="宋体" w:cs="宋体"/>
          <w:sz w:val="24"/>
          <w:szCs w:val="24"/>
          <w:lang w:eastAsia="zh-Hans"/>
        </w:rPr>
        <w:t>平台支持试卷导出功能，支持多种导出格式，包括word格式、排版格式、pdf格式等。</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★5.13</w:t>
      </w:r>
      <w:r>
        <w:rPr>
          <w:rFonts w:hint="eastAsia" w:ascii="宋体" w:hAnsi="宋体" w:eastAsia="宋体" w:cs="宋体"/>
          <w:sz w:val="24"/>
          <w:szCs w:val="24"/>
          <w:lang w:eastAsia="zh-Hans"/>
        </w:rPr>
        <w:t>支持设置试卷导出模板，可设置试卷装订线、试卷页头页尾、考试承诺书、试卷页码、打印效果（A3、A4、B4版式）等，导出试卷是可一并导出答题卡，答案解析等。</w:t>
      </w:r>
      <w:r>
        <w:rPr>
          <w:rFonts w:hint="eastAsia" w:ascii="宋体" w:hAnsi="宋体" w:eastAsia="宋体" w:cs="宋体"/>
          <w:b/>
          <w:bCs/>
          <w:sz w:val="24"/>
          <w:szCs w:val="24"/>
        </w:rPr>
        <w:t>（投标文件中须提供功能截图，加盖投标人公章）</w:t>
      </w:r>
      <w:r>
        <w:rPr>
          <w:rFonts w:hint="eastAsia" w:ascii="宋体" w:hAnsi="宋体" w:eastAsia="宋体" w:cs="宋体"/>
          <w:sz w:val="24"/>
          <w:szCs w:val="24"/>
          <w:lang w:eastAsia="zh-Hans"/>
        </w:rPr>
        <w:t xml:space="preserve"> </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5.14</w:t>
      </w:r>
      <w:r>
        <w:rPr>
          <w:rFonts w:hint="eastAsia" w:ascii="宋体" w:hAnsi="宋体" w:eastAsia="宋体" w:cs="宋体"/>
          <w:sz w:val="24"/>
          <w:szCs w:val="24"/>
          <w:lang w:eastAsia="zh-Hans"/>
        </w:rPr>
        <w:t>支持对同一套试卷发布补考。</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5.15</w:t>
      </w:r>
      <w:r>
        <w:rPr>
          <w:rFonts w:hint="eastAsia" w:ascii="宋体" w:hAnsi="宋体" w:eastAsia="宋体" w:cs="宋体"/>
          <w:sz w:val="24"/>
          <w:szCs w:val="24"/>
          <w:lang w:eastAsia="zh-Hans"/>
        </w:rPr>
        <w:t>支持在线阅卷，阅卷教师可在线打分、写评语、如答案为图片，支持在图片上进行批注；可切换批阅方式，支持按人批阅或按题目批阅。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5.16</w:t>
      </w:r>
      <w:r>
        <w:rPr>
          <w:rFonts w:hint="eastAsia" w:ascii="宋体" w:hAnsi="宋体" w:eastAsia="宋体" w:cs="宋体"/>
          <w:sz w:val="24"/>
          <w:szCs w:val="24"/>
          <w:lang w:eastAsia="zh-Hans"/>
        </w:rPr>
        <w:t>支持网页端、移动端、考试客户端考试，进入考试前需进行人脸识别认证。</w:t>
      </w:r>
      <w:r>
        <w:rPr>
          <w:rFonts w:hint="eastAsia" w:ascii="宋体" w:hAnsi="宋体" w:eastAsia="宋体" w:cs="宋体"/>
          <w:b/>
          <w:bCs/>
          <w:sz w:val="24"/>
          <w:szCs w:val="24"/>
          <w:lang w:eastAsia="zh-Hans"/>
        </w:rPr>
        <w:t>（</w:t>
      </w:r>
      <w:r>
        <w:rPr>
          <w:rFonts w:hint="eastAsia" w:ascii="宋体" w:hAnsi="宋体" w:eastAsia="宋体" w:cs="宋体"/>
          <w:b/>
          <w:bCs/>
          <w:sz w:val="24"/>
          <w:szCs w:val="24"/>
        </w:rPr>
        <w:t>投标文件中须提供功能截图</w:t>
      </w:r>
      <w:r>
        <w:rPr>
          <w:rFonts w:hint="eastAsia" w:ascii="宋体" w:hAnsi="宋体" w:eastAsia="宋体" w:cs="宋体"/>
          <w:b/>
          <w:bCs/>
          <w:sz w:val="24"/>
          <w:szCs w:val="24"/>
          <w:lang w:eastAsia="zh-Hans"/>
        </w:rPr>
        <w:t>，加盖</w:t>
      </w:r>
      <w:r>
        <w:rPr>
          <w:rFonts w:hint="eastAsia" w:ascii="宋体" w:hAnsi="宋体" w:eastAsia="宋体" w:cs="宋体"/>
          <w:b/>
          <w:bCs/>
          <w:sz w:val="24"/>
          <w:szCs w:val="24"/>
        </w:rPr>
        <w:t>投标人</w:t>
      </w:r>
      <w:r>
        <w:rPr>
          <w:rFonts w:hint="eastAsia" w:ascii="宋体" w:hAnsi="宋体" w:eastAsia="宋体" w:cs="宋体"/>
          <w:b/>
          <w:bCs/>
          <w:sz w:val="24"/>
          <w:szCs w:val="24"/>
          <w:lang w:eastAsia="zh-Hans"/>
        </w:rPr>
        <w:t>公章）</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★5.17</w:t>
      </w:r>
      <w:r>
        <w:rPr>
          <w:rFonts w:hint="eastAsia" w:ascii="宋体" w:hAnsi="宋体" w:eastAsia="宋体" w:cs="宋体"/>
          <w:sz w:val="24"/>
          <w:szCs w:val="24"/>
          <w:lang w:eastAsia="zh-Hans"/>
        </w:rPr>
        <w:t>在线监考：支持监考教师实时查看每位考生是否进入考试、进入时间、当前状态、IP地址、所在地区、考试方式、人脸识别情况、切屏次数、考试过程中抓拍照片识别次数、考试过程中抓拍照片识别异常次数、屏幕抓拍识别异常次数、是否被标记等。</w:t>
      </w:r>
      <w:r>
        <w:rPr>
          <w:rFonts w:hint="eastAsia" w:ascii="宋体" w:hAnsi="宋体" w:eastAsia="宋体" w:cs="宋体"/>
          <w:b/>
          <w:bCs/>
          <w:sz w:val="24"/>
          <w:szCs w:val="24"/>
          <w:lang w:eastAsia="zh-Hans"/>
        </w:rPr>
        <w:t>（</w:t>
      </w:r>
      <w:r>
        <w:rPr>
          <w:rFonts w:hint="eastAsia" w:ascii="宋体" w:hAnsi="宋体" w:eastAsia="宋体" w:cs="宋体"/>
          <w:b/>
          <w:bCs/>
          <w:sz w:val="24"/>
          <w:szCs w:val="24"/>
        </w:rPr>
        <w:t>投标文件中须提供功能截图</w:t>
      </w:r>
      <w:r>
        <w:rPr>
          <w:rFonts w:hint="eastAsia" w:ascii="宋体" w:hAnsi="宋体" w:eastAsia="宋体" w:cs="宋体"/>
          <w:b/>
          <w:bCs/>
          <w:sz w:val="24"/>
          <w:szCs w:val="24"/>
          <w:lang w:eastAsia="zh-Hans"/>
        </w:rPr>
        <w:t>，加盖</w:t>
      </w:r>
      <w:r>
        <w:rPr>
          <w:rFonts w:hint="eastAsia" w:ascii="宋体" w:hAnsi="宋体" w:eastAsia="宋体" w:cs="宋体"/>
          <w:b/>
          <w:bCs/>
          <w:sz w:val="24"/>
          <w:szCs w:val="24"/>
        </w:rPr>
        <w:t>投标人</w:t>
      </w:r>
      <w:r>
        <w:rPr>
          <w:rFonts w:hint="eastAsia" w:ascii="宋体" w:hAnsi="宋体" w:eastAsia="宋体" w:cs="宋体"/>
          <w:b/>
          <w:bCs/>
          <w:sz w:val="24"/>
          <w:szCs w:val="24"/>
          <w:lang w:eastAsia="zh-Hans"/>
        </w:rPr>
        <w:t>公章）</w:t>
      </w:r>
    </w:p>
    <w:p>
      <w:pPr>
        <w:spacing w:line="360" w:lineRule="auto"/>
        <w:ind w:firstLine="435"/>
        <w:rPr>
          <w:rFonts w:ascii="宋体" w:hAnsi="宋体" w:eastAsia="宋体" w:cs="宋体"/>
          <w:sz w:val="24"/>
          <w:szCs w:val="24"/>
          <w:lang w:eastAsia="zh-Hans"/>
        </w:rPr>
      </w:pPr>
      <w:r>
        <w:rPr>
          <w:rFonts w:hint="eastAsia" w:ascii="宋体" w:hAnsi="宋体" w:eastAsia="宋体" w:cs="宋体"/>
          <w:sz w:val="24"/>
          <w:szCs w:val="24"/>
        </w:rPr>
        <w:t>5.18</w:t>
      </w:r>
      <w:r>
        <w:rPr>
          <w:rFonts w:hint="eastAsia" w:ascii="宋体" w:hAnsi="宋体" w:eastAsia="宋体" w:cs="宋体"/>
          <w:sz w:val="24"/>
          <w:szCs w:val="24"/>
          <w:lang w:eastAsia="zh-Hans"/>
        </w:rPr>
        <w:t>查看考生详情：监考老师可随时查看每位考生的考试行为记录，详情以时间轴形式呈现，包括考生进入考试人脸识别结果、考试切屏记录、考试抓拍记录、屏幕抓拍识别记录、考生答题记录、直播监考记录、监考教师操作记录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5.19</w:t>
      </w:r>
      <w:r>
        <w:rPr>
          <w:rFonts w:hint="eastAsia" w:ascii="宋体" w:hAnsi="宋体" w:eastAsia="宋体" w:cs="宋体"/>
          <w:sz w:val="24"/>
          <w:szCs w:val="24"/>
          <w:lang w:eastAsia="zh-Hans"/>
        </w:rPr>
        <w:t>异常分析：支持查看考试中被系统标记为异常的所有考生异常记录，并支持按异常类型筛选，包括人脸识别异常、屏幕异常、切屏、拒绝抓拍、强制收卷等。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（6）学习空间功能要求</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6.1 为每个教师与学生提供一个个性化学习空间。</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6.2 学习空间可集成各种个性化信息与应用，需提供APP接口。学校或第三方可以开放一些应用放到应用中心，学生和老师可以将其添加到自己的学习空间。</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6.3 学习空间应具备以下功能或应用：日程管理、课程管理、PBL教学、资源专题、学习笔记、报刊订阅、个人云盘、小组交流等。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6.4 学习空间需展现学生已经选学的全部课程或教师开设的全部课程。</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（7）移动教学</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7.1 支持iOS和安卓两个平台，支持手机和平板电脑等设备，实现在线移动学习、讨论、答疑、交互等功能。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7.2 移动端与PC端学习进度、学习数据保持同步，教师可以对课程和学生进行统一管理。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7.3 支持手机直播功能，学生可以通过移动端参加网络课程在线直播，并且可以在观看直播的同时，参与教学互动。</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7.4 支持在线学习及过程监控，防止拖拽，防止跳集。</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7.5支持在线完成作业、讨论、答疑、考试等操作。</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7.6 支持在线阅读相关电子书，同步记录学生的阅读进度，并将阅读计入到考核当中。</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7.7 支持混合式教学，支持课堂互动，支持发布签到、抢答、选人、问卷、统计等课堂教学工具。</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7.8 包含个人移动学习评价系统，根据使用量、笔记量、订阅量、阅读量等进行排名、评级，从而激励学习行为。</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7.9 支持手机端统一考试功能。</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7.10 实现订阅相关课程视频，不少于100个订阅源。如科技，教育，文史等。</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7.11 支持用户基于学习进行社交，支持学习动态分享，支持跨校交流，支持用户自由组建基于学习或兴趣的小组或社区。</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7.12 支持学习笔记管理、编辑、分享，支持笔记文件夹共享，支持相互评论和转发。</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7.13 支持富媒体资源专题在线制作和订阅。</w:t>
      </w:r>
    </w:p>
    <w:p>
      <w:pPr>
        <w:spacing w:line="360" w:lineRule="auto"/>
        <w:ind w:firstLine="435"/>
        <w:rPr>
          <w:rFonts w:ascii="宋体" w:hAnsi="宋体" w:eastAsia="宋体" w:cs="宋体"/>
          <w:sz w:val="24"/>
          <w:szCs w:val="24"/>
        </w:rPr>
      </w:pPr>
      <w:r>
        <w:rPr>
          <w:rFonts w:hint="eastAsia" w:ascii="宋体" w:hAnsi="宋体" w:eastAsia="宋体" w:cs="宋体"/>
          <w:sz w:val="24"/>
          <w:szCs w:val="24"/>
        </w:rPr>
        <w:t>7.14 支持人脸识别自动检验学生身份，支持考试过程中随机抽检学生身份。</w:t>
      </w:r>
      <w:bookmarkEnd w:id="7"/>
    </w:p>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五、报价要求</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本项目报价包含完成本项目所需的全部费用，中标后采购人不在另行支付任何费用。</w:t>
      </w:r>
    </w:p>
    <w:p>
      <w:pPr>
        <w:spacing w:line="360" w:lineRule="auto"/>
        <w:ind w:firstLine="435"/>
        <w:rPr>
          <w:rFonts w:ascii="宋体" w:hAnsi="宋体" w:eastAsia="宋体" w:cs="宋体"/>
          <w:b/>
          <w:bCs/>
          <w:color w:val="FF0000"/>
          <w:sz w:val="24"/>
          <w:szCs w:val="24"/>
        </w:rPr>
      </w:pPr>
      <w:r>
        <w:rPr>
          <w:rFonts w:hint="eastAsia" w:ascii="宋体" w:hAnsi="宋体" w:eastAsia="宋体" w:cs="宋体"/>
          <w:b/>
          <w:bCs/>
          <w:color w:val="FF0000"/>
          <w:sz w:val="24"/>
          <w:szCs w:val="24"/>
        </w:rPr>
        <w:br w:type="page"/>
      </w:r>
    </w:p>
    <w:p>
      <w:pPr>
        <w:spacing w:line="360" w:lineRule="auto"/>
        <w:ind w:firstLine="435"/>
        <w:outlineLvl w:val="2"/>
        <w:rPr>
          <w:rFonts w:ascii="宋体" w:hAnsi="宋体" w:eastAsia="宋体" w:cs="宋体"/>
          <w:b/>
          <w:bCs/>
          <w:color w:val="FF0000"/>
          <w:sz w:val="24"/>
          <w:szCs w:val="24"/>
        </w:rPr>
      </w:pPr>
      <w:r>
        <w:rPr>
          <w:rFonts w:hint="eastAsia" w:ascii="宋体" w:hAnsi="宋体" w:eastAsia="宋体" w:cs="宋体"/>
          <w:b/>
          <w:bCs/>
          <w:color w:val="FF0000"/>
          <w:sz w:val="24"/>
          <w:szCs w:val="24"/>
        </w:rPr>
        <w:t>第3包：煤基固废绿色填充虚拟仿真实验系统</w:t>
      </w:r>
    </w:p>
    <w:p>
      <w:pPr>
        <w:spacing w:line="360" w:lineRule="auto"/>
        <w:ind w:firstLine="437"/>
        <w:rPr>
          <w:rFonts w:ascii="宋体" w:hAnsi="宋体" w:eastAsia="宋体" w:cs="宋体"/>
          <w:b/>
          <w:sz w:val="24"/>
          <w:szCs w:val="24"/>
        </w:rPr>
      </w:pPr>
      <w:r>
        <w:rPr>
          <w:rFonts w:hint="eastAsia" w:ascii="宋体" w:hAnsi="宋体" w:eastAsia="宋体" w:cs="宋体"/>
          <w:b/>
          <w:sz w:val="24"/>
          <w:szCs w:val="24"/>
        </w:rPr>
        <w:t>一、采购需求前附表</w:t>
      </w:r>
      <w:r>
        <w:rPr>
          <w:rFonts w:hint="eastAsia" w:ascii="Times New Roman" w:hAnsi="Times New Roman" w:cs="Times New Roman" w:eastAsiaTheme="minorEastAsia"/>
          <w:b/>
          <w:bCs/>
          <w:color w:val="FF0000"/>
          <w:sz w:val="24"/>
          <w:szCs w:val="22"/>
        </w:rPr>
        <w:t>（</w:t>
      </w:r>
      <w:r>
        <w:rPr>
          <w:rFonts w:ascii="Times New Roman" w:hAnsi="Times New Roman" w:cs="Times New Roman" w:eastAsiaTheme="minorEastAsia"/>
          <w:b/>
          <w:bCs/>
          <w:color w:val="FF0000"/>
          <w:sz w:val="24"/>
          <w:szCs w:val="22"/>
        </w:rPr>
        <w:t>采购需求前附表</w:t>
      </w:r>
      <w:r>
        <w:rPr>
          <w:rFonts w:hint="eastAsia" w:ascii="Times New Roman" w:hAnsi="Times New Roman" w:cs="Times New Roman" w:eastAsiaTheme="minorEastAsia"/>
          <w:b/>
          <w:bCs/>
          <w:color w:val="FF0000"/>
          <w:sz w:val="24"/>
          <w:szCs w:val="22"/>
        </w:rPr>
        <w:t>中规定的内容不允许负偏离）</w:t>
      </w:r>
    </w:p>
    <w:tbl>
      <w:tblPr>
        <w:tblStyle w:val="4"/>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2138"/>
        <w:gridCol w:w="5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
                <w:kern w:val="2"/>
                <w:szCs w:val="24"/>
              </w:rPr>
            </w:pPr>
            <w:r>
              <w:rPr>
                <w:rFonts w:hint="eastAsia" w:ascii="宋体" w:hAnsi="宋体" w:eastAsia="宋体" w:cs="宋体"/>
                <w:b/>
                <w:kern w:val="2"/>
                <w:szCs w:val="24"/>
              </w:rPr>
              <w:t>序号</w:t>
            </w:r>
          </w:p>
        </w:tc>
        <w:tc>
          <w:tcPr>
            <w:tcW w:w="2138"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条款名称</w:t>
            </w:r>
          </w:p>
        </w:tc>
        <w:tc>
          <w:tcPr>
            <w:tcW w:w="5977"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1</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付款方式</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宋体" w:hAnsi="宋体" w:eastAsia="宋体" w:cs="宋体"/>
                <w:b w:val="0"/>
                <w:bCs w:val="0"/>
                <w:sz w:val="24"/>
                <w:szCs w:val="24"/>
              </w:rPr>
              <w:t>合同签订生效并具备实施条件后采购人根据项目实际情况于5个工作日内支付合同价款的40%作为预付款</w:t>
            </w:r>
            <w:r>
              <w:rPr>
                <w:rFonts w:hint="eastAsia" w:ascii="宋体" w:hAnsi="宋体" w:eastAsia="宋体" w:cs="宋体"/>
                <w:sz w:val="24"/>
                <w:szCs w:val="24"/>
              </w:rPr>
              <w:t>（中标人须提交银行、保险公司、担保公司等金融机构出具的预付款保函或其他担保措施，以上各类机构出具的以担保函、保证保险承担责任的方式均须满足无条件见索即付条件）</w:t>
            </w:r>
            <w:r>
              <w:rPr>
                <w:rFonts w:hint="eastAsia" w:ascii="宋体" w:hAnsi="宋体" w:eastAsia="宋体" w:cs="宋体"/>
                <w:b w:val="0"/>
                <w:bCs w:val="0"/>
                <w:sz w:val="24"/>
                <w:szCs w:val="24"/>
              </w:rPr>
              <w:t>，验收合格后支付剩余合同价款。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2</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服务地点</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安徽理工大学或采购人指定地点。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3</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服务期限</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合同签订之日起60日内完成相应服务内容并经验收合格。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4</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lang w:val="zh-CN"/>
              </w:rPr>
              <w:t>免费质保期</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验收合格后1年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
                <w:kern w:val="2"/>
                <w:szCs w:val="24"/>
              </w:rPr>
            </w:pPr>
            <w:r>
              <w:rPr>
                <w:rFonts w:hint="eastAsia" w:ascii="宋体" w:hAnsi="宋体" w:eastAsia="宋体" w:cs="宋体"/>
                <w:b/>
                <w:kern w:val="2"/>
                <w:szCs w:val="24"/>
              </w:rPr>
              <w:t>5</w:t>
            </w:r>
          </w:p>
        </w:tc>
        <w:tc>
          <w:tcPr>
            <w:tcW w:w="2138"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本项目采购标的所属行业</w:t>
            </w:r>
          </w:p>
        </w:tc>
        <w:tc>
          <w:tcPr>
            <w:tcW w:w="5977" w:type="dxa"/>
            <w:vAlign w:val="center"/>
          </w:tcPr>
          <w:p>
            <w:pPr>
              <w:pStyle w:val="8"/>
              <w:widowControl w:val="0"/>
              <w:spacing w:before="0" w:beforeAutospacing="0" w:after="0" w:afterAutospacing="0" w:line="360" w:lineRule="auto"/>
              <w:jc w:val="both"/>
              <w:rPr>
                <w:rFonts w:ascii="Arial" w:hAnsi="Arial" w:eastAsia="宋体" w:cs="Arial"/>
                <w:bCs w:val="0"/>
                <w:sz w:val="24"/>
                <w:szCs w:val="24"/>
              </w:rPr>
            </w:pPr>
            <w:r>
              <w:rPr>
                <w:rFonts w:hint="eastAsia" w:ascii="Arial" w:hAnsi="Arial" w:eastAsia="宋体" w:cs="Arial"/>
                <w:bCs w:val="0"/>
                <w:sz w:val="24"/>
                <w:szCs w:val="24"/>
              </w:rPr>
              <w:t>软件和信息技术服务业</w:t>
            </w:r>
          </w:p>
        </w:tc>
      </w:tr>
    </w:tbl>
    <w:p>
      <w:pPr>
        <w:spacing w:line="360" w:lineRule="auto"/>
        <w:ind w:firstLine="437"/>
        <w:rPr>
          <w:rFonts w:ascii="Arial" w:hAnsi="Arial" w:eastAsia="宋体" w:cs="Arial"/>
          <w:b/>
          <w:sz w:val="24"/>
          <w:szCs w:val="18"/>
        </w:rPr>
      </w:pPr>
      <w:r>
        <w:rPr>
          <w:rFonts w:hint="eastAsia" w:ascii="Arial" w:hAnsi="Arial" w:eastAsia="宋体" w:cs="Arial"/>
          <w:b/>
          <w:sz w:val="24"/>
          <w:szCs w:val="18"/>
        </w:rPr>
        <w:t>二、服务指标重要性表述</w:t>
      </w:r>
    </w:p>
    <w:tbl>
      <w:tblPr>
        <w:tblStyle w:val="5"/>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1"/>
        <w:gridCol w:w="1260"/>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1"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标识重要性</w:t>
            </w:r>
          </w:p>
        </w:tc>
        <w:tc>
          <w:tcPr>
            <w:tcW w:w="1260"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标识符号</w:t>
            </w:r>
          </w:p>
        </w:tc>
        <w:tc>
          <w:tcPr>
            <w:tcW w:w="6061"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代表意思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631"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重要指标项</w:t>
            </w:r>
          </w:p>
        </w:tc>
        <w:tc>
          <w:tcPr>
            <w:tcW w:w="1260"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w:t>
            </w:r>
          </w:p>
        </w:tc>
        <w:tc>
          <w:tcPr>
            <w:tcW w:w="6061" w:type="dxa"/>
            <w:vAlign w:val="center"/>
          </w:tcPr>
          <w:p>
            <w:pPr>
              <w:pStyle w:val="8"/>
              <w:widowControl w:val="0"/>
              <w:spacing w:before="0" w:beforeAutospacing="0" w:after="0" w:afterAutospacing="0" w:line="360" w:lineRule="auto"/>
              <w:jc w:val="both"/>
              <w:rPr>
                <w:rFonts w:ascii="宋体" w:hAnsi="宋体" w:eastAsia="宋体" w:cs="宋体"/>
                <w:sz w:val="24"/>
                <w:szCs w:val="24"/>
              </w:rPr>
            </w:pPr>
            <w:r>
              <w:rPr>
                <w:rFonts w:ascii="Times New Roman" w:hAnsi="Times New Roman" w:cs="Times New Roman" w:eastAsiaTheme="minorEastAsia"/>
                <w:sz w:val="24"/>
                <w:szCs w:val="22"/>
              </w:rPr>
              <w:t>作为评分项，详见“第四章评标方法和标准”中评分细则。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31"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一般技术指标（无标识项）</w:t>
            </w:r>
          </w:p>
        </w:tc>
        <w:tc>
          <w:tcPr>
            <w:tcW w:w="1260"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无</w:t>
            </w:r>
          </w:p>
        </w:tc>
        <w:tc>
          <w:tcPr>
            <w:tcW w:w="6061" w:type="dxa"/>
            <w:vAlign w:val="center"/>
          </w:tcPr>
          <w:p>
            <w:pPr>
              <w:pStyle w:val="8"/>
              <w:widowControl w:val="0"/>
              <w:spacing w:before="0" w:beforeAutospacing="0" w:after="0" w:afterAutospacing="0" w:line="360" w:lineRule="auto"/>
              <w:jc w:val="both"/>
              <w:rPr>
                <w:rFonts w:ascii="Times New Roman" w:hAnsi="Times New Roman" w:cs="Times New Roman" w:eastAsiaTheme="minorEastAsia"/>
                <w:sz w:val="24"/>
                <w:szCs w:val="22"/>
              </w:rPr>
            </w:pPr>
            <w:r>
              <w:rPr>
                <w:rFonts w:ascii="Times New Roman" w:hAnsi="Times New Roman" w:cs="Times New Roman" w:eastAsiaTheme="minorEastAsia"/>
                <w:sz w:val="24"/>
                <w:szCs w:val="22"/>
              </w:rPr>
              <w:t>作为基础指标，</w:t>
            </w:r>
            <w:r>
              <w:rPr>
                <w:rFonts w:hint="eastAsia" w:ascii="Times New Roman" w:hAnsi="Times New Roman" w:cs="Times New Roman" w:eastAsiaTheme="minorEastAsia"/>
                <w:sz w:val="24"/>
                <w:szCs w:val="22"/>
              </w:rPr>
              <w:t>5</w:t>
            </w:r>
            <w:r>
              <w:rPr>
                <w:rFonts w:ascii="Times New Roman" w:hAnsi="Times New Roman" w:cs="Times New Roman" w:eastAsiaTheme="minorEastAsia"/>
                <w:sz w:val="24"/>
                <w:szCs w:val="22"/>
              </w:rPr>
              <w:t>项以上</w:t>
            </w:r>
            <w:r>
              <w:rPr>
                <w:rFonts w:hint="eastAsia" w:ascii="Times New Roman" w:hAnsi="Times New Roman" w:cs="Times New Roman" w:eastAsiaTheme="minorEastAsia"/>
                <w:sz w:val="24"/>
                <w:szCs w:val="22"/>
              </w:rPr>
              <w:t>（不含5项）不满足或未</w:t>
            </w:r>
            <w:r>
              <w:rPr>
                <w:rFonts w:ascii="Times New Roman" w:hAnsi="Times New Roman" w:cs="Times New Roman" w:eastAsiaTheme="minorEastAsia"/>
                <w:sz w:val="24"/>
                <w:szCs w:val="22"/>
              </w:rPr>
              <w:t>响应，将导致</w:t>
            </w:r>
            <w:r>
              <w:rPr>
                <w:rFonts w:hint="eastAsia" w:ascii="Times New Roman" w:hAnsi="Times New Roman" w:cs="Times New Roman" w:eastAsiaTheme="minorEastAsia"/>
                <w:sz w:val="24"/>
                <w:szCs w:val="22"/>
              </w:rPr>
              <w:t>投标</w:t>
            </w:r>
            <w:r>
              <w:rPr>
                <w:rFonts w:ascii="Times New Roman" w:hAnsi="Times New Roman" w:cs="Times New Roman" w:eastAsiaTheme="minorEastAsia"/>
                <w:sz w:val="24"/>
                <w:szCs w:val="22"/>
              </w:rPr>
              <w:t>无效。</w:t>
            </w:r>
          </w:p>
          <w:p>
            <w:pPr>
              <w:pStyle w:val="8"/>
              <w:widowControl w:val="0"/>
              <w:spacing w:before="0" w:beforeAutospacing="0" w:after="0" w:afterAutospacing="0" w:line="360" w:lineRule="auto"/>
              <w:jc w:val="both"/>
              <w:rPr>
                <w:rFonts w:ascii="宋体" w:hAnsi="宋体" w:eastAsia="宋体" w:cs="宋体"/>
                <w:sz w:val="24"/>
                <w:szCs w:val="24"/>
              </w:rPr>
            </w:pPr>
            <w:r>
              <w:rPr>
                <w:rFonts w:hint="eastAsia" w:ascii="Times New Roman" w:hAnsi="Times New Roman" w:cs="Times New Roman" w:eastAsiaTheme="minorEastAsia"/>
                <w:sz w:val="24"/>
                <w:szCs w:val="22"/>
              </w:rPr>
              <w:t>注：以投标响应表及采购需求中要求提供的证明材料作为评审依据。</w:t>
            </w:r>
          </w:p>
        </w:tc>
      </w:tr>
    </w:tbl>
    <w:p>
      <w:pPr>
        <w:spacing w:line="360" w:lineRule="auto"/>
        <w:ind w:firstLine="435"/>
        <w:rPr>
          <w:rFonts w:ascii="宋体" w:hAnsi="宋体" w:eastAsia="宋体" w:cs="宋体"/>
          <w:sz w:val="24"/>
          <w:szCs w:val="24"/>
        </w:rPr>
      </w:pPr>
      <w:r>
        <w:rPr>
          <w:rFonts w:hint="eastAsia" w:ascii="宋体" w:hAnsi="宋体" w:eastAsia="宋体" w:cs="宋体"/>
          <w:b/>
          <w:bCs/>
          <w:sz w:val="24"/>
          <w:szCs w:val="24"/>
        </w:rPr>
        <w:t>三、服务需求</w:t>
      </w:r>
    </w:p>
    <w:tbl>
      <w:tblPr>
        <w:tblStyle w:val="4"/>
        <w:tblW w:w="8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080"/>
        <w:gridCol w:w="5828"/>
        <w:gridCol w:w="69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60" w:type="dxa"/>
            <w:noWrap/>
            <w:vAlign w:val="center"/>
          </w:tcPr>
          <w:p>
            <w:pPr>
              <w:widowControl/>
              <w:spacing w:line="280" w:lineRule="exact"/>
              <w:jc w:val="center"/>
              <w:rPr>
                <w:rFonts w:asciiTheme="majorEastAsia" w:hAnsiTheme="majorEastAsia" w:eastAsiaTheme="majorEastAsia" w:cstheme="majorEastAsia"/>
                <w:b/>
                <w:bCs/>
                <w:color w:val="000000"/>
                <w:kern w:val="0"/>
                <w:szCs w:val="21"/>
              </w:rPr>
            </w:pPr>
            <w:r>
              <w:rPr>
                <w:rFonts w:hint="eastAsia" w:asciiTheme="majorEastAsia" w:hAnsiTheme="majorEastAsia" w:eastAsiaTheme="majorEastAsia" w:cstheme="majorEastAsia"/>
                <w:b/>
                <w:bCs/>
                <w:color w:val="000000"/>
                <w:kern w:val="0"/>
                <w:szCs w:val="21"/>
              </w:rPr>
              <w:t>序号</w:t>
            </w:r>
          </w:p>
        </w:tc>
        <w:tc>
          <w:tcPr>
            <w:tcW w:w="1080" w:type="dxa"/>
            <w:vAlign w:val="center"/>
          </w:tcPr>
          <w:p>
            <w:pPr>
              <w:widowControl/>
              <w:spacing w:line="280" w:lineRule="exact"/>
              <w:jc w:val="center"/>
              <w:rPr>
                <w:rFonts w:asciiTheme="majorEastAsia" w:hAnsiTheme="majorEastAsia" w:eastAsiaTheme="majorEastAsia" w:cstheme="majorEastAsia"/>
                <w:b/>
                <w:bCs/>
                <w:color w:val="000000"/>
                <w:kern w:val="0"/>
                <w:szCs w:val="21"/>
              </w:rPr>
            </w:pPr>
            <w:r>
              <w:rPr>
                <w:rFonts w:hint="eastAsia" w:asciiTheme="majorEastAsia" w:hAnsiTheme="majorEastAsia" w:eastAsiaTheme="majorEastAsia" w:cstheme="majorEastAsia"/>
                <w:b/>
                <w:bCs/>
                <w:color w:val="000000"/>
                <w:kern w:val="0"/>
                <w:szCs w:val="21"/>
              </w:rPr>
              <w:t>名称</w:t>
            </w:r>
          </w:p>
        </w:tc>
        <w:tc>
          <w:tcPr>
            <w:tcW w:w="5828" w:type="dxa"/>
            <w:noWrap/>
            <w:vAlign w:val="center"/>
          </w:tcPr>
          <w:p>
            <w:pPr>
              <w:widowControl/>
              <w:spacing w:line="280" w:lineRule="exact"/>
              <w:jc w:val="center"/>
              <w:rPr>
                <w:rFonts w:asciiTheme="majorEastAsia" w:hAnsiTheme="majorEastAsia" w:eastAsiaTheme="majorEastAsia" w:cstheme="majorEastAsia"/>
                <w:b/>
                <w:bCs/>
                <w:color w:val="000000"/>
                <w:kern w:val="0"/>
                <w:szCs w:val="21"/>
              </w:rPr>
            </w:pPr>
            <w:r>
              <w:rPr>
                <w:rFonts w:hint="eastAsia" w:asciiTheme="majorEastAsia" w:hAnsiTheme="majorEastAsia" w:eastAsiaTheme="majorEastAsia" w:cstheme="majorEastAsia"/>
                <w:b/>
                <w:bCs/>
                <w:color w:val="000000"/>
                <w:kern w:val="0"/>
                <w:szCs w:val="21"/>
              </w:rPr>
              <w:t>主要技术参数及需求内容</w:t>
            </w:r>
          </w:p>
        </w:tc>
        <w:tc>
          <w:tcPr>
            <w:tcW w:w="690" w:type="dxa"/>
            <w:vAlign w:val="center"/>
          </w:tcPr>
          <w:p>
            <w:pPr>
              <w:widowControl/>
              <w:spacing w:line="280" w:lineRule="exact"/>
              <w:jc w:val="center"/>
              <w:rPr>
                <w:rFonts w:asciiTheme="majorEastAsia" w:hAnsiTheme="majorEastAsia" w:eastAsiaTheme="majorEastAsia" w:cstheme="majorEastAsia"/>
                <w:b/>
                <w:bCs/>
                <w:color w:val="000000"/>
                <w:kern w:val="0"/>
                <w:szCs w:val="21"/>
              </w:rPr>
            </w:pPr>
            <w:r>
              <w:rPr>
                <w:rFonts w:hint="eastAsia" w:asciiTheme="majorEastAsia" w:hAnsiTheme="majorEastAsia" w:eastAsiaTheme="majorEastAsia" w:cstheme="majorEastAsia"/>
                <w:b/>
                <w:bCs/>
                <w:color w:val="000000"/>
                <w:kern w:val="0"/>
                <w:szCs w:val="21"/>
              </w:rPr>
              <w:t>单位</w:t>
            </w:r>
          </w:p>
        </w:tc>
        <w:tc>
          <w:tcPr>
            <w:tcW w:w="660" w:type="dxa"/>
            <w:vAlign w:val="center"/>
          </w:tcPr>
          <w:p>
            <w:pPr>
              <w:widowControl/>
              <w:spacing w:line="280" w:lineRule="exact"/>
              <w:jc w:val="center"/>
              <w:rPr>
                <w:rFonts w:asciiTheme="majorEastAsia" w:hAnsiTheme="majorEastAsia" w:eastAsiaTheme="majorEastAsia" w:cstheme="majorEastAsia"/>
                <w:b/>
                <w:bCs/>
                <w:color w:val="000000"/>
                <w:kern w:val="0"/>
                <w:szCs w:val="21"/>
              </w:rPr>
            </w:pPr>
            <w:r>
              <w:rPr>
                <w:rFonts w:hint="eastAsia" w:asciiTheme="majorEastAsia" w:hAnsiTheme="majorEastAsia" w:eastAsiaTheme="majorEastAsia" w:cstheme="majorEastAsia"/>
                <w:b/>
                <w:bCs/>
                <w:color w:val="000000"/>
                <w:kern w:val="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noWrap/>
            <w:vAlign w:val="center"/>
          </w:tcPr>
          <w:p>
            <w:pPr>
              <w:widowControl/>
              <w:spacing w:line="288" w:lineRule="auto"/>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1</w:t>
            </w:r>
          </w:p>
        </w:tc>
        <w:tc>
          <w:tcPr>
            <w:tcW w:w="1080" w:type="dxa"/>
            <w:noWrap/>
            <w:vAlign w:val="center"/>
          </w:tcPr>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bCs/>
                <w:szCs w:val="21"/>
              </w:rPr>
              <w:t>煤基固废绿色填充虚拟仿真实验系统</w:t>
            </w:r>
          </w:p>
        </w:tc>
        <w:tc>
          <w:tcPr>
            <w:tcW w:w="5828" w:type="dxa"/>
            <w:vAlign w:val="center"/>
          </w:tcPr>
          <w:p>
            <w:pPr>
              <w:spacing w:line="288" w:lineRule="auto"/>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1、项目制作</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（1）满足教育部示范性虚拟仿真实验教学项目建设的申报要求。</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（2）满足2-6课时（或实验系统脚本设计的课时）的实验教学需求，设计学生实际参与的交互性实验操作步骤不小于15步（含15步）。</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（3）根据每个实验教学系统的具体考核要求，设计知识考核点。当学生进行开放实验时，能实时记录每个学生作答结果及作答时间。能对学生虚拟仿真实验过程数据进行信息统计。</w:t>
            </w:r>
          </w:p>
          <w:p>
            <w:pPr>
              <w:spacing w:line="288" w:lineRule="auto"/>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2、构成要素</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虚拟仿真实验项目的构成要素包含实验目的、实验原理（知识点）、实验仪器设备（装置或软件等）、实验材料（或预设参数等）、实验教学方法、实验方法于步骤要求、实验结果于结论要求、考核要求。</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（1）基本功能。全屏：可以缩放屏幕；帮助：可以查看实验主要内容与流程简介，以及如何进行软件基本操作；设置：可以设置实验相关系统环境参数；首页：可以返回首页。</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学习方式。学习模式：以学生完全自主进行实验操作，并获得实验评价的学习方式，此方式下应有知识指导帮助、软件操作提示，学生有极大的交互自由度进行实验过程，并可获得与其交互操作输入相应的输出结果，同时具有完整的实验评价功能；考核模式：以考核学生的知识与能力为目的，同上具有学生完全自主的实验过程与实验评价的功能，但不具有知识指导帮助内容。</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（3）实验认知。知识模块：学习理论知识；认知模块：对仪器设备、实验场景等实验对象操作的介绍，让学习者了解实验对象。</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（4）实验流程及进度控制。任务（流程）：查看、利用流程；导航：实验导航、视图导航；选择：可以进去不同模块；提示：可以打开关闭提示栏；工具（背包）：查看、利用工具。</w:t>
            </w:r>
          </w:p>
          <w:p>
            <w:pPr>
              <w:spacing w:line="288" w:lineRule="auto"/>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3、技术接口规范</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虚拟仿真实验资源应满足《信息技术学习、教育和培训虚拟实验教学指导接口规范》。</w:t>
            </w:r>
          </w:p>
          <w:p>
            <w:pPr>
              <w:spacing w:line="288" w:lineRule="auto"/>
              <w:rPr>
                <w:rFonts w:asciiTheme="majorEastAsia" w:hAnsiTheme="majorEastAsia" w:eastAsiaTheme="majorEastAsia" w:cstheme="majorEastAsia"/>
                <w:b/>
                <w:bCs/>
                <w:szCs w:val="21"/>
              </w:rPr>
            </w:pPr>
            <w:r>
              <w:rPr>
                <w:rFonts w:hint="eastAsia" w:ascii="宋体" w:hAnsi="宋体" w:eastAsia="宋体" w:cs="宋体"/>
                <w:b/>
                <w:bCs/>
                <w:sz w:val="24"/>
              </w:rPr>
              <w:t>★</w:t>
            </w:r>
            <w:r>
              <w:rPr>
                <w:rFonts w:hint="eastAsia" w:asciiTheme="majorEastAsia" w:hAnsiTheme="majorEastAsia" w:eastAsiaTheme="majorEastAsia" w:cstheme="majorEastAsia"/>
                <w:b/>
                <w:bCs/>
                <w:szCs w:val="21"/>
              </w:rPr>
              <w:t>4、功能要求</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与校方虚拟仿真实验教学管理平台无缝兼容（端口开放），能够准确地记录实验过程数据，能与MySQL数据库进行实时通讯、同步数据。</w:t>
            </w:r>
          </w:p>
          <w:p>
            <w:pPr>
              <w:spacing w:line="288" w:lineRule="auto"/>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5、系统架构</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（1）采用B/S系统架构，满足校园网、互联网远程开放实验教学需要。</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（2）支360或火狐等常用、主流的浏览器，支持Windows 7及以上操作系统。</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（3）采用主流虚拟引擎制作工具，确保技术先进。PC端运行的最大分辨率为1920*1080。</w:t>
            </w:r>
          </w:p>
          <w:p>
            <w:pPr>
              <w:spacing w:line="288" w:lineRule="auto"/>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6、操作方式</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支持网页界面三维虚拟仿真操作方式；采用分步骤的展示实验操作过程，支持3D模型任意角度的旋转、移动、缩放操作；通过键盘+鼠标的方式来进行操作，较好的体现实验资源教学过程中的人机交互功能。</w:t>
            </w:r>
          </w:p>
          <w:p>
            <w:pPr>
              <w:spacing w:line="288" w:lineRule="auto"/>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7、模型动画技术要求</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（1）必须按照1：1制作指定场景，如试验现场、材料、试验设备和工具等；</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（2）标准化建模，引擎场景要做到最大优化，保证系统流畅运行；</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（3）有近距离交互功能模型需要精细建模，单体模型不能有穿插；</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（4）场景内模型不能有闪面、重面、破面，不能有多边面，保证场景演示无闪烁现象；</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（5）布线基于结构优化表现，所有模型必须都要有光滑组，光滑组处理符合标准；</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（6）模型UV需要最大限度的利用UV空间，减少接缝；</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（7）系统需进行场景烘焙，烘焙不能曝光过度，不能有黑边现象，烘焙方式视场景优化情况而定；</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（8）系统场景动画要求真实、自然，符合仿真训练要求；</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（9）系统场景帧率理想情况下大于60帧，最低不低于30帧。</w:t>
            </w:r>
          </w:p>
          <w:p>
            <w:pPr>
              <w:spacing w:line="288" w:lineRule="auto"/>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8、交互开发技术要求</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（1）提供第一人称控制方式、全局观察方式。在场景中可以通过键盘按键对这些控制方式进行切换。场景的各种控制方式采用键盘、鼠标来控制，移动、旋转要符合逻辑且运行流畅。</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（2）以3D形式展现对象，展示时要求过程流畅，平滑连续，响应及时，采用多视角切换方式，可进行全维、全角度的旋转和查看。</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（3）UI界面设计：菜单栏、工具栏、视图窗口、属性窗口、模型库窗口、对话框、WEB浏览等设计合理，满足虚拟仿真实验操作要求。</w:t>
            </w:r>
          </w:p>
          <w:p>
            <w:pPr>
              <w:spacing w:line="288" w:lineRule="auto"/>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9、实验内容</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9.1 教学功能</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实验内容根据课程大纲，支持完整的教学过程管理功能，实验认知、实验原理、实验仪器操作、实验材料、实验方法、实验流程、实验考核等功能。</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9.2 软件栏目</w:t>
            </w:r>
          </w:p>
          <w:p>
            <w:pPr>
              <w:widowControl/>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软件操作界面简洁明了，内容丰富，包括煤基固废绿色充填理论知识，煤基固废材料破碎、投料井下料、井下膏体充填材料制备、工作面充注、充填开采技术操作等。</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9.3 实验方法与步骤要求</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（1）实验方法描述： </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通过虚拟仿真呈现井下煤基固废充填过程和井下充填设施设备，通过虚拟仿真可 以实现传统垮落法和充填采煤法主要设备操作流程、岩层运移、裂隙扩展和开采沉陷 问题的再现，让学生了解到充填开采技术的原理和工艺流程，以及煤基固废绿色充填形成的经济和社会价值。 </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（2）学生交互性操作步骤说明： </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通过三维仿真及虚拟现实技术动态模式分别演示井下工作面垮落法和充填开采后，上覆煤岩层移动、变形及垮落形态。学生通过交互操作，熟识并掌握工作面回采 后上覆裂隙场的形成与演化过程。 通过三维仿真及虚拟现实技术动态模式演示煤基固废材料破碎、投料井下料、井 下膏体充填材料制备、工作面充注的步骤整个过程。学生通过交互操作，让学生了解 煤基固废是如何从地面堆积被输送到井下处置的。 根据绿色充填开采理论，采用单人练习模式，通过人机交互模拟充填工作面设计，实现采煤机割煤（启动、调整滚筒姿态、停止）、刮板输送机运煤（启动、调节速度、 停止）、液压支架移架（推溜、升降立柱、收张护帮板）、搅拌机制备膏体材料（启动、调节转速、停止）与充填泵充注膏体（启动、调节压力、停止）等一整套充填开采技术操作，使学生熟知煤基固废绿色充填开采工艺和技术原理。整个实验过程设置 15 步交互性操作，嵌入到每一个知识点中。</w:t>
            </w:r>
          </w:p>
          <w:p>
            <w:pPr>
              <w:spacing w:line="288" w:lineRule="auto"/>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10、实验结果要求</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（1）记录每步实验结果</w:t>
            </w:r>
          </w:p>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（2）实验结果与结论要求：自动生成实验报告，要有心得体会。</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b/>
                <w:bCs/>
                <w:szCs w:val="21"/>
              </w:rPr>
              <w:t>11、为了验证投标人具备产品关键功能的开发能力，保证项目顺利实施，需提供以往已开发完成的虚拟仿真实验软件进行下述功能的现场演示：</w:t>
            </w:r>
            <w:r>
              <w:rPr>
                <w:rFonts w:hint="eastAsia" w:asciiTheme="majorEastAsia" w:hAnsiTheme="majorEastAsia" w:eastAsiaTheme="majorEastAsia" w:cstheme="majorEastAsia"/>
                <w:b/>
                <w:bCs/>
                <w:color w:val="FF0000"/>
                <w:szCs w:val="21"/>
              </w:rPr>
              <w:t>（必须用真实系统演示，PPT等非真实系统演示不得分，现场仅提供电源和网络环境，投标人须自备演示设备；演示时间不超过20分钟，未提供演示或经评标委员会认定为演示内容不能满足招标文件要求的，视为该项不满足要求）</w:t>
            </w:r>
          </w:p>
          <w:p>
            <w:pPr>
              <w:autoSpaceDE w:val="0"/>
              <w:spacing w:line="288" w:lineRule="auto"/>
              <w:jc w:val="left"/>
              <w:rPr>
                <w:rFonts w:asciiTheme="majorEastAsia" w:hAnsiTheme="majorEastAsia" w:eastAsiaTheme="majorEastAsia" w:cstheme="majorEastAsia"/>
                <w:szCs w:val="21"/>
              </w:rPr>
            </w:pPr>
            <w:r>
              <w:rPr>
                <w:rFonts w:hint="eastAsia" w:ascii="宋体" w:hAnsi="宋体" w:eastAsia="宋体" w:cs="宋体"/>
                <w:b/>
                <w:bCs/>
                <w:sz w:val="24"/>
              </w:rPr>
              <w:t>★</w:t>
            </w:r>
            <w:r>
              <w:rPr>
                <w:rFonts w:hint="eastAsia" w:asciiTheme="majorEastAsia" w:hAnsiTheme="majorEastAsia" w:eastAsiaTheme="majorEastAsia" w:cstheme="majorEastAsia"/>
                <w:szCs w:val="21"/>
              </w:rPr>
              <w:t>（1）工具背包，支持从工具背包中拖拽仪器设备完成实验交互，仪器设备有锁口、伞钻、贮氨器、防水塑料板、锚杆、吊盘、冻结管、冷凝器、风筒、管路等。</w:t>
            </w:r>
          </w:p>
          <w:p>
            <w:pPr>
              <w:autoSpaceDE w:val="0"/>
              <w:spacing w:line="288" w:lineRule="auto"/>
              <w:jc w:val="left"/>
              <w:rPr>
                <w:rFonts w:asciiTheme="majorEastAsia" w:hAnsiTheme="majorEastAsia" w:eastAsiaTheme="majorEastAsia" w:cstheme="majorEastAsia"/>
                <w:szCs w:val="21"/>
              </w:rPr>
            </w:pPr>
            <w:r>
              <w:rPr>
                <w:rFonts w:hint="eastAsia" w:ascii="宋体" w:hAnsi="宋体" w:eastAsia="宋体" w:cs="宋体"/>
                <w:b/>
                <w:bCs/>
                <w:sz w:val="24"/>
              </w:rPr>
              <w:t>★</w:t>
            </w:r>
            <w:r>
              <w:rPr>
                <w:rFonts w:hint="eastAsia" w:asciiTheme="majorEastAsia" w:hAnsiTheme="majorEastAsia" w:eastAsiaTheme="majorEastAsia" w:cstheme="majorEastAsia"/>
                <w:szCs w:val="21"/>
              </w:rPr>
              <w:t>（2）地形概貌三维展示，包括平坦地表、山地地表，支持调节地表下透明度，观察地表下土层状况，同时支持矿体参数设计，展示不同状态矿体形态。</w:t>
            </w:r>
          </w:p>
          <w:p>
            <w:pPr>
              <w:autoSpaceDE w:val="0"/>
              <w:spacing w:line="288" w:lineRule="auto"/>
              <w:jc w:val="left"/>
              <w:rPr>
                <w:rFonts w:asciiTheme="majorEastAsia" w:hAnsiTheme="majorEastAsia" w:eastAsiaTheme="majorEastAsia" w:cstheme="majorEastAsia"/>
                <w:szCs w:val="21"/>
              </w:rPr>
            </w:pPr>
            <w:r>
              <w:rPr>
                <w:rFonts w:hint="eastAsia" w:ascii="宋体" w:hAnsi="宋体" w:eastAsia="宋体" w:cs="宋体"/>
                <w:b/>
                <w:bCs/>
                <w:sz w:val="24"/>
              </w:rPr>
              <w:t>★</w:t>
            </w:r>
            <w:r>
              <w:rPr>
                <w:rFonts w:hint="eastAsia" w:asciiTheme="majorEastAsia" w:hAnsiTheme="majorEastAsia" w:eastAsiaTheme="majorEastAsia" w:cstheme="majorEastAsia"/>
                <w:szCs w:val="21"/>
              </w:rPr>
              <w:t>（3）表面应变法，支持工具选择包括打磨机、电阻应变花静态电阻应变仪、铜导线、砂纸、实验记录表、钻机、薄壁钻头，模拟真实表面应变测量过程。</w:t>
            </w:r>
          </w:p>
          <w:p>
            <w:pPr>
              <w:widowControl/>
              <w:spacing w:line="288" w:lineRule="auto"/>
              <w:jc w:val="left"/>
              <w:textAlignment w:val="center"/>
              <w:rPr>
                <w:rFonts w:asciiTheme="majorEastAsia" w:hAnsiTheme="majorEastAsia" w:eastAsiaTheme="majorEastAsia" w:cstheme="majorEastAsia"/>
                <w:szCs w:val="21"/>
              </w:rPr>
            </w:pPr>
            <w:r>
              <w:rPr>
                <w:rFonts w:hint="eastAsia" w:ascii="宋体" w:hAnsi="宋体" w:eastAsia="宋体" w:cs="宋体"/>
                <w:b/>
                <w:bCs/>
                <w:sz w:val="24"/>
              </w:rPr>
              <w:t>★</w:t>
            </w:r>
            <w:r>
              <w:rPr>
                <w:rFonts w:hint="eastAsia" w:asciiTheme="majorEastAsia" w:hAnsiTheme="majorEastAsia" w:eastAsiaTheme="majorEastAsia" w:cstheme="majorEastAsia"/>
                <w:szCs w:val="21"/>
              </w:rPr>
              <w:t>（4）模拟采煤机设备操作，可控制采煤机左启、右启、牵引、左停、右停、结构、破升、破降、行走箱、上升、下降、截割部等操作，同时缩放旋转360°观看。</w:t>
            </w:r>
          </w:p>
          <w:p>
            <w:pPr>
              <w:pStyle w:val="2"/>
              <w:spacing w:line="288" w:lineRule="auto"/>
              <w:rPr>
                <w:rFonts w:asciiTheme="majorEastAsia" w:hAnsiTheme="majorEastAsia" w:eastAsiaTheme="majorEastAsia" w:cstheme="majorEastAsia"/>
                <w:sz w:val="21"/>
                <w:szCs w:val="21"/>
              </w:rPr>
            </w:pPr>
            <w:r>
              <w:rPr>
                <w:rFonts w:hint="eastAsia" w:ascii="宋体" w:hAnsi="宋体" w:cs="宋体"/>
                <w:b/>
                <w:bCs/>
              </w:rPr>
              <w:t>★</w:t>
            </w:r>
            <w:r>
              <w:rPr>
                <w:rFonts w:hint="eastAsia" w:asciiTheme="majorEastAsia" w:hAnsiTheme="majorEastAsia" w:eastAsiaTheme="majorEastAsia" w:cstheme="majorEastAsia"/>
                <w:b/>
                <w:bCs/>
                <w:sz w:val="21"/>
                <w:szCs w:val="21"/>
              </w:rPr>
              <w:t>12、</w:t>
            </w:r>
            <w:r>
              <w:rPr>
                <w:rFonts w:hint="eastAsia" w:asciiTheme="majorEastAsia" w:hAnsiTheme="majorEastAsia" w:eastAsiaTheme="majorEastAsia" w:cstheme="majorEastAsia"/>
                <w:b/>
                <w:bCs/>
                <w:color w:val="auto"/>
                <w:kern w:val="2"/>
                <w:sz w:val="21"/>
                <w:szCs w:val="21"/>
              </w:rPr>
              <w:t>达到国家级虚拟仿真实验教学一流课程申报标准。</w:t>
            </w:r>
          </w:p>
        </w:tc>
        <w:tc>
          <w:tcPr>
            <w:tcW w:w="690" w:type="dxa"/>
            <w:vAlign w:val="center"/>
          </w:tcPr>
          <w:p>
            <w:pPr>
              <w:spacing w:line="288" w:lineRule="auto"/>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套</w:t>
            </w:r>
          </w:p>
        </w:tc>
        <w:tc>
          <w:tcPr>
            <w:tcW w:w="660" w:type="dxa"/>
            <w:noWrap/>
            <w:vAlign w:val="center"/>
          </w:tcPr>
          <w:p>
            <w:pPr>
              <w:spacing w:line="288" w:lineRule="auto"/>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noWrap/>
            <w:vAlign w:val="center"/>
          </w:tcPr>
          <w:p>
            <w:pPr>
              <w:widowControl/>
              <w:spacing w:line="288" w:lineRule="auto"/>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2</w:t>
            </w:r>
          </w:p>
        </w:tc>
        <w:tc>
          <w:tcPr>
            <w:tcW w:w="1080" w:type="dxa"/>
            <w:noWrap/>
            <w:vAlign w:val="center"/>
          </w:tcPr>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沉浸式VR头盔</w:t>
            </w:r>
          </w:p>
        </w:tc>
        <w:tc>
          <w:tcPr>
            <w:tcW w:w="5828" w:type="dxa"/>
            <w:vAlign w:val="center"/>
          </w:tcPr>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1.屏幕：至少2个3.5英寸AMOLED；分辨率：单眼分辨率≥1440x1600，双眼分辨率≥3K（2880x1600）；刷新率≥90Hz；视场角≥110°；</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2.音频输出：Hi-ResAudio认证头戴式设备Hi-ResAudio认证耳机（可拆卸式）支持高阻抗耳机；音频输入：内置麦克风；</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3.连接口：USB-C3.0、DP1.2、蓝牙；</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4.传感器：SteamVR追踪技术、G-sensor校正、gyroscope陀螺仪、proximity距离感测器、瞳距感测器；</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5.人体工学设计：可调整镜头距离（适配佩戴眼镜用户）；可以调整瞳距；可调试耳机；可调试头带；</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6.单套设备最大跟踪范围≥7m×7m；按键数量≥5；</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7.跟踪：使用跟踪设备进行运动捕获具有振动反馈；</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8.支持VR局域网多人协同和互联网的多人协同方式；</w:t>
            </w:r>
          </w:p>
          <w:p>
            <w:pPr>
              <w:autoSpaceDE w:val="0"/>
              <w:spacing w:line="288" w:lineRule="auto"/>
              <w:jc w:val="left"/>
              <w:rPr>
                <w:rFonts w:asciiTheme="majorEastAsia" w:hAnsiTheme="majorEastAsia" w:eastAsiaTheme="majorEastAsia" w:cstheme="majorEastAsia"/>
                <w:szCs w:val="21"/>
              </w:rPr>
            </w:pPr>
            <w:r>
              <w:rPr>
                <w:rFonts w:hint="eastAsia" w:ascii="宋体" w:hAnsi="宋体" w:eastAsia="宋体" w:cs="宋体"/>
                <w:b/>
                <w:bCs/>
                <w:sz w:val="24"/>
              </w:rPr>
              <w:t>★</w:t>
            </w:r>
            <w:r>
              <w:rPr>
                <w:rFonts w:hint="eastAsia" w:asciiTheme="majorEastAsia" w:hAnsiTheme="majorEastAsia" w:eastAsiaTheme="majorEastAsia" w:cstheme="majorEastAsia"/>
                <w:szCs w:val="21"/>
              </w:rPr>
              <w:t>9. 协同过程中彼此可见，可以看到对方的人物模型、手柄射线、操作人员名称，且显示名称要求可以自定义；协同过程中可以对同一物体交互，可以配合完成某项工作和指令，物体位置信息，操作事件均可以协同操作；</w:t>
            </w:r>
            <w:r>
              <w:rPr>
                <w:rFonts w:hint="eastAsia" w:asciiTheme="majorEastAsia" w:hAnsiTheme="majorEastAsia" w:eastAsiaTheme="majorEastAsia" w:cstheme="majorEastAsia"/>
                <w:b/>
                <w:bCs/>
                <w:szCs w:val="21"/>
              </w:rPr>
              <w:t>（该功能需提供视频证明材料，以U盘形式与投标文件一并递交）</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10.交互程序同时可以在单通道立体显示交互系统上运行；支持主动立体、被动立体、VR头盔多种沉浸式显示方式；</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11.支持沉浸式下三维菜单，支持快速扩展、更改风格，支持虚拟键盘触发功能；</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12.支持沉浸式下多种漫游方式：无需编程与脚本即可快速支持视点切换、瞬移、飞毯、行走、锁定垂直轴向、选择平面、锁定平面多种漫游方式； </w:t>
            </w:r>
          </w:p>
          <w:p>
            <w:pPr>
              <w:autoSpaceDE w:val="0"/>
              <w:spacing w:line="288" w:lineRule="auto"/>
              <w:jc w:val="left"/>
              <w:rPr>
                <w:rFonts w:asciiTheme="majorEastAsia" w:hAnsiTheme="majorEastAsia" w:eastAsiaTheme="majorEastAsia" w:cstheme="majorEastAsia"/>
                <w:szCs w:val="21"/>
              </w:rPr>
            </w:pPr>
            <w:r>
              <w:rPr>
                <w:rFonts w:hint="eastAsia" w:ascii="宋体" w:hAnsi="宋体" w:eastAsia="宋体" w:cs="宋体"/>
                <w:b/>
                <w:bCs/>
                <w:sz w:val="24"/>
              </w:rPr>
              <w:t>★</w:t>
            </w:r>
            <w:r>
              <w:rPr>
                <w:rFonts w:hint="eastAsia" w:asciiTheme="majorEastAsia" w:hAnsiTheme="majorEastAsia" w:eastAsiaTheme="majorEastAsia" w:cstheme="majorEastAsia"/>
                <w:szCs w:val="21"/>
              </w:rPr>
              <w:t>13.提供三维创作空间场景，可连接至投影屏幕并可在虚拟场景中漫游、瞬移，提供画笔绘画、配乐功能，可使用手柄控制进行切换和画面自由创作；</w:t>
            </w:r>
            <w:r>
              <w:rPr>
                <w:rFonts w:hint="eastAsia" w:asciiTheme="majorEastAsia" w:hAnsiTheme="majorEastAsia" w:eastAsiaTheme="majorEastAsia" w:cstheme="majorEastAsia"/>
                <w:b/>
                <w:bCs/>
                <w:szCs w:val="21"/>
              </w:rPr>
              <w:t>（该功能需提供视频证明材料，以U盘形式与投标文件一并递交）</w:t>
            </w:r>
          </w:p>
          <w:p>
            <w:pPr>
              <w:autoSpaceDE w:val="0"/>
              <w:spacing w:line="288" w:lineRule="auto"/>
              <w:jc w:val="left"/>
              <w:rPr>
                <w:rFonts w:asciiTheme="majorEastAsia" w:hAnsiTheme="majorEastAsia" w:eastAsiaTheme="majorEastAsia" w:cstheme="majorEastAsia"/>
                <w:szCs w:val="21"/>
              </w:rPr>
            </w:pPr>
            <w:r>
              <w:rPr>
                <w:rFonts w:hint="eastAsia" w:ascii="宋体" w:hAnsi="宋体" w:eastAsia="宋体" w:cs="宋体"/>
                <w:b/>
                <w:bCs/>
                <w:sz w:val="24"/>
              </w:rPr>
              <w:t>★</w:t>
            </w:r>
            <w:r>
              <w:rPr>
                <w:rFonts w:hint="eastAsia" w:asciiTheme="majorEastAsia" w:hAnsiTheme="majorEastAsia" w:eastAsiaTheme="majorEastAsia" w:cstheme="majorEastAsia"/>
                <w:szCs w:val="21"/>
              </w:rPr>
              <w:t>14.</w:t>
            </w:r>
            <w:r>
              <w:rPr>
                <w:rFonts w:hint="eastAsia" w:asciiTheme="majorEastAsia" w:hAnsiTheme="majorEastAsia" w:eastAsiaTheme="majorEastAsia" w:cstheme="majorEastAsia"/>
                <w:kern w:val="0"/>
                <w:szCs w:val="21"/>
              </w:rPr>
              <w:t>所投产品型号具有中国强制性产品认证（3C）证书复印件</w:t>
            </w:r>
            <w:r>
              <w:rPr>
                <w:rFonts w:hint="eastAsia" w:asciiTheme="majorEastAsia" w:hAnsiTheme="majorEastAsia" w:eastAsiaTheme="majorEastAsia" w:cstheme="majorEastAsia"/>
                <w:szCs w:val="21"/>
              </w:rPr>
              <w:t>。</w:t>
            </w:r>
          </w:p>
        </w:tc>
        <w:tc>
          <w:tcPr>
            <w:tcW w:w="690" w:type="dxa"/>
            <w:vAlign w:val="center"/>
          </w:tcPr>
          <w:p>
            <w:pPr>
              <w:spacing w:line="288" w:lineRule="auto"/>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套</w:t>
            </w:r>
          </w:p>
        </w:tc>
        <w:tc>
          <w:tcPr>
            <w:tcW w:w="660" w:type="dxa"/>
            <w:noWrap/>
            <w:vAlign w:val="center"/>
          </w:tcPr>
          <w:p>
            <w:pPr>
              <w:spacing w:line="288" w:lineRule="auto"/>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noWrap/>
            <w:vAlign w:val="center"/>
          </w:tcPr>
          <w:p>
            <w:pPr>
              <w:widowControl/>
              <w:spacing w:line="288" w:lineRule="auto"/>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3</w:t>
            </w:r>
          </w:p>
        </w:tc>
        <w:tc>
          <w:tcPr>
            <w:tcW w:w="1080" w:type="dxa"/>
            <w:noWrap/>
            <w:vAlign w:val="center"/>
          </w:tcPr>
          <w:p>
            <w:pPr>
              <w:spacing w:line="288"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沉浸式VR数据处理工作站</w:t>
            </w:r>
          </w:p>
        </w:tc>
        <w:tc>
          <w:tcPr>
            <w:tcW w:w="5828" w:type="dxa"/>
            <w:vAlign w:val="center"/>
          </w:tcPr>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采用虚拟现实3D渲染型实训电脑，流畅播放3D场景及3D程序，专门针对虚拟现实高强度三维应用所优化，在64位Windows平台上实现高性能专业图形运算，支持不低于500万面超大规模虚拟现实场景实时漫游，帧率不低于30FPS，支持16倍抗锯齿，32倍各项异性过滤；</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2.CPU：≥Intel i7-10700 6核心12线程处理器；</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3.内存：≥16GB DDR4 3200MHz，支持4个DIMM插槽，最大支持128GB；</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4.显卡：≥NVIDIA GeForce GTX1660Ti 6G独立显卡；</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5.硬盘1：≥256GB M.2 PCle 4.0高速固态硬盘；</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6.硬盘2：≥1TB 高速机械硬盘；</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7.网卡：集成10/100/1000M自适应网卡，千兆以太网卡；</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8.接口：前置：2*USB3.2 Gen1端口，2*USB3.2 Gen1端口，1*USB3.2 Gen2 TypeC端口，1个耳机插孔，1个麦克风插孔；后置：2*USB3.2 Gen1端口，1*USB2.0端口，1*HDMI接口，3*DP接口，1*LAN网线接口；</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9.电源：≥500W认证电源；</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10.操作系统：预装Windows 10 Professional 64bit OS（中文版）；</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11.支持IPv6网络连接，机箱大小≥17L；</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12.配备无菌同品牌有线键盘鼠标；</w:t>
            </w:r>
          </w:p>
          <w:p>
            <w:pPr>
              <w:autoSpaceDE w:val="0"/>
              <w:spacing w:line="288" w:lineRule="auto"/>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13.配置≥23.8英寸高清液晶显示器；</w:t>
            </w:r>
          </w:p>
          <w:p>
            <w:pPr>
              <w:autoSpaceDE w:val="0"/>
              <w:spacing w:line="288" w:lineRule="auto"/>
              <w:jc w:val="left"/>
              <w:rPr>
                <w:rFonts w:asciiTheme="majorEastAsia" w:hAnsiTheme="majorEastAsia" w:eastAsiaTheme="majorEastAsia" w:cstheme="majorEastAsia"/>
                <w:szCs w:val="21"/>
              </w:rPr>
            </w:pPr>
            <w:r>
              <w:rPr>
                <w:rFonts w:hint="eastAsia" w:ascii="宋体" w:hAnsi="宋体" w:eastAsia="宋体" w:cs="宋体"/>
                <w:b/>
                <w:bCs/>
                <w:sz w:val="24"/>
              </w:rPr>
              <w:t>★</w:t>
            </w:r>
            <w:r>
              <w:rPr>
                <w:rFonts w:hint="eastAsia" w:asciiTheme="majorEastAsia" w:hAnsiTheme="majorEastAsia" w:eastAsiaTheme="majorEastAsia" w:cstheme="majorEastAsia"/>
                <w:szCs w:val="21"/>
              </w:rPr>
              <w:t>14.</w:t>
            </w:r>
            <w:r>
              <w:rPr>
                <w:rFonts w:hint="eastAsia" w:asciiTheme="majorEastAsia" w:hAnsiTheme="majorEastAsia" w:eastAsiaTheme="majorEastAsia" w:cstheme="majorEastAsia"/>
                <w:kern w:val="0"/>
                <w:szCs w:val="21"/>
              </w:rPr>
              <w:t>所投产品型号具有中国强制性产品认证（3C）证书，中国节能产品认证证书复印件</w:t>
            </w:r>
            <w:r>
              <w:rPr>
                <w:rFonts w:hint="eastAsia" w:asciiTheme="majorEastAsia" w:hAnsiTheme="majorEastAsia" w:eastAsiaTheme="majorEastAsia" w:cstheme="majorEastAsia"/>
                <w:szCs w:val="21"/>
              </w:rPr>
              <w:t>。</w:t>
            </w:r>
          </w:p>
        </w:tc>
        <w:tc>
          <w:tcPr>
            <w:tcW w:w="690" w:type="dxa"/>
            <w:vAlign w:val="center"/>
          </w:tcPr>
          <w:p>
            <w:pPr>
              <w:spacing w:line="288" w:lineRule="auto"/>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套</w:t>
            </w:r>
          </w:p>
        </w:tc>
        <w:tc>
          <w:tcPr>
            <w:tcW w:w="660" w:type="dxa"/>
            <w:noWrap/>
            <w:vAlign w:val="center"/>
          </w:tcPr>
          <w:p>
            <w:pPr>
              <w:spacing w:line="288" w:lineRule="auto"/>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5</w:t>
            </w:r>
          </w:p>
        </w:tc>
      </w:tr>
    </w:tbl>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四、报价要求</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本项目报价包含完成本项目所需的全部费用，中标后采购人不在另行支付任何费用。</w:t>
      </w:r>
    </w:p>
    <w:p>
      <w:pPr>
        <w:rPr>
          <w:rFonts w:ascii="宋体" w:hAnsi="宋体" w:eastAsia="宋体" w:cs="宋体"/>
          <w:b/>
          <w:bCs/>
          <w:color w:val="FF0000"/>
          <w:sz w:val="24"/>
          <w:szCs w:val="24"/>
        </w:rPr>
      </w:pPr>
      <w:r>
        <w:rPr>
          <w:rFonts w:hint="eastAsia" w:ascii="宋体" w:hAnsi="宋体" w:eastAsia="宋体" w:cs="宋体"/>
          <w:b/>
          <w:bCs/>
          <w:color w:val="FF0000"/>
          <w:sz w:val="24"/>
          <w:szCs w:val="24"/>
        </w:rPr>
        <w:br w:type="page"/>
      </w:r>
    </w:p>
    <w:p>
      <w:pPr>
        <w:spacing w:line="360" w:lineRule="auto"/>
        <w:ind w:firstLine="435"/>
        <w:outlineLvl w:val="2"/>
        <w:rPr>
          <w:rFonts w:ascii="宋体" w:hAnsi="宋体" w:eastAsia="宋体" w:cs="宋体"/>
          <w:b/>
          <w:bCs/>
          <w:color w:val="FF0000"/>
          <w:sz w:val="24"/>
          <w:szCs w:val="24"/>
        </w:rPr>
      </w:pPr>
      <w:r>
        <w:rPr>
          <w:rFonts w:hint="eastAsia" w:ascii="宋体" w:hAnsi="宋体" w:eastAsia="宋体" w:cs="宋体"/>
          <w:b/>
          <w:bCs/>
          <w:color w:val="FF0000"/>
          <w:sz w:val="24"/>
          <w:szCs w:val="24"/>
        </w:rPr>
        <w:t>第4包：卫星导航虚拟仿真实验系统</w:t>
      </w:r>
    </w:p>
    <w:p>
      <w:pPr>
        <w:spacing w:line="360" w:lineRule="auto"/>
        <w:ind w:firstLine="437"/>
        <w:rPr>
          <w:rFonts w:ascii="宋体" w:hAnsi="宋体" w:eastAsia="宋体" w:cs="宋体"/>
          <w:b/>
          <w:sz w:val="24"/>
          <w:szCs w:val="24"/>
        </w:rPr>
      </w:pPr>
      <w:r>
        <w:rPr>
          <w:rFonts w:hint="eastAsia" w:ascii="宋体" w:hAnsi="宋体" w:eastAsia="宋体" w:cs="宋体"/>
          <w:b/>
          <w:sz w:val="24"/>
          <w:szCs w:val="24"/>
        </w:rPr>
        <w:t>一、采购需求前附表</w:t>
      </w:r>
      <w:r>
        <w:rPr>
          <w:rFonts w:hint="eastAsia" w:ascii="Times New Roman" w:hAnsi="Times New Roman" w:cs="Times New Roman" w:eastAsiaTheme="minorEastAsia"/>
          <w:b/>
          <w:bCs/>
          <w:color w:val="FF0000"/>
          <w:sz w:val="24"/>
          <w:szCs w:val="22"/>
        </w:rPr>
        <w:t>（</w:t>
      </w:r>
      <w:r>
        <w:rPr>
          <w:rFonts w:ascii="Times New Roman" w:hAnsi="Times New Roman" w:cs="Times New Roman" w:eastAsiaTheme="minorEastAsia"/>
          <w:b/>
          <w:bCs/>
          <w:color w:val="FF0000"/>
          <w:sz w:val="24"/>
          <w:szCs w:val="22"/>
        </w:rPr>
        <w:t>采购需求前附表</w:t>
      </w:r>
      <w:r>
        <w:rPr>
          <w:rFonts w:hint="eastAsia" w:ascii="Times New Roman" w:hAnsi="Times New Roman" w:cs="Times New Roman" w:eastAsiaTheme="minorEastAsia"/>
          <w:b/>
          <w:bCs/>
          <w:color w:val="FF0000"/>
          <w:sz w:val="24"/>
          <w:szCs w:val="22"/>
        </w:rPr>
        <w:t>中规定的内容不允许负偏离）</w:t>
      </w:r>
    </w:p>
    <w:tbl>
      <w:tblPr>
        <w:tblStyle w:val="4"/>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2138"/>
        <w:gridCol w:w="5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
                <w:kern w:val="2"/>
                <w:szCs w:val="24"/>
              </w:rPr>
            </w:pPr>
            <w:r>
              <w:rPr>
                <w:rFonts w:hint="eastAsia" w:ascii="宋体" w:hAnsi="宋体" w:eastAsia="宋体" w:cs="宋体"/>
                <w:b/>
                <w:kern w:val="2"/>
                <w:szCs w:val="24"/>
              </w:rPr>
              <w:t>序号</w:t>
            </w:r>
          </w:p>
        </w:tc>
        <w:tc>
          <w:tcPr>
            <w:tcW w:w="2138"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条款名称</w:t>
            </w:r>
          </w:p>
        </w:tc>
        <w:tc>
          <w:tcPr>
            <w:tcW w:w="5977"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1</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付款方式</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宋体" w:hAnsi="宋体" w:eastAsia="宋体" w:cs="宋体"/>
                <w:b w:val="0"/>
                <w:bCs w:val="0"/>
                <w:sz w:val="24"/>
                <w:szCs w:val="24"/>
              </w:rPr>
              <w:t>合同签订生效并具备实施条件后采购人根据项目实际情况于5个工作日内支付合同价款的40%作为预付款</w:t>
            </w:r>
            <w:r>
              <w:rPr>
                <w:rFonts w:hint="eastAsia" w:ascii="宋体" w:hAnsi="宋体" w:eastAsia="宋体" w:cs="宋体"/>
                <w:sz w:val="24"/>
                <w:szCs w:val="24"/>
              </w:rPr>
              <w:t>（中标人须提交银行、保险公司、担保公司等金融机构出具的预付款保函或其他担保措施，以上各类机构出具的以担保函、保证保险承担责任的方式均须满足无条件见索即付条件）</w:t>
            </w:r>
            <w:r>
              <w:rPr>
                <w:rFonts w:hint="eastAsia" w:ascii="宋体" w:hAnsi="宋体" w:eastAsia="宋体" w:cs="宋体"/>
                <w:b w:val="0"/>
                <w:bCs w:val="0"/>
                <w:sz w:val="24"/>
                <w:szCs w:val="24"/>
              </w:rPr>
              <w:t>，验收合格后支付剩余合同价款。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2</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服务地点</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安徽理工大学或采购人指定地点。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3</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rPr>
              <w:t>服务期限</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合同签订之日起60日内完成相应服务内容并经验收合格。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Cs/>
                <w:kern w:val="2"/>
                <w:szCs w:val="24"/>
              </w:rPr>
            </w:pPr>
            <w:r>
              <w:rPr>
                <w:rFonts w:hint="eastAsia" w:ascii="宋体" w:hAnsi="宋体" w:eastAsia="宋体" w:cs="宋体"/>
                <w:bCs/>
                <w:kern w:val="2"/>
                <w:szCs w:val="24"/>
              </w:rPr>
              <w:t>4</w:t>
            </w:r>
          </w:p>
        </w:tc>
        <w:tc>
          <w:tcPr>
            <w:tcW w:w="2138" w:type="dxa"/>
            <w:vAlign w:val="center"/>
          </w:tcPr>
          <w:p>
            <w:pPr>
              <w:pStyle w:val="8"/>
              <w:widowControl w:val="0"/>
              <w:spacing w:before="0" w:beforeAutospacing="0" w:after="0" w:afterAutospacing="0" w:line="360" w:lineRule="auto"/>
              <w:rPr>
                <w:rFonts w:ascii="宋体" w:hAnsi="宋体" w:eastAsia="宋体" w:cs="宋体"/>
                <w:b w:val="0"/>
                <w:sz w:val="24"/>
                <w:szCs w:val="24"/>
              </w:rPr>
            </w:pPr>
            <w:r>
              <w:rPr>
                <w:rFonts w:hint="eastAsia" w:ascii="宋体" w:hAnsi="宋体" w:eastAsia="宋体" w:cs="宋体"/>
                <w:b w:val="0"/>
                <w:sz w:val="24"/>
                <w:szCs w:val="24"/>
                <w:lang w:val="zh-CN"/>
              </w:rPr>
              <w:t>免费质保期</w:t>
            </w:r>
          </w:p>
        </w:tc>
        <w:tc>
          <w:tcPr>
            <w:tcW w:w="5977" w:type="dxa"/>
            <w:vAlign w:val="center"/>
          </w:tcPr>
          <w:p>
            <w:pPr>
              <w:pStyle w:val="8"/>
              <w:widowControl w:val="0"/>
              <w:spacing w:before="0" w:beforeAutospacing="0" w:after="0" w:afterAutospacing="0" w:line="360" w:lineRule="auto"/>
              <w:jc w:val="both"/>
              <w:rPr>
                <w:rFonts w:ascii="Arial" w:hAnsi="Arial" w:eastAsia="宋体" w:cs="Arial"/>
                <w:b w:val="0"/>
                <w:sz w:val="24"/>
                <w:szCs w:val="24"/>
              </w:rPr>
            </w:pPr>
            <w:r>
              <w:rPr>
                <w:rFonts w:hint="eastAsia" w:ascii="Arial" w:hAnsi="Arial" w:eastAsia="宋体" w:cs="Arial"/>
                <w:b w:val="0"/>
                <w:sz w:val="24"/>
                <w:szCs w:val="24"/>
              </w:rPr>
              <w:t>验收合格后1年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1" w:type="dxa"/>
            <w:vAlign w:val="center"/>
          </w:tcPr>
          <w:p>
            <w:pPr>
              <w:pStyle w:val="7"/>
              <w:pBdr>
                <w:bottom w:val="none" w:color="auto" w:sz="0" w:space="0"/>
              </w:pBdr>
              <w:tabs>
                <w:tab w:val="clear" w:pos="4153"/>
                <w:tab w:val="clear" w:pos="8306"/>
              </w:tabs>
              <w:adjustRightInd/>
              <w:spacing w:line="240" w:lineRule="auto"/>
              <w:textAlignment w:val="auto"/>
              <w:rPr>
                <w:rFonts w:ascii="宋体" w:hAnsi="宋体" w:eastAsia="宋体" w:cs="宋体"/>
                <w:b/>
                <w:kern w:val="2"/>
                <w:szCs w:val="24"/>
              </w:rPr>
            </w:pPr>
            <w:r>
              <w:rPr>
                <w:rFonts w:hint="eastAsia" w:ascii="宋体" w:hAnsi="宋体" w:eastAsia="宋体" w:cs="宋体"/>
                <w:b/>
                <w:kern w:val="2"/>
                <w:szCs w:val="24"/>
              </w:rPr>
              <w:t>5</w:t>
            </w:r>
          </w:p>
        </w:tc>
        <w:tc>
          <w:tcPr>
            <w:tcW w:w="2138" w:type="dxa"/>
            <w:vAlign w:val="center"/>
          </w:tcPr>
          <w:p>
            <w:pPr>
              <w:pStyle w:val="8"/>
              <w:widowControl w:val="0"/>
              <w:spacing w:before="0" w:beforeAutospacing="0" w:after="0" w:afterAutospacing="0" w:line="360" w:lineRule="auto"/>
              <w:rPr>
                <w:rFonts w:ascii="宋体" w:hAnsi="宋体" w:eastAsia="宋体" w:cs="宋体"/>
                <w:bCs w:val="0"/>
                <w:sz w:val="24"/>
                <w:szCs w:val="24"/>
              </w:rPr>
            </w:pPr>
            <w:r>
              <w:rPr>
                <w:rFonts w:hint="eastAsia" w:ascii="宋体" w:hAnsi="宋体" w:eastAsia="宋体" w:cs="宋体"/>
                <w:bCs w:val="0"/>
                <w:sz w:val="24"/>
                <w:szCs w:val="24"/>
              </w:rPr>
              <w:t>本项目采购标的所属行业</w:t>
            </w:r>
          </w:p>
        </w:tc>
        <w:tc>
          <w:tcPr>
            <w:tcW w:w="5977" w:type="dxa"/>
            <w:vAlign w:val="center"/>
          </w:tcPr>
          <w:p>
            <w:pPr>
              <w:pStyle w:val="8"/>
              <w:widowControl w:val="0"/>
              <w:spacing w:before="0" w:beforeAutospacing="0" w:after="0" w:afterAutospacing="0" w:line="360" w:lineRule="auto"/>
              <w:jc w:val="both"/>
              <w:rPr>
                <w:rFonts w:ascii="Arial" w:hAnsi="Arial" w:eastAsia="宋体" w:cs="Arial"/>
                <w:bCs w:val="0"/>
                <w:sz w:val="24"/>
                <w:szCs w:val="24"/>
              </w:rPr>
            </w:pPr>
            <w:r>
              <w:rPr>
                <w:rFonts w:hint="eastAsia" w:ascii="Arial" w:hAnsi="Arial" w:eastAsia="宋体" w:cs="Arial"/>
                <w:bCs w:val="0"/>
                <w:sz w:val="24"/>
                <w:szCs w:val="24"/>
              </w:rPr>
              <w:t>软件和信息技术服务业</w:t>
            </w:r>
          </w:p>
        </w:tc>
      </w:tr>
    </w:tbl>
    <w:p>
      <w:pPr>
        <w:spacing w:line="360" w:lineRule="auto"/>
        <w:ind w:firstLine="437"/>
        <w:rPr>
          <w:rFonts w:ascii="Arial" w:hAnsi="Arial" w:eastAsia="宋体" w:cs="Arial"/>
          <w:b/>
          <w:sz w:val="24"/>
          <w:szCs w:val="18"/>
        </w:rPr>
      </w:pPr>
      <w:r>
        <w:rPr>
          <w:rFonts w:hint="eastAsia" w:ascii="Arial" w:hAnsi="Arial" w:eastAsia="宋体" w:cs="Arial"/>
          <w:b/>
          <w:sz w:val="24"/>
          <w:szCs w:val="18"/>
        </w:rPr>
        <w:t>二、服务指标重要性表述</w:t>
      </w:r>
    </w:p>
    <w:tbl>
      <w:tblPr>
        <w:tblStyle w:val="5"/>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1"/>
        <w:gridCol w:w="1260"/>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1"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标识重要性</w:t>
            </w:r>
          </w:p>
        </w:tc>
        <w:tc>
          <w:tcPr>
            <w:tcW w:w="1260"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标识符号</w:t>
            </w:r>
          </w:p>
        </w:tc>
        <w:tc>
          <w:tcPr>
            <w:tcW w:w="6061" w:type="dxa"/>
            <w:vAlign w:val="center"/>
          </w:tcPr>
          <w:p>
            <w:pPr>
              <w:spacing w:line="360" w:lineRule="exact"/>
              <w:jc w:val="center"/>
              <w:rPr>
                <w:rFonts w:ascii="宋体" w:hAnsi="宋体" w:eastAsia="宋体" w:cs="宋体"/>
                <w:b/>
                <w:sz w:val="24"/>
                <w:szCs w:val="24"/>
              </w:rPr>
            </w:pPr>
            <w:r>
              <w:rPr>
                <w:rFonts w:ascii="Arial" w:hAnsi="Arial" w:eastAsia="宋体" w:cs="Arial"/>
                <w:b/>
                <w:sz w:val="24"/>
                <w:szCs w:val="24"/>
              </w:rPr>
              <w:t>代表意思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631"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重要指标项</w:t>
            </w:r>
          </w:p>
        </w:tc>
        <w:tc>
          <w:tcPr>
            <w:tcW w:w="1260"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w:t>
            </w:r>
          </w:p>
        </w:tc>
        <w:tc>
          <w:tcPr>
            <w:tcW w:w="6061" w:type="dxa"/>
            <w:vAlign w:val="center"/>
          </w:tcPr>
          <w:p>
            <w:pPr>
              <w:pStyle w:val="8"/>
              <w:widowControl w:val="0"/>
              <w:spacing w:before="0" w:beforeAutospacing="0" w:after="0" w:afterAutospacing="0" w:line="360" w:lineRule="auto"/>
              <w:jc w:val="both"/>
              <w:rPr>
                <w:rFonts w:ascii="宋体" w:hAnsi="宋体" w:eastAsia="宋体" w:cs="宋体"/>
                <w:sz w:val="24"/>
                <w:szCs w:val="24"/>
              </w:rPr>
            </w:pPr>
            <w:r>
              <w:rPr>
                <w:rFonts w:ascii="Times New Roman" w:hAnsi="Times New Roman" w:cs="Times New Roman" w:eastAsiaTheme="minorEastAsia"/>
                <w:sz w:val="24"/>
                <w:szCs w:val="22"/>
              </w:rPr>
              <w:t>作为评分项，详见“第四章评标方法和标准”中评分细则。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1"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一般技术指标（无标识项）</w:t>
            </w:r>
          </w:p>
        </w:tc>
        <w:tc>
          <w:tcPr>
            <w:tcW w:w="1260" w:type="dxa"/>
            <w:vAlign w:val="center"/>
          </w:tcPr>
          <w:p>
            <w:pPr>
              <w:spacing w:line="360" w:lineRule="exact"/>
              <w:jc w:val="center"/>
              <w:rPr>
                <w:rFonts w:ascii="宋体" w:hAnsi="宋体" w:eastAsia="宋体" w:cs="宋体"/>
                <w:sz w:val="24"/>
                <w:szCs w:val="24"/>
              </w:rPr>
            </w:pPr>
            <w:r>
              <w:rPr>
                <w:rFonts w:hint="eastAsia" w:ascii="宋体" w:hAnsi="宋体" w:eastAsia="宋体" w:cs="宋体"/>
                <w:b/>
                <w:bCs/>
                <w:sz w:val="24"/>
              </w:rPr>
              <w:t>无</w:t>
            </w:r>
          </w:p>
        </w:tc>
        <w:tc>
          <w:tcPr>
            <w:tcW w:w="6061" w:type="dxa"/>
            <w:vAlign w:val="center"/>
          </w:tcPr>
          <w:p>
            <w:pPr>
              <w:pStyle w:val="8"/>
              <w:widowControl w:val="0"/>
              <w:spacing w:before="0" w:beforeAutospacing="0" w:after="0" w:afterAutospacing="0" w:line="360" w:lineRule="auto"/>
              <w:jc w:val="both"/>
              <w:rPr>
                <w:rFonts w:ascii="Times New Roman" w:hAnsi="Times New Roman" w:cs="Times New Roman" w:eastAsiaTheme="minorEastAsia"/>
                <w:sz w:val="24"/>
                <w:szCs w:val="22"/>
              </w:rPr>
            </w:pPr>
            <w:r>
              <w:rPr>
                <w:rFonts w:ascii="Times New Roman" w:hAnsi="Times New Roman" w:cs="Times New Roman" w:eastAsiaTheme="minorEastAsia"/>
                <w:sz w:val="24"/>
                <w:szCs w:val="22"/>
              </w:rPr>
              <w:t>作为基础指标，</w:t>
            </w:r>
            <w:r>
              <w:rPr>
                <w:rFonts w:hint="eastAsia" w:ascii="Times New Roman" w:hAnsi="Times New Roman" w:cs="Times New Roman" w:eastAsiaTheme="minorEastAsia"/>
                <w:sz w:val="24"/>
                <w:szCs w:val="22"/>
              </w:rPr>
              <w:t>5</w:t>
            </w:r>
            <w:r>
              <w:rPr>
                <w:rFonts w:ascii="Times New Roman" w:hAnsi="Times New Roman" w:cs="Times New Roman" w:eastAsiaTheme="minorEastAsia"/>
                <w:sz w:val="24"/>
                <w:szCs w:val="22"/>
              </w:rPr>
              <w:t>项以上</w:t>
            </w:r>
            <w:r>
              <w:rPr>
                <w:rFonts w:hint="eastAsia" w:ascii="Times New Roman" w:hAnsi="Times New Roman" w:cs="Times New Roman" w:eastAsiaTheme="minorEastAsia"/>
                <w:sz w:val="24"/>
                <w:szCs w:val="22"/>
              </w:rPr>
              <w:t>（不含5项）不满足或未</w:t>
            </w:r>
            <w:r>
              <w:rPr>
                <w:rFonts w:ascii="Times New Roman" w:hAnsi="Times New Roman" w:cs="Times New Roman" w:eastAsiaTheme="minorEastAsia"/>
                <w:sz w:val="24"/>
                <w:szCs w:val="22"/>
              </w:rPr>
              <w:t>响应，将导致</w:t>
            </w:r>
            <w:r>
              <w:rPr>
                <w:rFonts w:hint="eastAsia" w:ascii="Times New Roman" w:hAnsi="Times New Roman" w:cs="Times New Roman" w:eastAsiaTheme="minorEastAsia"/>
                <w:sz w:val="24"/>
                <w:szCs w:val="22"/>
              </w:rPr>
              <w:t>投标</w:t>
            </w:r>
            <w:r>
              <w:rPr>
                <w:rFonts w:ascii="Times New Roman" w:hAnsi="Times New Roman" w:cs="Times New Roman" w:eastAsiaTheme="minorEastAsia"/>
                <w:sz w:val="24"/>
                <w:szCs w:val="22"/>
              </w:rPr>
              <w:t>无效。</w:t>
            </w:r>
          </w:p>
          <w:p>
            <w:pPr>
              <w:pStyle w:val="8"/>
              <w:widowControl w:val="0"/>
              <w:spacing w:before="0" w:beforeAutospacing="0" w:after="0" w:afterAutospacing="0" w:line="360" w:lineRule="auto"/>
              <w:jc w:val="both"/>
              <w:rPr>
                <w:rFonts w:ascii="宋体" w:hAnsi="宋体" w:eastAsia="宋体" w:cs="宋体"/>
                <w:sz w:val="24"/>
                <w:szCs w:val="24"/>
              </w:rPr>
            </w:pPr>
            <w:r>
              <w:rPr>
                <w:rFonts w:hint="eastAsia" w:ascii="Times New Roman" w:hAnsi="Times New Roman" w:cs="Times New Roman" w:eastAsiaTheme="minorEastAsia"/>
                <w:sz w:val="24"/>
                <w:szCs w:val="22"/>
              </w:rPr>
              <w:t>注：以投标响应表及采购需求中要求提供的证明材料作为评审依据。</w:t>
            </w:r>
          </w:p>
        </w:tc>
      </w:tr>
    </w:tbl>
    <w:p>
      <w:pPr>
        <w:spacing w:line="360" w:lineRule="auto"/>
        <w:ind w:firstLine="435"/>
        <w:rPr>
          <w:rFonts w:ascii="宋体" w:hAnsi="宋体" w:eastAsia="宋体" w:cs="宋体"/>
          <w:sz w:val="24"/>
          <w:szCs w:val="24"/>
        </w:rPr>
      </w:pPr>
      <w:r>
        <w:rPr>
          <w:rFonts w:hint="eastAsia" w:ascii="宋体" w:hAnsi="宋体" w:eastAsia="宋体" w:cs="宋体"/>
          <w:b/>
          <w:bCs/>
          <w:sz w:val="24"/>
          <w:szCs w:val="24"/>
        </w:rPr>
        <w:t>三、服务需求</w:t>
      </w:r>
    </w:p>
    <w:tbl>
      <w:tblPr>
        <w:tblStyle w:val="4"/>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350"/>
        <w:gridCol w:w="5481"/>
        <w:gridCol w:w="714"/>
        <w:gridCol w:w="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712" w:type="dxa"/>
            <w:noWrap/>
            <w:vAlign w:val="center"/>
          </w:tcPr>
          <w:p>
            <w:pPr>
              <w:widowControl/>
              <w:spacing w:line="288" w:lineRule="auto"/>
              <w:jc w:val="center"/>
              <w:rPr>
                <w:rFonts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序号</w:t>
            </w:r>
          </w:p>
        </w:tc>
        <w:tc>
          <w:tcPr>
            <w:tcW w:w="1350" w:type="dxa"/>
            <w:vAlign w:val="center"/>
          </w:tcPr>
          <w:p>
            <w:pPr>
              <w:widowControl/>
              <w:spacing w:line="288" w:lineRule="auto"/>
              <w:jc w:val="center"/>
              <w:rPr>
                <w:rFonts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名称</w:t>
            </w:r>
          </w:p>
        </w:tc>
        <w:tc>
          <w:tcPr>
            <w:tcW w:w="5481" w:type="dxa"/>
            <w:noWrap/>
            <w:vAlign w:val="center"/>
          </w:tcPr>
          <w:p>
            <w:pPr>
              <w:widowControl/>
              <w:spacing w:line="288" w:lineRule="auto"/>
              <w:jc w:val="center"/>
              <w:rPr>
                <w:rFonts w:asciiTheme="minorEastAsia" w:hAnsiTheme="minorEastAsia" w:eastAsiaTheme="minorEastAsia" w:cstheme="minorEastAsia"/>
                <w:b/>
                <w:bCs/>
                <w:kern w:val="0"/>
                <w:szCs w:val="21"/>
              </w:rPr>
            </w:pPr>
            <w:r>
              <w:rPr>
                <w:rFonts w:hint="eastAsia" w:asciiTheme="majorEastAsia" w:hAnsiTheme="majorEastAsia" w:eastAsiaTheme="majorEastAsia" w:cstheme="majorEastAsia"/>
                <w:b/>
                <w:bCs/>
                <w:color w:val="000000"/>
                <w:kern w:val="0"/>
                <w:szCs w:val="21"/>
              </w:rPr>
              <w:t>主要技术参数及需求内容</w:t>
            </w:r>
          </w:p>
        </w:tc>
        <w:tc>
          <w:tcPr>
            <w:tcW w:w="714" w:type="dxa"/>
            <w:vAlign w:val="center"/>
          </w:tcPr>
          <w:p>
            <w:pPr>
              <w:widowControl/>
              <w:spacing w:line="288" w:lineRule="auto"/>
              <w:jc w:val="center"/>
              <w:rPr>
                <w:rFonts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单位</w:t>
            </w:r>
          </w:p>
        </w:tc>
        <w:tc>
          <w:tcPr>
            <w:tcW w:w="681" w:type="dxa"/>
            <w:vAlign w:val="center"/>
          </w:tcPr>
          <w:p>
            <w:pPr>
              <w:widowControl/>
              <w:spacing w:line="288" w:lineRule="auto"/>
              <w:jc w:val="center"/>
              <w:rPr>
                <w:rFonts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7" w:hRule="atLeast"/>
          <w:jc w:val="center"/>
        </w:trPr>
        <w:tc>
          <w:tcPr>
            <w:tcW w:w="712" w:type="dxa"/>
            <w:noWrap/>
            <w:vAlign w:val="center"/>
          </w:tcPr>
          <w:p>
            <w:pPr>
              <w:widowControl/>
              <w:spacing w:line="288"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1350" w:type="dxa"/>
            <w:noWrap/>
            <w:vAlign w:val="center"/>
          </w:tcPr>
          <w:p>
            <w:pPr>
              <w:spacing w:line="288"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b/>
                <w:szCs w:val="21"/>
              </w:rPr>
              <w:t>卫星导航虚拟仿真实验系统</w:t>
            </w:r>
          </w:p>
        </w:tc>
        <w:tc>
          <w:tcPr>
            <w:tcW w:w="5481" w:type="dxa"/>
            <w:vAlign w:val="center"/>
          </w:tcPr>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一、虚拟仿真实验要求</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1．系统在三维虚拟场景下开展，让用户身临其境地完成实验内容；</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2．系统采用国际领先的Unity3D引擎开发而成，可保证系统的交互性和扩展性；</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3．系统可提供操作帮助，言简意赅描述实验如何开展；</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4．系统支持用户从任意视角、任意距离观察实验设备和实验场景及实验现象；</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5．系统采用虚拟现实实时渲染处理，要求画面效果精美；</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6．系统实时运行帧数高于25帧/秒，交互性良好； </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7．虚拟仿真系统具体包含三大模块，用户可以选择知识学习、实验操作、考核三个模块；</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8．“知识学习”模块，以三维仿真建模技术结合图文介绍，让用户学习卫星导航系统相关理论知识，具体包括：</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（1）三维模型展示用户轨迹及空间GNSS(BDS,GPS,GALILEO,GLONASS）卫星导航系统星座仿真,展示地心坐标系、卫星轨道坐标系、典型的卫星轨道、轨道参数等信息及导航星座相关知识点；</w:t>
            </w:r>
            <w:r>
              <w:rPr>
                <w:rFonts w:hint="eastAsia" w:asciiTheme="minorEastAsia" w:hAnsiTheme="minorEastAsia" w:eastAsiaTheme="minorEastAsia" w:cstheme="minorEastAsia"/>
                <w:b/>
                <w:szCs w:val="21"/>
              </w:rPr>
              <w:t>（该功能需提供视频证明材料，</w:t>
            </w:r>
            <w:r>
              <w:rPr>
                <w:rFonts w:hint="eastAsia" w:asciiTheme="majorEastAsia" w:hAnsiTheme="majorEastAsia" w:eastAsiaTheme="majorEastAsia" w:cstheme="majorEastAsia"/>
                <w:b/>
                <w:bCs/>
                <w:szCs w:val="21"/>
              </w:rPr>
              <w:t>以U盘形式与投标文件一并递交</w:t>
            </w:r>
            <w:r>
              <w:rPr>
                <w:rFonts w:hint="eastAsia" w:asciiTheme="minorEastAsia" w:hAnsiTheme="minorEastAsia" w:eastAsiaTheme="minorEastAsia" w:cstheme="minorEastAsia"/>
                <w:b/>
                <w:szCs w:val="21"/>
              </w:rPr>
              <w:t>）</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（2）GNSS系统组成及运行仿真，三维模型展示空间卫星、地面控制站、接收机，及其工作内容原理，支持用户选择不同的导航星座、地面基站、接收载体模拟卫星地面可视化结果；</w:t>
            </w:r>
            <w:r>
              <w:rPr>
                <w:rFonts w:hint="eastAsia" w:asciiTheme="minorEastAsia" w:hAnsiTheme="minorEastAsia" w:eastAsiaTheme="minorEastAsia" w:cstheme="minorEastAsia"/>
                <w:b/>
                <w:szCs w:val="21"/>
              </w:rPr>
              <w:t>（该功能需提供视频证明材料，</w:t>
            </w:r>
            <w:r>
              <w:rPr>
                <w:rFonts w:hint="eastAsia" w:asciiTheme="majorEastAsia" w:hAnsiTheme="majorEastAsia" w:eastAsiaTheme="majorEastAsia" w:cstheme="majorEastAsia"/>
                <w:b/>
                <w:bCs/>
                <w:szCs w:val="21"/>
              </w:rPr>
              <w:t>以U盘形式与投标文件一并递交</w:t>
            </w:r>
            <w:r>
              <w:rPr>
                <w:rFonts w:hint="eastAsia" w:asciiTheme="minorEastAsia" w:hAnsiTheme="minorEastAsia" w:eastAsiaTheme="minorEastAsia" w:cstheme="minorEastAsia"/>
                <w:b/>
                <w:szCs w:val="21"/>
              </w:rPr>
              <w:t>）</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（3）用户可在场景中自由漫游，查看太阳系星球、卫星轨道空间位置关系，支持用户完成不同时间系统的转换、地球不同坐标系系统的相互转换，系统体验三维视角下的数字化教学，建立感性认识；</w:t>
            </w:r>
            <w:r>
              <w:rPr>
                <w:rFonts w:hint="eastAsia" w:asciiTheme="minorEastAsia" w:hAnsiTheme="minorEastAsia" w:eastAsiaTheme="minorEastAsia" w:cstheme="minorEastAsia"/>
                <w:b/>
                <w:szCs w:val="21"/>
              </w:rPr>
              <w:t>（该功能需提供视频证明材料，</w:t>
            </w:r>
            <w:r>
              <w:rPr>
                <w:rFonts w:hint="eastAsia" w:asciiTheme="majorEastAsia" w:hAnsiTheme="majorEastAsia" w:eastAsiaTheme="majorEastAsia" w:cstheme="majorEastAsia"/>
                <w:b/>
                <w:bCs/>
                <w:szCs w:val="21"/>
              </w:rPr>
              <w:t>以U盘形式与投标文件一并递交</w:t>
            </w:r>
            <w:r>
              <w:rPr>
                <w:rFonts w:hint="eastAsia" w:asciiTheme="minorEastAsia" w:hAnsiTheme="minorEastAsia" w:eastAsiaTheme="minorEastAsia" w:cstheme="minorEastAsia"/>
                <w:b/>
                <w:szCs w:val="21"/>
              </w:rPr>
              <w:t>）</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（4）系统支持用户自由调节轨道半长轴、偏心轴、赤道倾角、近地点角距等参数来创建自定义卫星轨道，用于导航星座模拟分析；</w:t>
            </w:r>
            <w:r>
              <w:rPr>
                <w:rFonts w:hint="eastAsia" w:asciiTheme="minorEastAsia" w:hAnsiTheme="minorEastAsia" w:eastAsiaTheme="minorEastAsia" w:cstheme="minorEastAsia"/>
                <w:b/>
                <w:szCs w:val="21"/>
              </w:rPr>
              <w:t>（该功能需提供视频证明材料，</w:t>
            </w:r>
            <w:r>
              <w:rPr>
                <w:rFonts w:hint="eastAsia" w:asciiTheme="majorEastAsia" w:hAnsiTheme="majorEastAsia" w:eastAsiaTheme="majorEastAsia" w:cstheme="majorEastAsia"/>
                <w:b/>
                <w:bCs/>
                <w:szCs w:val="21"/>
              </w:rPr>
              <w:t>以U盘形式与投标文件一并递交</w:t>
            </w:r>
            <w:r>
              <w:rPr>
                <w:rFonts w:hint="eastAsia" w:asciiTheme="minorEastAsia" w:hAnsiTheme="minorEastAsia" w:eastAsiaTheme="minorEastAsia" w:cstheme="minorEastAsia"/>
                <w:b/>
                <w:szCs w:val="21"/>
              </w:rPr>
              <w:t>）</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图文介绍和虚拟仿真两种方式展示伪距和载波相位观测值的产生原理、伪距定位的基本原理、载波相位相对定位的基本原理、精密单点定位的原理，及其上述3中定位函数模型和随机模型的建立方法、精度评定方法；</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（6）图文介绍和虚拟仿真误差源产生的原理与误差改正方法；</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（7）对上述（1）-（6）部分插入考核练习题，对相关原理性知识点进行考核。</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9．“实验操作”模块，用户通过选择实验相应参数，在系统引导下完成相应实验操作，具体包括以下步骤：</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（1）GNSS接收机原理实验：</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①本模块展示了GNSS接收机的基本结构，能够利用射频前端模块采集数字中频数据，并从采集的数字中频数据中实现卫星信号的捕获、跟踪、以及导航电文的解码，完成伪距等参数的获取，进行单点定位。</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②用户可在实验过程中修改相应参数、查看解算数据波形、导出离线数据、完成程序修改等功能；</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③记录关键实验操作步骤，根据用户操作进行评分，并生成实验报告和评分报告。</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（2）精密单点定位实验：</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①支持用户学习PPP基本数学模型包括：双频无电离层组合模型、双频非差非组合模型、附有约束条件的单频/双频模型等知识点；</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②设置不同数学模型和误差处理策略（不同机构卫星钟差、轨道产品，不同对流层延迟、电离层延迟改正模型，不同对流层延迟、电离层延迟、系统偏差、接收机钟差估计策略等），考察不同数学模型和误差处理策略对PPP定位结果影响；</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③记录关键实验操作步骤，根据用户操作进行评分，并生成实验报告和评分报告。</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（3）GNSS-RTK/CORS工程施工放样实验：</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①支持用户学习GNSS-RTK/CORS地形图测绘基本流程及相关操作；</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②具体操作主要包括：仪器安装、通过仿真手簿对流动站等进行数据链网络(电台或网络)等参数设置；</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③操作者在仿真环境中输入给定放样数据或批量导入放样坐标文件进行施工放样；</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④与之配套的智能仿真手簿能实现接近真实手簿的绝大部分操作，如工程建立、坐标系设置、控制点采集、施工放样、碎部点采集、转换参数计算和CASS格式数据导入导出一系列基本操作；</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⑤记录关键实验操作步骤，根据用户操作进行评分，并生成实验报告和评分报告。</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（4）GNSS-RTK/CORS地形图测绘实验：</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①支持用户学习GNSS-RTK/CORS地形图测绘基本流程及相关操作；</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②具体操作主要包括：仪器安装、通过仿真手簿对流动站等进行数据链网络(电台或网络)等参数设置；</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③操作者在仿真环境中按测绘要求布设控制点，进行控制点测量、碎部点采集、将所采集的数据按所要求的格式导出至电脑磁盘，进而在CASS数字化绘图软件中完成地形图绘制等内业工作；</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④与之配套的智能仿真手簿能实现接近真实手簿的绝大部分操作，如工程建立、坐标系设置、控制点采集、碎部点采集、转换参数计算和CASS格式数据导出一系列基本操作；</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⑤记录关键实验操作步骤，根据用户操作进行评分，并生成实验报告和评分报告。</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（5）GNSS程序设计与开发，主要包括时间表示方法转换，伪距单点定位等。</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①学生能够在仿真平台上编写代码或将已编写好的代码导入系统，系统对学生输入的代码进行判定是否合理；</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②记录关键实验操作步骤，根据用户操作进行评分，并生成实验报告和评分报告。</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10.“考核”模块，该模块系统包括理论知识考核和实验操作考核，具体包括：</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1)理论知识考核部分，可自主设置、导入理论考试内容，自动完成试题批改；</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 实验操作考核部分，可自主设置考核实验，记录关键实验操作步骤，根据用户操作进行评分，并生成实验报告。</w:t>
            </w:r>
          </w:p>
          <w:p>
            <w:pPr>
              <w:widowControl/>
              <w:spacing w:line="288" w:lineRule="auto"/>
              <w:jc w:val="left"/>
              <w:textAlignment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二、需配备 “开放式虚拟仿真实验教学管理平台软件”提供以下功能：</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（一）技术要求：</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符合教育部高等教育司关于加强国家虚拟仿真实验教学项目持续服务和管理有关工作的通知（教高司函〔2018〕56号）的共享服务规范（2018版）和《国家虚拟仿真实验教学课程技术接口规范（2020版）》的相关技术要求。</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2.支持采用静态文件和动态应用系统分离方式部署，静态文件管理系统可通过动态配置切换，支持公有云对象存储、私有云对象存储和本地文件服务器。可随时根据参与教学人数进行横向部署扩展。</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3.为了保证学校的信息系统安全，系统应支持在不开启http协议之外端口的情况下能进行版本升级和二次开发部分定点更新。</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4.需提供第三方测评公司系统性能测试报告。</w:t>
            </w:r>
            <w:r>
              <w:rPr>
                <w:rFonts w:hint="eastAsia" w:asciiTheme="minorEastAsia" w:hAnsiTheme="minorEastAsia" w:eastAsiaTheme="minorEastAsia" w:cstheme="minorEastAsia"/>
                <w:b/>
                <w:szCs w:val="21"/>
              </w:rPr>
              <w:t>（投标文件中须提供证书复印件）</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5.需提供中国计算机软件著作权登记证书作为自主产权证明。</w:t>
            </w:r>
            <w:r>
              <w:rPr>
                <w:rFonts w:hint="eastAsia" w:asciiTheme="minorEastAsia" w:hAnsiTheme="minorEastAsia" w:eastAsiaTheme="minorEastAsia" w:cstheme="minorEastAsia"/>
                <w:b/>
                <w:szCs w:val="21"/>
              </w:rPr>
              <w:t>（投标文件中须提供证书复印件）</w:t>
            </w:r>
          </w:p>
          <w:p>
            <w:pPr>
              <w:pStyle w:val="9"/>
              <w:numPr>
                <w:ilvl w:val="0"/>
                <w:numId w:val="1"/>
              </w:numPr>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安全保障：</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（1）提供域名白名单管理，可设定有权限与系统进行交互的域名信息，防止平台接口被恶意调用，保障平台接口不被恶意程序攻击。</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（2）平台可通过灵活配置，检测用户提交内容是否存在恶意代码，防止xss、sql注入等攻击，保障平台运行安全。</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（二）综合信息门户网站建设：</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7.提供管理与服务门户网站，具有自动映射域名，灵活配置功能，支持多个模块自由组合、站点导入导出以形成新网站；支持管理员在线编辑站点中的样式，无需手动替换服务器文件即可在线完成门户网站的维护，并支持实时预览。</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（三）基础数据信息管理：</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8.自定义组织架构：支持自定义组织架构，支持3级组织架构定义（院，专业，班级）。管理员可以对学院、专业、班级进行增删改查、支持数据的批量操作。</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9.用户数据管理：支持用户数据的批量导入/导出，批量禁/启用，批量删除/恢复。并提供数据检索和用户注册功能。</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10.用户角色及权限管理：系统角色支持根据实际管理需求进行自主灵活设置,给不同的角色配置不同的功能权限，权限设置可小到基本功能，也可大到业务流程，满足教务管理、教师教学、学生学习等的教学需求。</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11.系统日志管理：包括操作日志、访问日志、开放接口日志。五百万条以上访问日志查询，系统响应速度不大于3秒。</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12.提供时间管理模块，可维护校历和课程节次管理，便于线上虚拟仿真实验教学的开展。</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13.提供消息推送功能。支持教师、学生实时收发消息，可通过消息信息快速到达指定页面。</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（四）线上虚拟仿真实验教学管理：</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14.课程管理，支持设置课程目录并添加各类课程资源，资源种类包括：文档课件、视频、虚拟仿真实验、试卷，各种资源章节化；支持选修与必修设置；支持个性化切换展示形式。</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15.课程大纲管理，可按章节，知识点编排课程大纲。</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16.题库管理，支持word、excel批量导入方式及手动方式维护（含答案解析、正确答案、分值）试题，试题内容和答案支持文字、图片和视频，可按章节、题型分模块展示以及自定义浏览。</w:t>
            </w:r>
            <w:r>
              <w:rPr>
                <w:rFonts w:hint="eastAsia" w:asciiTheme="minorEastAsia" w:hAnsiTheme="minorEastAsia" w:eastAsiaTheme="minorEastAsia" w:cstheme="minorEastAsia"/>
                <w:b/>
                <w:szCs w:val="21"/>
              </w:rPr>
              <w:t>（投标文件中须提供功能截图）</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17.习题管理，习题类型包括单选、多选、判断、排序、填空以及简答题，支持教师对习题进行编辑，题目内容支持文字、图片和视频等多媒体资源。题目选项支持文字和图片相结合的方式，可以添加对选项的说明以及对题目的提示，支持选项的增、删、改和排序操作，也可以设置选项的显示形式（每行几列）。</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18.提供试卷库管理功能，支持策略组卷和手动组卷两种组卷方式。策略组卷，通过章节、题型和题数，按照规则随机生成试卷；手动组卷，通过章节、题型和题目手动组成试卷。</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19.开课管理，可自由设定开课是否审核，支持面向班级、开放选课、自定义3种开课模式。面向班级形式，选择行政班级即可；选课方式，自定义选课范围，设定选课的时间以及选课人数上限。</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20.提供虚拟实验教学管理功能，包括虚拟实验资源信息的维护，虚拟实验安排、实验批改、成绩管理和实验报告管理。</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21.提供实验课安排功能。教师可以根据实验教学大纲和自身的要求，按章节，分别将不限个数的视频、文档课件、虚拟实验、习题灵活安排，同时支持设置每种资源在总实验课中的所占成绩比例。</w:t>
            </w:r>
          </w:p>
          <w:p>
            <w:pPr>
              <w:pStyle w:val="9"/>
              <w:spacing w:line="288" w:lineRule="auto"/>
              <w:ind w:firstLine="0" w:firstLineChars="0"/>
              <w:jc w:val="left"/>
              <w:rPr>
                <w:rFonts w:asciiTheme="minorEastAsia" w:hAnsiTheme="minorEastAsia" w:eastAsiaTheme="minorEastAsia" w:cstheme="minorEastAsia"/>
                <w:strike/>
                <w:szCs w:val="21"/>
              </w:rPr>
            </w:pPr>
            <w:r>
              <w:rPr>
                <w:rFonts w:hint="eastAsia" w:asciiTheme="minorEastAsia" w:hAnsiTheme="minorEastAsia" w:eastAsiaTheme="minorEastAsia" w:cstheme="minorEastAsia"/>
                <w:szCs w:val="21"/>
              </w:rPr>
              <w:t>22.实验过程智能指导和智能批改功能。教师端可以在实验台中随意搭建实验并灵活设置实验参数，实验台要根据教师搭建的实验和设置的参数给出正确的运行结果，平台根据不同实验搭建过程和参数设置自动生成匹配的标准答案和指导规则，进而生成批改规则；学生可以教师搭建的实验为标准做实验并可随时请求指导，根据学生当前实验状态和进度平台给出匹配的指导信息，实验结束后可根据批改规则实现自动批改并给出得分细节。</w:t>
            </w:r>
          </w:p>
          <w:p>
            <w:pPr>
              <w:pStyle w:val="9"/>
              <w:spacing w:line="288" w:lineRule="auto"/>
              <w:ind w:firstLine="0" w:firstLineChars="0"/>
              <w:jc w:val="left"/>
              <w:rPr>
                <w:rFonts w:asciiTheme="minorEastAsia" w:hAnsiTheme="minorEastAsia" w:eastAsiaTheme="minorEastAsia" w:cstheme="minorEastAsia"/>
                <w:b/>
                <w:szCs w:val="21"/>
              </w:rPr>
            </w:pPr>
            <w:r>
              <w:rPr>
                <w:rFonts w:hint="eastAsia" w:asciiTheme="minorEastAsia" w:hAnsiTheme="minorEastAsia" w:eastAsiaTheme="minorEastAsia" w:cstheme="minorEastAsia"/>
                <w:szCs w:val="21"/>
              </w:rPr>
              <w:t>23.实验报告模板。支持教师预设在线填写、本地word上传、在线编辑三种模式的实验报告模板；报告模板可灵活的进行参数化设置，预留虚拟仿真资源与报告模板对接元素，用于对接虚拟仿真资源回传数据，包括但不限于文本、图片、音频、视频几种类型；实验结束后可查看媒体及文本集一体的实验报告。</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24.教学互评功能，教师针对教学任务设定评价标准和模式，可安排学生间相互评价打分，并查看最终的互评结果；评价标准分为评价细则及分数区间，单体评价模式以及分组评价模式，教师可以自由选择设定。</w:t>
            </w:r>
            <w:r>
              <w:rPr>
                <w:rFonts w:hint="eastAsia" w:asciiTheme="minorEastAsia" w:hAnsiTheme="minorEastAsia" w:eastAsiaTheme="minorEastAsia" w:cstheme="minorEastAsia"/>
                <w:b/>
                <w:szCs w:val="21"/>
              </w:rPr>
              <w:t>（投标文件中须提供功能截图）</w:t>
            </w:r>
          </w:p>
          <w:p>
            <w:pPr>
              <w:pStyle w:val="9"/>
              <w:spacing w:line="288" w:lineRule="auto"/>
              <w:ind w:firstLine="0" w:firstLineChars="0"/>
              <w:jc w:val="left"/>
              <w:rPr>
                <w:rFonts w:asciiTheme="minorEastAsia" w:hAnsiTheme="minorEastAsia" w:eastAsiaTheme="minorEastAsia" w:cstheme="minorEastAsia"/>
                <w:strike/>
                <w:szCs w:val="21"/>
              </w:rPr>
            </w:pPr>
            <w:r>
              <w:rPr>
                <w:rFonts w:hint="eastAsia" w:asciiTheme="minorEastAsia" w:hAnsiTheme="minorEastAsia" w:eastAsiaTheme="minorEastAsia" w:cstheme="minorEastAsia"/>
                <w:szCs w:val="21"/>
              </w:rPr>
              <w:t>25.基于OBE教学理念的教学目标达成度功能。在课程创建时，可以同步设置对应的教学目标。教学目标包含课程目标和所包含的任务目标。将任务目标与课程任务（包括文档、视频、实验操作以及实验报告）进行关联并设置相应的权重。在学生进行学习后，教师可查看到针对于本次开课、学生个人、单个课程任务的教学目标的达成度情况。</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26.学生选课，学习者可以在线进行选课，选课任务自动推送到“我的课程”。</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27.人员补增功能，系统可在项目截至日期前，不限时间地点的补增参与学生人员，以应对排课选课等突发情况。</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28.任务学习，学习者可以按照章节进行课程任务的学习，学习内容多样化，系统可以对每个任务计时，可按任务进行评价。</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29.学习进度管理，系统可自动记录学习的整体进度，教师也可以实时观察到每位学生的整体任务的学习进度。</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30.提供习题自测功能，支持顺序练习、随机练习、章节练习和题型练习4种方式，支持单选、判断、多选、排序和填空题自动批改。</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31.标签管理功能。用户可自建标签，对实验资源“贴标签”，标签管理主要包括增加、修改、删除操作。用户还可对收藏的实验资源进行标签的移除和添加。</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32.多维度的批改功能，系统可支持2种方式的课后批改功能，可按学习者和学习任务类型分别的批改。</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33.实验报告管理功能，学生可在线提交实验报告，教师可在线预览实验报告并用批改工具在报告上进行批注和批改，可增加/去除批改痕迹，打“√”打“×”撤回，与线下批改效果同效。</w:t>
            </w:r>
            <w:r>
              <w:rPr>
                <w:rFonts w:hint="eastAsia" w:asciiTheme="minorEastAsia" w:hAnsiTheme="minorEastAsia" w:eastAsiaTheme="minorEastAsia" w:cstheme="minorEastAsia"/>
                <w:b/>
                <w:szCs w:val="21"/>
              </w:rPr>
              <w:t>（投标文件中须提供功能截图）</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34.提供实验总体成绩查询和统计功能。实验资源与系统按照接口对接后，可在坐标轴中以散点图的形式展示每个实验环节中每道题目的答题正误情况、每个实验环节总体题目答题情况（正误数）、每个环节答题明细（每道题目的答题人数、正确率、错误率）。</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35.提供实验报告导出功能，师生端可按HTML、WORD、PDF三种形式导出实验报告，实验报告内含教师的批改痕迹和评语。</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36.实验成绩统计导出存档功能。教师批改实验后，学生可查看成绩。教师可按单/多个实验导出成绩。</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37.提供习题统计管理功能。支持查看每个实验课配套习题的整体平均得分以及每道题目的平均分；支持查看每道题目的答题详情；系统会对答题情况进行统计分析和展示。</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（五）校内外开放共享管理：</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38.系统中多个业务模块的数据可通过自由设置的方式，进行跨模块间数据的推送和展示。</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39.自定义开放配置，系统可自定义设置开放配置，可设置实验、试题、评价、报告模板、收费的开放情况。</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40.学习记录统计和查询功能，系统可自动记录每个项目、每个用户的学习数据，支持批改，学习数据统计和展示保持最新。</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41.共享项目统计功能，系统以图表的方式自动记录每个项目的总使用量、累计时长、累计学习人次、成绩分布、不同时间范围内的使用情况、实验评价。</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42.提供留言评价管理功能，支持管理用户的留言评价，并进行删除、回复、审核操作。</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43.论坛答疑功能，提供多种环境下的论坛答疑功能，可向教师提问、可进行课堂交流、可自由式发表综合讨论。</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44.问题池功能，可收录各种疑难问题，设定标准答案，供师生自助答疑解惑。</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（六）国家级虚拟仿真一流课程申报管理</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45.支持全校范围内的虚拟仿真实验教学一流课程申报，按照《国家虚拟仿真实验教学课程技术接口规范（2020版）》（简称2.0接口）要求，已与教育部实验空间（ilab-x.com）完成数据对接，可传递实验成绩、实验报告、实验开始时间、实验结束时间、实验时长数据、实验步骤数据。</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46.系统提供两个版本的接口，供新老项目任意切换1.0接口与2.0接口兼容往年国家级项目对接。</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47.并发提醒功能。管理员可设置最大并发数，实验时超过最大并发数，系统自动提示当前排队人数。</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48.网络环境带宽提醒功能。实验时当前网络带宽小于该实验所需的最小带宽，系统自动提示用户当前网络带宽不满足实验带宽要求。</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（七）数据统计分析</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49.多维度数据统计，可按几大主业务以总分的方式分别进行统计，以图文的形式呈现。</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50.共享数据统计，可统计共享资源、资源使用情况、每日/总浏览量、每日/总使用量、申报认定、项目使用详情。</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51.教学数据统计，可统计课程、课程资源、习题、开课，并可查看资源以及实验的应用和开展详情。</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52.多维度用户统计，可对不同层面的不同群体进行详细统计，便于管理者的监控监管。</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53.多维度答疑统计，可将问题答疑模块的数据进行统计分析，可按教师、课堂、自由式综合讨论分别统计答疑信息，并可对答疑情况进行优先级排行以及以图表的形式展示答疑变化量。</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八、系统服务支持</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54.在国家级虚拟仿真实验教学一流课程申报期间，可提供以下申报技术服务。</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（1）采用云渲染的技术，将虚拟仿真实验软件放在远程的服务器中渲染，用户无需安装任何插件通过Web可以直接运行虚拟仿真实验软件； </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（2）在客户端和服务器的带宽在5Mpbs或以上的情况下，打开程序响应时间为5-10秒，减少下载过程，加快进入实验速度； </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（3）提供虚拟仿真软件的运维及监控服务，保证项目稳定运行。</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55.投标人应有虚拟仿真资源开放集成服务云平台，提供在线联调功能；提供云渲染、客户端、web类型资源接入的标准化SDK；并免费开放使用，以满足各类虚拟仿真实验资源方便快捷接入学校虚拟仿真平台，实现国家/省级平台数据互通。</w:t>
            </w:r>
            <w:r>
              <w:rPr>
                <w:rFonts w:hint="eastAsia" w:asciiTheme="minorEastAsia" w:hAnsiTheme="minorEastAsia" w:eastAsiaTheme="minorEastAsia" w:cstheme="minorEastAsia"/>
                <w:b/>
                <w:szCs w:val="21"/>
              </w:rPr>
              <w:t>（投标文件中须提供该项能力承诺函并加盖投标人公章）</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宋体" w:hAnsi="宋体" w:eastAsia="宋体" w:cs="宋体"/>
                <w:b/>
                <w:bCs/>
                <w:sz w:val="24"/>
              </w:rPr>
              <w:t>★</w:t>
            </w:r>
            <w:r>
              <w:rPr>
                <w:rFonts w:hint="eastAsia" w:asciiTheme="minorEastAsia" w:hAnsiTheme="minorEastAsia" w:eastAsiaTheme="minorEastAsia" w:cstheme="minorEastAsia"/>
                <w:szCs w:val="21"/>
              </w:rPr>
              <w:t>56.提供云监控服务。</w:t>
            </w:r>
            <w:r>
              <w:rPr>
                <w:rFonts w:hint="eastAsia" w:asciiTheme="minorEastAsia" w:hAnsiTheme="minorEastAsia" w:eastAsiaTheme="minorEastAsia" w:cstheme="minorEastAsia"/>
                <w:b/>
                <w:bCs/>
                <w:szCs w:val="21"/>
              </w:rPr>
              <w:t>（</w:t>
            </w:r>
            <w:r>
              <w:rPr>
                <w:rFonts w:hint="eastAsia" w:asciiTheme="minorEastAsia" w:hAnsiTheme="minorEastAsia" w:eastAsiaTheme="minorEastAsia" w:cstheme="minorEastAsia"/>
                <w:b/>
                <w:szCs w:val="21"/>
              </w:rPr>
              <w:t>投标文件中须提供该项能力承诺函并加盖投标人公章）</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实时查看服务器资源CPU、内存、硬盘、负载等监控数据，具备底层、OS、应用层监控能力；当服务器资源达到预设的告警规则时，系统可快速预警并发送邮件、短信、钉钉等消息通知，提醒负责人及时处理预警事件；</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（2）模拟真实用户对远端站点的访问，持续监控站点的可用性、连通性等状态；持续监控服务器内部资源的运行情况，细粒度监管系统进程和平台运行状态；</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（3）对应用平台的健康状况快速响应，在应用平台服务不可用或运行异常时，及时提醒相关人员，并自动尝试重启应用平台；运维人员通过对平台的日志分析，快速定位并处理异常问题；</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（4）平台有新版本或有漏洞修复后可一键发布，应用平台将在闲时自动化升级、更新，无需人为干预，确保平台始终保持最新和最稳定的状态；</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（5）系统可定时自动备份数据库和重要数据，杜绝数据丢失的风险；</w:t>
            </w:r>
          </w:p>
          <w:p>
            <w:pPr>
              <w:pStyle w:val="9"/>
              <w:spacing w:line="288" w:lineRule="auto"/>
              <w:ind w:firstLine="0"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（6）对不定时出现的操作系统高危漏洞可一键修复或做加固处理，规避安全风险；</w:t>
            </w:r>
          </w:p>
          <w:p>
            <w:pPr>
              <w:pStyle w:val="2"/>
              <w:spacing w:line="288" w:lineRule="auto"/>
              <w:rPr>
                <w:rFonts w:asciiTheme="minorEastAsia" w:hAnsiTheme="minorEastAsia" w:eastAsiaTheme="minorEastAsia" w:cstheme="minorEastAsia"/>
                <w:strike/>
                <w:color w:val="auto"/>
                <w:sz w:val="21"/>
                <w:szCs w:val="21"/>
              </w:rPr>
            </w:pPr>
            <w:r>
              <w:rPr>
                <w:rFonts w:hint="eastAsia" w:asciiTheme="minorEastAsia" w:hAnsiTheme="minorEastAsia" w:eastAsiaTheme="minorEastAsia" w:cstheme="minorEastAsia"/>
                <w:color w:val="auto"/>
                <w:sz w:val="21"/>
                <w:szCs w:val="21"/>
              </w:rPr>
              <w:t>（7）对虚拟仿真实验教学项目，包括国家级虚拟仿真实验教学项目进行联通监测，支持每周7*24*2的双倍智能监测，统计联通率、停滞率、总时长、联通时长、停滞时长。支持异常检测结果的推送并自动生成检测报告。</w:t>
            </w:r>
          </w:p>
          <w:p>
            <w:pPr>
              <w:widowControl/>
              <w:spacing w:line="288" w:lineRule="auto"/>
              <w:jc w:val="left"/>
              <w:textAlignment w:val="center"/>
              <w:rPr>
                <w:rFonts w:asciiTheme="minorEastAsia" w:hAnsiTheme="minorEastAsia" w:eastAsiaTheme="minorEastAsia" w:cstheme="minorEastAsia"/>
                <w:kern w:val="0"/>
                <w:szCs w:val="21"/>
              </w:rPr>
            </w:pPr>
            <w:r>
              <w:rPr>
                <w:rFonts w:hint="eastAsia" w:ascii="宋体" w:hAnsi="宋体" w:eastAsia="宋体" w:cs="宋体"/>
                <w:b/>
                <w:bCs/>
                <w:sz w:val="24"/>
                <w:u w:val="single"/>
              </w:rPr>
              <w:t>★</w:t>
            </w:r>
            <w:r>
              <w:rPr>
                <w:rFonts w:hint="eastAsia" w:asciiTheme="minorEastAsia" w:hAnsiTheme="minorEastAsia" w:eastAsiaTheme="minorEastAsia" w:cstheme="minorEastAsia"/>
                <w:b/>
                <w:bCs/>
                <w:szCs w:val="21"/>
              </w:rPr>
              <w:t>57.达到国家级虚拟仿真实验教学一流课程申报标准。</w:t>
            </w:r>
          </w:p>
        </w:tc>
        <w:tc>
          <w:tcPr>
            <w:tcW w:w="714" w:type="dxa"/>
            <w:vAlign w:val="center"/>
          </w:tcPr>
          <w:p>
            <w:pPr>
              <w:spacing w:line="288"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套</w:t>
            </w:r>
          </w:p>
        </w:tc>
        <w:tc>
          <w:tcPr>
            <w:tcW w:w="681" w:type="dxa"/>
            <w:noWrap/>
            <w:vAlign w:val="center"/>
          </w:tcPr>
          <w:p>
            <w:pPr>
              <w:spacing w:line="288"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r>
    </w:tbl>
    <w:p>
      <w:pPr>
        <w:spacing w:line="360" w:lineRule="auto"/>
        <w:ind w:left="420"/>
        <w:jc w:val="left"/>
        <w:rPr>
          <w:rFonts w:ascii="宋体" w:hAnsi="宋体" w:eastAsia="宋体" w:cs="宋体"/>
          <w:b/>
          <w:bCs/>
          <w:sz w:val="24"/>
          <w:szCs w:val="24"/>
        </w:rPr>
      </w:pPr>
      <w:r>
        <w:rPr>
          <w:rFonts w:hint="eastAsia" w:ascii="宋体" w:hAnsi="宋体" w:eastAsia="宋体" w:cs="宋体"/>
          <w:b/>
          <w:bCs/>
          <w:sz w:val="24"/>
          <w:szCs w:val="24"/>
        </w:rPr>
        <w:t>四、报价要求</w:t>
      </w:r>
    </w:p>
    <w:p>
      <w:pPr>
        <w:ind w:firstLine="480" w:firstLineChars="200"/>
        <w:rPr>
          <w:rFonts w:eastAsia="宋体"/>
        </w:rPr>
      </w:pPr>
      <w:r>
        <w:rPr>
          <w:rFonts w:hint="eastAsia" w:ascii="宋体" w:hAnsi="宋体" w:eastAsia="宋体" w:cs="宋体"/>
          <w:sz w:val="24"/>
          <w:szCs w:val="24"/>
        </w:rPr>
        <w:t>本项目报价包含完成本项目所需的全部费用，中标后采购人不在另行支付任何费用。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C52F1A"/>
    <w:multiLevelType w:val="singleLevel"/>
    <w:tmpl w:val="C6C52F1A"/>
    <w:lvl w:ilvl="0" w:tentative="0">
      <w:start w:val="6"/>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3C8B403F"/>
    <w:rsid w:val="3C8B40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qFormat/>
    <w:uiPriority w:val="0"/>
    <w:pPr>
      <w:widowControl/>
      <w:spacing w:before="100" w:beforeAutospacing="1" w:after="100" w:afterAutospacing="1"/>
      <w:jc w:val="center"/>
    </w:pPr>
    <w:rPr>
      <w:b/>
      <w:bCs/>
      <w:kern w:val="0"/>
      <w:sz w:val="28"/>
      <w:szCs w:val="28"/>
    </w:rPr>
  </w:style>
  <w:style w:type="paragraph" w:customStyle="1" w:styleId="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2023-06-07T02:30:00Z</dcterms:created>
  <dc:creator>Xu Zhenwen</dc:creator>
  <cp:lastModifiedBy>Xu Zhenwen</cp:lastModifiedBy>
  <dcterms:modified xsi:type="dcterms:W3CDTF">2023-06-07T02:32:55Z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9F8F18BFF4B044A7B65DCA1749EC4532_11</vt:lpwstr>
  </property>
</Properties>
</file>